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30"/>
        <w:gridCol w:w="519"/>
        <w:gridCol w:w="579"/>
        <w:gridCol w:w="1030"/>
        <w:gridCol w:w="1030"/>
        <w:gridCol w:w="1031"/>
      </w:tblGrid>
      <w:tr w:rsidR="004A5EA9" w:rsidRPr="00D2449B" w14:paraId="0661B6FB"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64C838"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E2A750F" w14:textId="77777777"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B57C38"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B63A8"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DB12DA"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F017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85559"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F21B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DDA14"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F3EE5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B0E25" w14:textId="77777777" w:rsidR="004936A6" w:rsidRPr="00D2449B" w:rsidRDefault="004936A6" w:rsidP="00D2449B">
            <w:pPr>
              <w:jc w:val="center"/>
              <w:rPr>
                <w:rFonts w:ascii="Calibri" w:hAnsi="Calibri"/>
                <w:b/>
                <w:szCs w:val="22"/>
              </w:rPr>
            </w:pPr>
          </w:p>
        </w:tc>
      </w:tr>
      <w:tr w:rsidR="004A5EA9" w:rsidRPr="00D2449B" w14:paraId="54172B8E" w14:textId="77777777"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D9B58F" w14:textId="77777777" w:rsidR="004A5EA9" w:rsidRPr="00D2449B" w:rsidRDefault="004A5EA9" w:rsidP="004A5EA9">
            <w:pPr>
              <w:jc w:val="center"/>
              <w:rPr>
                <w:rFonts w:ascii="Calibri" w:hAnsi="Calibri"/>
                <w:b/>
                <w:szCs w:val="22"/>
              </w:rPr>
            </w:pPr>
          </w:p>
        </w:tc>
      </w:tr>
      <w:tr w:rsidR="004A5EA9" w:rsidRPr="00D2449B" w14:paraId="00BE6D08"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EC320"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0629D" w14:textId="3BDFFB93"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1D3CB1">
              <w:rPr>
                <w:rFonts w:ascii="Calibri" w:hAnsi="Calibri"/>
                <w:szCs w:val="22"/>
              </w:rPr>
              <w:t>21</w:t>
            </w:r>
            <w:r w:rsidR="00C0704D">
              <w:rPr>
                <w:rFonts w:ascii="Calibri" w:hAnsi="Calibri"/>
                <w:szCs w:val="22"/>
              </w:rPr>
              <w:t>/</w:t>
            </w:r>
            <w:r w:rsidR="001D3CB1">
              <w:rPr>
                <w:rFonts w:ascii="Calibri" w:hAnsi="Calibri"/>
                <w:szCs w:val="22"/>
              </w:rPr>
              <w:t>1155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93FF8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0A3950B9" wp14:editId="53DA6D9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95526B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98BF9"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2B8E8D" w14:textId="0AFC8EB9" w:rsidR="004A5EA9" w:rsidRPr="00C0704D" w:rsidRDefault="0013291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873F4" w14:textId="77777777" w:rsidR="004A5EA9" w:rsidRPr="00D2449B" w:rsidRDefault="004A5EA9">
            <w:pPr>
              <w:rPr>
                <w:rFonts w:ascii="Calibri" w:hAnsi="Calibri"/>
                <w:szCs w:val="22"/>
              </w:rPr>
            </w:pPr>
          </w:p>
        </w:tc>
      </w:tr>
      <w:tr w:rsidR="004A5EA9" w:rsidRPr="00D2449B" w14:paraId="23E0D38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BB9E4E"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4C158" w14:textId="0338C022" w:rsidR="004A5EA9" w:rsidRPr="00250879" w:rsidRDefault="00132913" w:rsidP="00811771">
            <w:pPr>
              <w:rPr>
                <w:rFonts w:ascii="Calibri" w:hAnsi="Calibri"/>
                <w:color w:val="548DD4" w:themeColor="text2" w:themeTint="99"/>
                <w:szCs w:val="22"/>
              </w:rPr>
            </w:pPr>
            <w:r w:rsidRPr="001D3CB1">
              <w:rPr>
                <w:rFonts w:ascii="Calibri" w:hAnsi="Calibri"/>
                <w:color w:val="000000" w:themeColor="text1"/>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6A30DA" w14:textId="77777777" w:rsidR="004A5EA9" w:rsidRPr="00D2449B" w:rsidRDefault="004A5EA9">
            <w:pPr>
              <w:rPr>
                <w:rFonts w:ascii="Calibri" w:hAnsi="Calibri"/>
                <w:szCs w:val="22"/>
              </w:rPr>
            </w:pPr>
          </w:p>
        </w:tc>
      </w:tr>
      <w:tr w:rsidR="004A5EA9" w:rsidRPr="00D2449B" w14:paraId="692C0224" w14:textId="77777777"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2045C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0B0D1"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3692B372"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5B0319"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B01C4BE"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ADC54"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35A09" w14:textId="15697F28" w:rsidR="004A5EA9" w:rsidRPr="002C6277" w:rsidRDefault="001D3CB1">
            <w:pPr>
              <w:rPr>
                <w:rFonts w:ascii="Calibri" w:hAnsi="Calibri"/>
                <w:szCs w:val="22"/>
              </w:rPr>
            </w:pPr>
            <w:r>
              <w:rPr>
                <w:rFonts w:ascii="Lato" w:hAnsi="Lato"/>
                <w:color w:val="333333"/>
                <w:sz w:val="20"/>
                <w:shd w:val="clear" w:color="auto" w:fill="FFFFFF"/>
              </w:rPr>
              <w:t>Conversion of 2 no. holiday lets into 1 no. dwellinghouse</w:t>
            </w:r>
          </w:p>
        </w:tc>
      </w:tr>
      <w:tr w:rsidR="002A01CF" w:rsidRPr="00D2449B" w14:paraId="3D813DA1"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E56CB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86B17" w14:textId="72D86EAE" w:rsidR="002A01CF" w:rsidRPr="001D3CB1" w:rsidRDefault="001D3CB1" w:rsidP="00A42E82">
            <w:pPr>
              <w:rPr>
                <w:rFonts w:ascii="Calibri" w:hAnsi="Calibri"/>
                <w:b/>
                <w:bCs/>
                <w:szCs w:val="22"/>
              </w:rPr>
            </w:pPr>
            <w:r w:rsidRPr="001D3CB1">
              <w:rPr>
                <w:rStyle w:val="Strong"/>
                <w:rFonts w:ascii="Lato" w:hAnsi="Lato"/>
                <w:b w:val="0"/>
                <w:bCs w:val="0"/>
                <w:color w:val="333333"/>
                <w:sz w:val="20"/>
                <w:bdr w:val="none" w:sz="0" w:space="0" w:color="auto" w:frame="1"/>
                <w:shd w:val="clear" w:color="auto" w:fill="FFFFFF"/>
              </w:rPr>
              <w:t>Pendle View Lovely Hall Lane Copster Green BB1 9EQ</w:t>
            </w:r>
          </w:p>
        </w:tc>
      </w:tr>
      <w:tr w:rsidR="00A95D89" w:rsidRPr="00D2449B" w14:paraId="291B223D"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2260F06"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9E9F54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FD3576"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8A54A"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7DED51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38620" w14:textId="55E62BAD" w:rsidR="002A01CF" w:rsidRPr="001D3CB1" w:rsidRDefault="001D3CB1">
            <w:pPr>
              <w:rPr>
                <w:rFonts w:ascii="Calibri" w:hAnsi="Calibri"/>
                <w:bCs/>
                <w:szCs w:val="22"/>
              </w:rPr>
            </w:pPr>
            <w:r w:rsidRPr="001D3CB1">
              <w:rPr>
                <w:rFonts w:ascii="Calibri" w:hAnsi="Calibri"/>
                <w:bCs/>
                <w:szCs w:val="22"/>
              </w:rPr>
              <w:t>Salesbury parish Council have raised no objections to the proposal.</w:t>
            </w:r>
          </w:p>
        </w:tc>
      </w:tr>
      <w:tr w:rsidR="00C618DB" w:rsidRPr="00D2449B" w14:paraId="3FB2991E"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5FF123" w14:textId="77777777" w:rsidR="00C618DB" w:rsidRPr="00D2449B" w:rsidRDefault="00C618DB">
            <w:pPr>
              <w:rPr>
                <w:rFonts w:ascii="Calibri" w:hAnsi="Calibri"/>
                <w:bCs/>
                <w:szCs w:val="22"/>
              </w:rPr>
            </w:pPr>
          </w:p>
        </w:tc>
      </w:tr>
      <w:tr w:rsidR="00C618DB" w:rsidRPr="00D2449B" w14:paraId="1E8F65B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A8DFBA"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BB585"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6619F979"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3DF25F"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81F00" w14:textId="77777777" w:rsidR="002A01CF" w:rsidRPr="00D2449B" w:rsidRDefault="002A01CF">
            <w:pPr>
              <w:rPr>
                <w:rFonts w:ascii="Calibri" w:hAnsi="Calibri"/>
                <w:b/>
                <w:szCs w:val="22"/>
              </w:rPr>
            </w:pPr>
          </w:p>
        </w:tc>
      </w:tr>
      <w:tr w:rsidR="00C0704D" w:rsidRPr="00D2449B" w14:paraId="2D35B04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8472D3" w14:textId="55773281" w:rsidR="00C0704D" w:rsidRPr="00C0704D" w:rsidRDefault="00C0704D" w:rsidP="00D74711">
            <w:pPr>
              <w:rPr>
                <w:rFonts w:ascii="Calibri" w:hAnsi="Calibri"/>
                <w:szCs w:val="22"/>
              </w:rPr>
            </w:pPr>
            <w:r w:rsidRPr="00C0704D">
              <w:rPr>
                <w:rFonts w:ascii="Calibri" w:hAnsi="Calibri"/>
                <w:szCs w:val="22"/>
              </w:rPr>
              <w:t xml:space="preserve">No </w:t>
            </w:r>
            <w:r w:rsidR="007155AF">
              <w:rPr>
                <w:rFonts w:ascii="Calibri" w:hAnsi="Calibri"/>
                <w:szCs w:val="22"/>
              </w:rPr>
              <w:t>objections subject to the imposition of conditions.</w:t>
            </w:r>
          </w:p>
        </w:tc>
      </w:tr>
      <w:tr w:rsidR="00C0704D" w:rsidRPr="00D2449B" w14:paraId="454D3048"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B8E417"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13450E"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CDD5A1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422049" w14:textId="351F4327" w:rsidR="00C0704D" w:rsidRPr="00C0704D" w:rsidRDefault="007155AF" w:rsidP="00692B60">
            <w:pPr>
              <w:rPr>
                <w:rFonts w:ascii="Calibri" w:hAnsi="Calibri"/>
                <w:szCs w:val="22"/>
              </w:rPr>
            </w:pPr>
            <w:r w:rsidRPr="00C0704D">
              <w:rPr>
                <w:rFonts w:ascii="Calibri" w:hAnsi="Calibri"/>
                <w:szCs w:val="22"/>
              </w:rPr>
              <w:t>No representations have been received in respect of the proposed development.</w:t>
            </w:r>
          </w:p>
        </w:tc>
      </w:tr>
      <w:tr w:rsidR="00C0704D" w:rsidRPr="00D2449B" w14:paraId="342738D6"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D65928" w14:textId="77777777" w:rsidR="00C0704D" w:rsidRPr="00D2449B" w:rsidRDefault="00C0704D">
            <w:pPr>
              <w:rPr>
                <w:rFonts w:ascii="Calibri" w:hAnsi="Calibri"/>
                <w:color w:val="FF0000"/>
                <w:szCs w:val="22"/>
              </w:rPr>
            </w:pPr>
          </w:p>
        </w:tc>
      </w:tr>
      <w:tr w:rsidR="00C0704D" w:rsidRPr="00D2449B" w14:paraId="520C98B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C3365"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27E94F1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4C457B"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11249B7" w14:textId="77777777" w:rsidR="00C0704D" w:rsidRDefault="00C0704D" w:rsidP="00C0704D">
            <w:pPr>
              <w:rPr>
                <w:rFonts w:ascii="Calibri" w:hAnsi="Calibri"/>
                <w:b/>
                <w:szCs w:val="22"/>
              </w:rPr>
            </w:pPr>
          </w:p>
          <w:p w14:paraId="20CE067A" w14:textId="77777777" w:rsidR="007155AF" w:rsidRPr="007155AF" w:rsidRDefault="007155AF" w:rsidP="007155AF">
            <w:pPr>
              <w:pStyle w:val="PLANNING"/>
              <w:rPr>
                <w:rFonts w:ascii="Calibri" w:hAnsi="Calibri"/>
                <w:szCs w:val="22"/>
              </w:rPr>
            </w:pPr>
            <w:r w:rsidRPr="007155AF">
              <w:rPr>
                <w:rFonts w:ascii="Calibri" w:hAnsi="Calibri"/>
                <w:szCs w:val="22"/>
              </w:rPr>
              <w:t>Key Statement DS1 – Development Strategy</w:t>
            </w:r>
          </w:p>
          <w:p w14:paraId="1ADB3BA2" w14:textId="77777777" w:rsidR="007155AF" w:rsidRPr="007155AF" w:rsidRDefault="007155AF" w:rsidP="007155AF">
            <w:pPr>
              <w:pStyle w:val="PLANNING"/>
              <w:rPr>
                <w:rFonts w:ascii="Calibri" w:hAnsi="Calibri"/>
                <w:szCs w:val="22"/>
              </w:rPr>
            </w:pPr>
            <w:r w:rsidRPr="007155AF">
              <w:rPr>
                <w:rFonts w:ascii="Calibri" w:hAnsi="Calibri"/>
                <w:szCs w:val="22"/>
              </w:rPr>
              <w:t>Key Statement DMI2 – Transport Considerations</w:t>
            </w:r>
          </w:p>
          <w:p w14:paraId="678B6A00" w14:textId="45D7B607" w:rsidR="007155AF" w:rsidRPr="007155AF" w:rsidRDefault="007155AF" w:rsidP="007155AF">
            <w:pPr>
              <w:pStyle w:val="PLANNING"/>
              <w:rPr>
                <w:rFonts w:ascii="Calibri" w:hAnsi="Calibri"/>
                <w:szCs w:val="22"/>
              </w:rPr>
            </w:pPr>
            <w:r w:rsidRPr="007155AF">
              <w:rPr>
                <w:rFonts w:ascii="Calibri" w:hAnsi="Calibri"/>
                <w:szCs w:val="22"/>
              </w:rPr>
              <w:t>Key Statement EC3 – Visitor Economy</w:t>
            </w:r>
          </w:p>
          <w:p w14:paraId="6A6E6C05" w14:textId="77777777" w:rsidR="007155AF" w:rsidRPr="007155AF" w:rsidRDefault="007155AF" w:rsidP="007155AF">
            <w:pPr>
              <w:pStyle w:val="PLANNING"/>
              <w:rPr>
                <w:rFonts w:ascii="Calibri" w:hAnsi="Calibri"/>
                <w:szCs w:val="22"/>
              </w:rPr>
            </w:pPr>
          </w:p>
          <w:p w14:paraId="2932FCD8" w14:textId="77777777" w:rsidR="007155AF" w:rsidRPr="007155AF" w:rsidRDefault="007155AF" w:rsidP="007155AF">
            <w:pPr>
              <w:pStyle w:val="PLANNING"/>
              <w:rPr>
                <w:rFonts w:ascii="Calibri" w:hAnsi="Calibri"/>
                <w:szCs w:val="22"/>
              </w:rPr>
            </w:pPr>
            <w:r w:rsidRPr="007155AF">
              <w:rPr>
                <w:rFonts w:ascii="Calibri" w:hAnsi="Calibri"/>
                <w:szCs w:val="22"/>
              </w:rPr>
              <w:t>Policy DMB3 -  Recreation and Tourism</w:t>
            </w:r>
          </w:p>
          <w:p w14:paraId="241ABC11" w14:textId="77777777" w:rsidR="007155AF" w:rsidRPr="007155AF" w:rsidRDefault="007155AF" w:rsidP="007155AF">
            <w:pPr>
              <w:pStyle w:val="PLANNING"/>
              <w:rPr>
                <w:rFonts w:ascii="Calibri" w:hAnsi="Calibri"/>
                <w:szCs w:val="22"/>
              </w:rPr>
            </w:pPr>
            <w:r w:rsidRPr="007155AF">
              <w:rPr>
                <w:rFonts w:ascii="Calibri" w:hAnsi="Calibri"/>
                <w:szCs w:val="22"/>
              </w:rPr>
              <w:t>Policy DMG1 – General Considerations</w:t>
            </w:r>
          </w:p>
          <w:p w14:paraId="30ADAA99" w14:textId="77777777" w:rsidR="007155AF" w:rsidRPr="007155AF" w:rsidRDefault="007155AF" w:rsidP="007155AF">
            <w:pPr>
              <w:pStyle w:val="PLANNING"/>
              <w:rPr>
                <w:rFonts w:ascii="Calibri" w:hAnsi="Calibri"/>
                <w:szCs w:val="22"/>
              </w:rPr>
            </w:pPr>
            <w:r w:rsidRPr="007155AF">
              <w:rPr>
                <w:rFonts w:ascii="Calibri" w:hAnsi="Calibri"/>
                <w:szCs w:val="22"/>
              </w:rPr>
              <w:t>Policy DMG2 – Strategic Considerations</w:t>
            </w:r>
          </w:p>
          <w:p w14:paraId="117681EE" w14:textId="77777777" w:rsidR="007155AF" w:rsidRPr="007155AF" w:rsidRDefault="007155AF" w:rsidP="007155AF">
            <w:pPr>
              <w:pStyle w:val="PLANNING"/>
              <w:rPr>
                <w:rFonts w:ascii="Calibri" w:hAnsi="Calibri"/>
                <w:szCs w:val="22"/>
              </w:rPr>
            </w:pPr>
            <w:r w:rsidRPr="007155AF">
              <w:rPr>
                <w:rFonts w:ascii="Calibri" w:hAnsi="Calibri"/>
                <w:szCs w:val="22"/>
              </w:rPr>
              <w:t>Policy DMG3 – Transport and Mobility</w:t>
            </w:r>
          </w:p>
          <w:p w14:paraId="0A6352D8" w14:textId="77777777" w:rsidR="007155AF" w:rsidRPr="007155AF" w:rsidRDefault="007155AF" w:rsidP="007155AF">
            <w:pPr>
              <w:pStyle w:val="PLANNING"/>
              <w:rPr>
                <w:rFonts w:ascii="Calibri" w:hAnsi="Calibri"/>
                <w:szCs w:val="22"/>
              </w:rPr>
            </w:pPr>
            <w:r w:rsidRPr="007155AF">
              <w:rPr>
                <w:rFonts w:ascii="Calibri" w:hAnsi="Calibri"/>
                <w:szCs w:val="22"/>
              </w:rPr>
              <w:t>Policy DME6 – Water Management</w:t>
            </w:r>
          </w:p>
          <w:p w14:paraId="1F6DD19B" w14:textId="77777777" w:rsidR="007155AF" w:rsidRPr="007155AF" w:rsidRDefault="007155AF" w:rsidP="007155AF">
            <w:pPr>
              <w:pStyle w:val="PLANNING"/>
              <w:rPr>
                <w:rFonts w:ascii="Calibri" w:hAnsi="Calibri"/>
                <w:szCs w:val="22"/>
              </w:rPr>
            </w:pPr>
          </w:p>
          <w:p w14:paraId="530EF66F" w14:textId="77777777" w:rsidR="007155AF" w:rsidRPr="007155AF" w:rsidRDefault="007155AF" w:rsidP="007155AF">
            <w:pPr>
              <w:pStyle w:val="PLANNING"/>
              <w:rPr>
                <w:rFonts w:ascii="Calibri" w:hAnsi="Calibri"/>
                <w:szCs w:val="22"/>
              </w:rPr>
            </w:pPr>
            <w:r w:rsidRPr="007155AF">
              <w:rPr>
                <w:rFonts w:ascii="Calibri" w:hAnsi="Calibri"/>
                <w:szCs w:val="22"/>
              </w:rPr>
              <w:t>National Planning Policy Framework (NPPF)</w:t>
            </w:r>
          </w:p>
          <w:p w14:paraId="0010D2F9" w14:textId="77777777" w:rsidR="007155AF" w:rsidRPr="007155AF" w:rsidRDefault="007155AF" w:rsidP="007155AF">
            <w:pPr>
              <w:pStyle w:val="PLANNING"/>
              <w:rPr>
                <w:rFonts w:ascii="Calibri" w:hAnsi="Calibri"/>
                <w:szCs w:val="22"/>
              </w:rPr>
            </w:pPr>
            <w:r w:rsidRPr="007155AF">
              <w:rPr>
                <w:rFonts w:ascii="Calibri" w:hAnsi="Calibri"/>
                <w:szCs w:val="22"/>
              </w:rPr>
              <w:t>National Planning Practice Guidance (NPPG)</w:t>
            </w:r>
          </w:p>
          <w:p w14:paraId="5F056C6C" w14:textId="77777777" w:rsidR="008542DE" w:rsidRDefault="007155AF" w:rsidP="007155AF">
            <w:pPr>
              <w:rPr>
                <w:rFonts w:ascii="Calibri" w:hAnsi="Calibri"/>
                <w:szCs w:val="22"/>
              </w:rPr>
            </w:pPr>
            <w:r w:rsidRPr="007155AF">
              <w:rPr>
                <w:rFonts w:ascii="Calibri" w:hAnsi="Calibri"/>
                <w:szCs w:val="22"/>
              </w:rPr>
              <w:t>Technical Guidance to National Planning Policy Framework</w:t>
            </w:r>
          </w:p>
          <w:p w14:paraId="2247648E" w14:textId="7F6EF6F7" w:rsidR="007155AF" w:rsidRPr="00D2449B" w:rsidRDefault="007155AF" w:rsidP="007155AF">
            <w:pPr>
              <w:rPr>
                <w:rFonts w:ascii="Calibri" w:hAnsi="Calibri"/>
                <w:b/>
                <w:szCs w:val="22"/>
              </w:rPr>
            </w:pPr>
          </w:p>
        </w:tc>
      </w:tr>
      <w:tr w:rsidR="00C0704D" w:rsidRPr="00D2449B" w14:paraId="4DB046E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EA7C"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46AB02BE" w14:textId="0CBA5645" w:rsidR="00C0704D" w:rsidRDefault="00C0704D" w:rsidP="00C0704D">
            <w:pPr>
              <w:pStyle w:val="PLANNING"/>
              <w:rPr>
                <w:rFonts w:ascii="Calibri" w:hAnsi="Calibri"/>
                <w:b/>
                <w:bCs/>
                <w:szCs w:val="22"/>
              </w:rPr>
            </w:pPr>
          </w:p>
          <w:p w14:paraId="638C4372" w14:textId="44A312CF" w:rsidR="000B0AE0" w:rsidRDefault="000B0AE0" w:rsidP="00C0704D">
            <w:pPr>
              <w:pStyle w:val="PLANNING"/>
              <w:rPr>
                <w:rFonts w:ascii="Calibri" w:hAnsi="Calibri"/>
                <w:b/>
                <w:bCs/>
                <w:szCs w:val="22"/>
              </w:rPr>
            </w:pPr>
            <w:r>
              <w:rPr>
                <w:rFonts w:ascii="Calibri" w:hAnsi="Calibri"/>
                <w:b/>
                <w:bCs/>
                <w:szCs w:val="22"/>
              </w:rPr>
              <w:t>3/2021/0614:</w:t>
            </w:r>
          </w:p>
          <w:p w14:paraId="3F155C00" w14:textId="3CCBDD70" w:rsidR="000B0AE0" w:rsidRDefault="000B0AE0" w:rsidP="00C0704D">
            <w:pPr>
              <w:pStyle w:val="PLANNING"/>
              <w:rPr>
                <w:rFonts w:ascii="Calibri" w:hAnsi="Calibri"/>
                <w:b/>
                <w:bCs/>
                <w:szCs w:val="22"/>
              </w:rPr>
            </w:pPr>
            <w:r>
              <w:rPr>
                <w:rFonts w:ascii="Verdana" w:hAnsi="Verdana"/>
                <w:color w:val="333333"/>
                <w:sz w:val="18"/>
                <w:szCs w:val="18"/>
                <w:shd w:val="clear" w:color="auto" w:fill="FFFFFF"/>
              </w:rPr>
              <w:t>Variation of condition 7 of planning permission 3/2017/0008 - to modify the use of the holiday lets.  (Refused)</w:t>
            </w:r>
          </w:p>
          <w:p w14:paraId="1C890073" w14:textId="77777777" w:rsidR="000B0AE0" w:rsidRDefault="000B0AE0" w:rsidP="00C0704D">
            <w:pPr>
              <w:pStyle w:val="PLANNING"/>
              <w:rPr>
                <w:rFonts w:ascii="Calibri" w:hAnsi="Calibri"/>
                <w:b/>
                <w:bCs/>
                <w:szCs w:val="22"/>
              </w:rPr>
            </w:pPr>
          </w:p>
          <w:p w14:paraId="29AA2D78" w14:textId="07A53B74" w:rsidR="000B0AE0" w:rsidRDefault="000B0AE0" w:rsidP="00C0704D">
            <w:pPr>
              <w:pStyle w:val="PLANNING"/>
              <w:rPr>
                <w:rFonts w:ascii="Calibri" w:hAnsi="Calibri"/>
                <w:b/>
                <w:bCs/>
                <w:szCs w:val="22"/>
              </w:rPr>
            </w:pPr>
            <w:r>
              <w:rPr>
                <w:rFonts w:ascii="Calibri" w:hAnsi="Calibri"/>
                <w:b/>
                <w:bCs/>
                <w:szCs w:val="22"/>
              </w:rPr>
              <w:t>3/2017/0008:</w:t>
            </w:r>
          </w:p>
          <w:p w14:paraId="68E69643" w14:textId="63F6C397" w:rsidR="000B0AE0" w:rsidRPr="000B0AE0" w:rsidRDefault="000B0AE0" w:rsidP="00C0704D">
            <w:pPr>
              <w:pStyle w:val="PLANNING"/>
              <w:rPr>
                <w:rFonts w:ascii="Calibri" w:hAnsi="Calibri"/>
                <w:szCs w:val="22"/>
              </w:rPr>
            </w:pPr>
            <w:r w:rsidRPr="000B0AE0">
              <w:rPr>
                <w:rFonts w:ascii="Calibri" w:hAnsi="Calibri"/>
                <w:szCs w:val="22"/>
              </w:rPr>
              <w:t>Proposed redevelopment of the existing childrens nursery to two holiday lets.  (Approved)</w:t>
            </w:r>
          </w:p>
          <w:p w14:paraId="749477B4" w14:textId="77777777" w:rsidR="000B0AE0" w:rsidRDefault="000B0AE0" w:rsidP="00C0704D">
            <w:pPr>
              <w:pStyle w:val="PLANNING"/>
              <w:rPr>
                <w:rFonts w:ascii="Calibri" w:hAnsi="Calibri"/>
                <w:b/>
                <w:bCs/>
                <w:szCs w:val="22"/>
              </w:rPr>
            </w:pPr>
          </w:p>
          <w:p w14:paraId="218A4E1A" w14:textId="77777777" w:rsidR="000B0AE0" w:rsidRPr="003A335D" w:rsidRDefault="000B0AE0" w:rsidP="000B0AE0">
            <w:pPr>
              <w:pStyle w:val="PLANNING"/>
              <w:rPr>
                <w:rFonts w:ascii="Calibri" w:hAnsi="Calibri"/>
                <w:b/>
                <w:bCs/>
                <w:szCs w:val="22"/>
              </w:rPr>
            </w:pPr>
            <w:r w:rsidRPr="003A335D">
              <w:rPr>
                <w:rFonts w:ascii="Calibri" w:hAnsi="Calibri"/>
                <w:b/>
                <w:bCs/>
                <w:szCs w:val="22"/>
              </w:rPr>
              <w:t>3/201</w:t>
            </w:r>
            <w:r>
              <w:rPr>
                <w:rFonts w:ascii="Calibri" w:hAnsi="Calibri"/>
                <w:b/>
                <w:bCs/>
                <w:szCs w:val="22"/>
              </w:rPr>
              <w:t>6</w:t>
            </w:r>
            <w:r w:rsidRPr="003A335D">
              <w:rPr>
                <w:rFonts w:ascii="Calibri" w:hAnsi="Calibri"/>
                <w:b/>
                <w:bCs/>
                <w:szCs w:val="22"/>
              </w:rPr>
              <w:t>/0</w:t>
            </w:r>
            <w:r>
              <w:rPr>
                <w:rFonts w:ascii="Calibri" w:hAnsi="Calibri"/>
                <w:b/>
                <w:bCs/>
                <w:szCs w:val="22"/>
              </w:rPr>
              <w:t>620</w:t>
            </w:r>
            <w:r w:rsidRPr="003A335D">
              <w:rPr>
                <w:rFonts w:ascii="Calibri" w:hAnsi="Calibri"/>
                <w:b/>
                <w:bCs/>
                <w:szCs w:val="22"/>
              </w:rPr>
              <w:t>:</w:t>
            </w:r>
          </w:p>
          <w:p w14:paraId="51E2FBBC" w14:textId="5173B1E3" w:rsidR="000B0AE0" w:rsidRDefault="000B0AE0" w:rsidP="000B0AE0">
            <w:pPr>
              <w:pStyle w:val="PLANNING"/>
              <w:rPr>
                <w:rFonts w:ascii="Calibri" w:hAnsi="Calibri"/>
                <w:b/>
                <w:bCs/>
                <w:szCs w:val="22"/>
              </w:rPr>
            </w:pPr>
            <w:r w:rsidRPr="00AD3C4F">
              <w:rPr>
                <w:rFonts w:ascii="Calibri" w:hAnsi="Calibri"/>
                <w:bCs/>
                <w:szCs w:val="22"/>
              </w:rPr>
              <w:lastRenderedPageBreak/>
              <w:t>Proposed redevelopment of the existing child day care centre and first floor accommodation into two apartments</w:t>
            </w:r>
            <w:r>
              <w:rPr>
                <w:rFonts w:ascii="Calibri" w:hAnsi="Calibri"/>
                <w:bCs/>
                <w:szCs w:val="22"/>
              </w:rPr>
              <w:t>. (</w:t>
            </w:r>
            <w:r w:rsidRPr="000B0AE0">
              <w:rPr>
                <w:rFonts w:ascii="Calibri" w:hAnsi="Calibri"/>
                <w:szCs w:val="22"/>
              </w:rPr>
              <w:t>Refused</w:t>
            </w:r>
            <w:r>
              <w:rPr>
                <w:rFonts w:ascii="Calibri" w:hAnsi="Calibri"/>
                <w:szCs w:val="22"/>
              </w:rPr>
              <w:t>)</w:t>
            </w:r>
          </w:p>
          <w:p w14:paraId="38527070" w14:textId="5DFA8265" w:rsidR="00132913" w:rsidRPr="00D2449B" w:rsidRDefault="00132913" w:rsidP="00C0704D">
            <w:pPr>
              <w:pStyle w:val="PLANNING"/>
              <w:rPr>
                <w:rFonts w:ascii="Calibri" w:hAnsi="Calibri"/>
                <w:b/>
                <w:bCs/>
                <w:szCs w:val="22"/>
              </w:rPr>
            </w:pPr>
          </w:p>
        </w:tc>
      </w:tr>
      <w:tr w:rsidR="00C0704D" w:rsidRPr="00D2449B" w14:paraId="7349E6D0"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9D4AC2" w14:textId="77777777" w:rsidR="00C0704D" w:rsidRPr="006A71AD" w:rsidRDefault="00C0704D" w:rsidP="006A71AD">
            <w:pPr>
              <w:pStyle w:val="PLANNING"/>
              <w:rPr>
                <w:rFonts w:ascii="Calibri" w:hAnsi="Calibri"/>
                <w:b/>
                <w:bCs/>
                <w:szCs w:val="22"/>
              </w:rPr>
            </w:pPr>
          </w:p>
        </w:tc>
      </w:tr>
      <w:tr w:rsidR="00C0704D" w:rsidRPr="00D2449B" w14:paraId="377F598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8C0F4"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3FA1E0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9AB137"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88D59A7" w14:textId="77777777" w:rsidR="00C0704D" w:rsidRDefault="00C0704D" w:rsidP="00811771">
            <w:pPr>
              <w:pStyle w:val="Header"/>
              <w:tabs>
                <w:tab w:val="clear" w:pos="4153"/>
                <w:tab w:val="clear" w:pos="8306"/>
              </w:tabs>
              <w:contextualSpacing/>
              <w:jc w:val="both"/>
              <w:rPr>
                <w:rFonts w:ascii="Calibri" w:hAnsi="Calibri"/>
                <w:bCs/>
                <w:szCs w:val="22"/>
              </w:rPr>
            </w:pPr>
          </w:p>
          <w:p w14:paraId="725ED676" w14:textId="2B27506F" w:rsidR="00C0704D" w:rsidRDefault="00A87472"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two-storey semi-detached building that currently accommodates two holiday apartments.  The site is located within the defined settlement limits of Copster Green which is designated as a Tier 2 settlement.</w:t>
            </w:r>
          </w:p>
          <w:p w14:paraId="11B5513C" w14:textId="154728A7" w:rsidR="00A87472" w:rsidRPr="006C2BFA" w:rsidRDefault="00A87472" w:rsidP="00B93EB5">
            <w:pPr>
              <w:pStyle w:val="Header"/>
              <w:tabs>
                <w:tab w:val="clear" w:pos="4153"/>
                <w:tab w:val="clear" w:pos="8306"/>
              </w:tabs>
              <w:contextualSpacing/>
              <w:jc w:val="both"/>
              <w:rPr>
                <w:rFonts w:ascii="Calibri" w:hAnsi="Calibri"/>
                <w:bCs/>
                <w:szCs w:val="22"/>
              </w:rPr>
            </w:pPr>
          </w:p>
        </w:tc>
      </w:tr>
      <w:tr w:rsidR="00C0704D" w:rsidRPr="00D2449B" w14:paraId="47D913A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5F957D"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36F6C23D" w14:textId="77777777" w:rsidR="00C0704D" w:rsidRDefault="00C0704D" w:rsidP="00440CB6">
            <w:pPr>
              <w:pStyle w:val="Header"/>
              <w:tabs>
                <w:tab w:val="clear" w:pos="4153"/>
                <w:tab w:val="clear" w:pos="8306"/>
              </w:tabs>
              <w:jc w:val="both"/>
              <w:rPr>
                <w:rFonts w:ascii="Calibri" w:hAnsi="Calibri"/>
                <w:b/>
                <w:szCs w:val="22"/>
              </w:rPr>
            </w:pPr>
          </w:p>
          <w:p w14:paraId="5979B82C" w14:textId="428FA1CF" w:rsidR="005C13D2" w:rsidRDefault="006D10FF" w:rsidP="006D10FF">
            <w:pPr>
              <w:jc w:val="both"/>
              <w:rPr>
                <w:rFonts w:ascii="Calibri" w:hAnsi="Calibri"/>
                <w:szCs w:val="22"/>
              </w:rPr>
            </w:pPr>
            <w:r>
              <w:rPr>
                <w:rFonts w:ascii="Calibri" w:hAnsi="Calibri"/>
                <w:szCs w:val="22"/>
              </w:rPr>
              <w:t>The application seeks consent for the conversion of two holiday lets to that of a single residential dwelling.  It is proposed that the ground floor will accommodate primary living accommodation (lounge/dining and kitchen) with two-bedrooms with an additional lounge being accommodated at first floor with three bedrooms also being provided on the floor.</w:t>
            </w:r>
          </w:p>
          <w:p w14:paraId="1B3F59CB" w14:textId="6864812F" w:rsidR="005C13D2" w:rsidRDefault="005C13D2" w:rsidP="006D10FF">
            <w:pPr>
              <w:jc w:val="both"/>
              <w:rPr>
                <w:rFonts w:ascii="Calibri" w:hAnsi="Calibri"/>
                <w:szCs w:val="22"/>
              </w:rPr>
            </w:pPr>
          </w:p>
          <w:p w14:paraId="1A84DC25" w14:textId="29824FF9" w:rsidR="006D10FF" w:rsidRDefault="005C13D2" w:rsidP="005C13D2">
            <w:pPr>
              <w:jc w:val="both"/>
              <w:rPr>
                <w:rFonts w:ascii="Calibri" w:hAnsi="Calibri"/>
                <w:szCs w:val="22"/>
              </w:rPr>
            </w:pPr>
            <w:r>
              <w:rPr>
                <w:rFonts w:ascii="Calibri" w:hAnsi="Calibri"/>
                <w:szCs w:val="22"/>
              </w:rPr>
              <w:t xml:space="preserve">Externally it is proposed that an existing wraparound porch will be removed from the north and east elevation with a domestic gabled porch being erected on the north elevation.  Two double doors on the east elevation will be removed including the erection of a small infill extension </w:t>
            </w:r>
            <w:r w:rsidR="002678A4">
              <w:rPr>
                <w:rFonts w:ascii="Calibri" w:hAnsi="Calibri"/>
                <w:szCs w:val="22"/>
              </w:rPr>
              <w:t>to accommodate an en-suite bathroom.</w:t>
            </w:r>
          </w:p>
          <w:p w14:paraId="0742CFAA" w14:textId="292555D2" w:rsidR="002678A4" w:rsidRDefault="002678A4" w:rsidP="005C13D2">
            <w:pPr>
              <w:jc w:val="both"/>
              <w:rPr>
                <w:rFonts w:ascii="Calibri" w:hAnsi="Calibri"/>
                <w:szCs w:val="22"/>
              </w:rPr>
            </w:pPr>
          </w:p>
          <w:p w14:paraId="185A2173" w14:textId="65DB8B8C" w:rsidR="002678A4" w:rsidRDefault="002678A4" w:rsidP="005C13D2">
            <w:pPr>
              <w:jc w:val="both"/>
              <w:rPr>
                <w:rFonts w:ascii="Calibri" w:hAnsi="Calibri"/>
                <w:szCs w:val="22"/>
              </w:rPr>
            </w:pPr>
            <w:r>
              <w:rPr>
                <w:rFonts w:ascii="Calibri" w:hAnsi="Calibri"/>
                <w:szCs w:val="22"/>
              </w:rPr>
              <w:t xml:space="preserve">It is proposed that the existing dormers on the rear (south) elevation will be altered with the existing flat-roofed dormer being reconfigured to a gabled configuration.  The existing gabled dormer will also be altered with the existing window being relocated to a more centralised position.  It is further proposed that a </w:t>
            </w:r>
            <w:r w:rsidR="00A87472">
              <w:rPr>
                <w:rFonts w:ascii="Calibri" w:hAnsi="Calibri"/>
                <w:szCs w:val="22"/>
              </w:rPr>
              <w:t>multi-fold</w:t>
            </w:r>
            <w:r>
              <w:rPr>
                <w:rFonts w:ascii="Calibri" w:hAnsi="Calibri"/>
                <w:szCs w:val="22"/>
              </w:rPr>
              <w:t xml:space="preserve"> door arrangement will </w:t>
            </w:r>
            <w:r w:rsidR="00A87472">
              <w:rPr>
                <w:rFonts w:ascii="Calibri" w:hAnsi="Calibri"/>
                <w:szCs w:val="22"/>
              </w:rPr>
              <w:t>be installed on the south elevation with alterations to the existing fenestrational arrangement also being proposed.</w:t>
            </w:r>
          </w:p>
          <w:p w14:paraId="3386723B" w14:textId="44236BD3" w:rsidR="005C13D2" w:rsidRPr="00D54E67" w:rsidRDefault="005C13D2" w:rsidP="005C13D2">
            <w:pPr>
              <w:jc w:val="both"/>
              <w:rPr>
                <w:rFonts w:ascii="Calibri" w:hAnsi="Calibri"/>
                <w:szCs w:val="22"/>
              </w:rPr>
            </w:pPr>
          </w:p>
        </w:tc>
      </w:tr>
      <w:tr w:rsidR="008542DE" w:rsidRPr="00D2449B" w14:paraId="23561D4F"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30E0F0" w14:textId="77777777" w:rsidR="008542DE" w:rsidRDefault="008542DE" w:rsidP="008542DE">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658BDBB7" w14:textId="77777777" w:rsidR="004A3913" w:rsidRDefault="004A3913" w:rsidP="004A3913">
            <w:pPr>
              <w:contextualSpacing/>
              <w:rPr>
                <w:rFonts w:ascii="Calibri" w:hAnsi="Calibri"/>
                <w:b/>
                <w:szCs w:val="22"/>
              </w:rPr>
            </w:pPr>
          </w:p>
          <w:p w14:paraId="45638C97" w14:textId="61A6527F" w:rsidR="004A3913" w:rsidRPr="00C324D1" w:rsidRDefault="00E76EE4" w:rsidP="00C324D1">
            <w:pPr>
              <w:contextualSpacing/>
              <w:jc w:val="both"/>
              <w:rPr>
                <w:rFonts w:ascii="Calibri" w:hAnsi="Calibri"/>
                <w:bCs/>
                <w:szCs w:val="22"/>
              </w:rPr>
            </w:pPr>
            <w:r w:rsidRPr="00C324D1">
              <w:rPr>
                <w:rFonts w:ascii="Calibri" w:hAnsi="Calibri"/>
                <w:bCs/>
                <w:szCs w:val="22"/>
              </w:rPr>
              <w:t xml:space="preserve">The proposal seeks consent for that of the creation of a new residential dwelling </w:t>
            </w:r>
            <w:r w:rsidR="00C324D1" w:rsidRPr="00C324D1">
              <w:rPr>
                <w:rFonts w:ascii="Calibri" w:hAnsi="Calibri"/>
                <w:bCs/>
                <w:szCs w:val="22"/>
              </w:rPr>
              <w:t>within a Tier 2 settlement, as such Policy DMG2 is primarily engaged for the purposes of assessing the principle of the creation of a new residential planning unit in this location.</w:t>
            </w:r>
          </w:p>
          <w:p w14:paraId="47830053" w14:textId="07B05AEE" w:rsidR="00E76EE4" w:rsidRDefault="00E76EE4" w:rsidP="004A3913">
            <w:pPr>
              <w:contextualSpacing/>
              <w:rPr>
                <w:rFonts w:ascii="Calibri" w:hAnsi="Calibri"/>
                <w:b/>
                <w:szCs w:val="22"/>
              </w:rPr>
            </w:pPr>
          </w:p>
          <w:p w14:paraId="60001588" w14:textId="77777777" w:rsidR="00C324D1" w:rsidRPr="003E3A9C" w:rsidRDefault="00C324D1" w:rsidP="00C324D1">
            <w:pPr>
              <w:pStyle w:val="Header"/>
              <w:contextualSpacing/>
              <w:jc w:val="both"/>
              <w:rPr>
                <w:rFonts w:ascii="Calibri" w:hAnsi="Calibri"/>
                <w:bCs/>
                <w:szCs w:val="22"/>
              </w:rPr>
            </w:pPr>
            <w:r w:rsidRPr="003E3A9C">
              <w:rPr>
                <w:rFonts w:ascii="Calibri" w:hAnsi="Calibri"/>
                <w:bCs/>
                <w:szCs w:val="22"/>
              </w:rPr>
              <w:t xml:space="preserve">Policy DMG2 of the Ribble Valley Core Strategy seeks to restrict residential development within the open countryside and Tier 2 Village settlements to that which meets a number of explicit criteria, with Key Statement DS1 also reaffirming these criteria and setting out the overall spatial aspirations for development within the Borough.  </w:t>
            </w:r>
          </w:p>
          <w:p w14:paraId="7E46E41C" w14:textId="77777777" w:rsidR="00C324D1" w:rsidRPr="00C324D1" w:rsidRDefault="00C324D1" w:rsidP="00C324D1">
            <w:pPr>
              <w:pStyle w:val="Header"/>
              <w:contextualSpacing/>
              <w:jc w:val="both"/>
              <w:rPr>
                <w:rFonts w:ascii="Calibri" w:hAnsi="Calibri"/>
                <w:bCs/>
                <w:color w:val="FF0000"/>
                <w:szCs w:val="22"/>
              </w:rPr>
            </w:pPr>
          </w:p>
          <w:p w14:paraId="00AA00FC" w14:textId="23BA04AD" w:rsidR="00C324D1" w:rsidRPr="003E3A9C" w:rsidRDefault="00C324D1" w:rsidP="00C324D1">
            <w:pPr>
              <w:pStyle w:val="Header"/>
              <w:contextualSpacing/>
              <w:jc w:val="both"/>
              <w:rPr>
                <w:rFonts w:ascii="Calibri" w:hAnsi="Calibri"/>
                <w:bCs/>
                <w:szCs w:val="22"/>
              </w:rPr>
            </w:pPr>
            <w:r w:rsidRPr="003E3A9C">
              <w:rPr>
                <w:rFonts w:ascii="Calibri" w:hAnsi="Calibri"/>
                <w:bCs/>
                <w:szCs w:val="22"/>
              </w:rPr>
              <w:t xml:space="preserve">Policy DMG2 is two-fold in its approach to guiding development. The primary part of the policy DMG2(1) is engaged where development proposals are located ‘in’ principal and </w:t>
            </w:r>
            <w:r w:rsidR="003E3A9C" w:rsidRPr="003E3A9C">
              <w:rPr>
                <w:rFonts w:ascii="Calibri" w:hAnsi="Calibri"/>
                <w:bCs/>
                <w:szCs w:val="22"/>
              </w:rPr>
              <w:t>T</w:t>
            </w:r>
            <w:r w:rsidRPr="003E3A9C">
              <w:rPr>
                <w:rFonts w:ascii="Calibri" w:hAnsi="Calibri"/>
                <w:bCs/>
                <w:szCs w:val="22"/>
              </w:rPr>
              <w:t xml:space="preserve">ier 1 settlements with the second part of the policy DMG2(2) being engaged when a proposed development is located ‘outside’ defined settlement areas or within </w:t>
            </w:r>
            <w:r w:rsidR="003E3A9C" w:rsidRPr="003E3A9C">
              <w:rPr>
                <w:rFonts w:ascii="Calibri" w:hAnsi="Calibri"/>
                <w:bCs/>
                <w:szCs w:val="22"/>
              </w:rPr>
              <w:t>T</w:t>
            </w:r>
            <w:r w:rsidRPr="003E3A9C">
              <w:rPr>
                <w:rFonts w:ascii="Calibri" w:hAnsi="Calibri"/>
                <w:bCs/>
                <w:szCs w:val="22"/>
              </w:rPr>
              <w:t xml:space="preserve">ier 2 villages, with each part of the policy therefore being engaged in isolation and independent of the other dependant on the locational aspects of a proposal.  </w:t>
            </w:r>
          </w:p>
          <w:p w14:paraId="14F46BF0" w14:textId="77777777" w:rsidR="00C324D1" w:rsidRPr="00C324D1" w:rsidRDefault="00C324D1" w:rsidP="00C324D1">
            <w:pPr>
              <w:pStyle w:val="Header"/>
              <w:contextualSpacing/>
              <w:jc w:val="both"/>
              <w:rPr>
                <w:rFonts w:ascii="Calibri" w:hAnsi="Calibri"/>
                <w:bCs/>
                <w:color w:val="FF0000"/>
                <w:szCs w:val="22"/>
              </w:rPr>
            </w:pPr>
          </w:p>
          <w:p w14:paraId="7FDD85FD" w14:textId="77777777" w:rsidR="00C324D1" w:rsidRPr="003E3A9C" w:rsidRDefault="00C324D1" w:rsidP="00C324D1">
            <w:pPr>
              <w:pStyle w:val="Header"/>
              <w:contextualSpacing/>
              <w:jc w:val="both"/>
              <w:rPr>
                <w:rFonts w:ascii="Calibri" w:hAnsi="Calibri"/>
                <w:bCs/>
                <w:szCs w:val="22"/>
              </w:rPr>
            </w:pPr>
            <w:r w:rsidRPr="003E3A9C">
              <w:rPr>
                <w:rFonts w:ascii="Calibri" w:hAnsi="Calibri"/>
                <w:bCs/>
                <w:szCs w:val="22"/>
              </w:rPr>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706A4244" w14:textId="77777777" w:rsidR="00C324D1" w:rsidRPr="00C324D1" w:rsidRDefault="00C324D1" w:rsidP="00C324D1">
            <w:pPr>
              <w:pStyle w:val="Header"/>
              <w:contextualSpacing/>
              <w:jc w:val="both"/>
              <w:rPr>
                <w:rFonts w:ascii="Calibri" w:hAnsi="Calibri"/>
                <w:b/>
                <w:color w:val="FF0000"/>
                <w:szCs w:val="22"/>
              </w:rPr>
            </w:pPr>
          </w:p>
          <w:p w14:paraId="377D1CF8" w14:textId="5CD66909" w:rsidR="00C324D1" w:rsidRPr="003E3A9C" w:rsidRDefault="00C324D1" w:rsidP="00C324D1">
            <w:pPr>
              <w:pStyle w:val="Header"/>
              <w:contextualSpacing/>
              <w:jc w:val="both"/>
              <w:rPr>
                <w:rFonts w:ascii="Calibri" w:hAnsi="Calibri"/>
                <w:bCs/>
                <w:szCs w:val="22"/>
              </w:rPr>
            </w:pPr>
            <w:r w:rsidRPr="003E3A9C">
              <w:rPr>
                <w:rFonts w:ascii="Calibri" w:hAnsi="Calibri"/>
                <w:bCs/>
                <w:szCs w:val="22"/>
              </w:rPr>
              <w:t xml:space="preserve">The proposal is located </w:t>
            </w:r>
            <w:r w:rsidR="003E3A9C" w:rsidRPr="003E3A9C">
              <w:rPr>
                <w:rFonts w:ascii="Calibri" w:hAnsi="Calibri"/>
                <w:bCs/>
                <w:szCs w:val="22"/>
              </w:rPr>
              <w:t>within the defined settlement limits</w:t>
            </w:r>
            <w:r w:rsidRPr="003E3A9C">
              <w:rPr>
                <w:rFonts w:ascii="Calibri" w:hAnsi="Calibri"/>
                <w:bCs/>
                <w:szCs w:val="22"/>
              </w:rPr>
              <w:t xml:space="preserve">, in this respect when assessing the </w:t>
            </w:r>
            <w:r w:rsidRPr="003E3A9C">
              <w:rPr>
                <w:rFonts w:ascii="Calibri" w:hAnsi="Calibri"/>
                <w:bCs/>
                <w:szCs w:val="22"/>
              </w:rPr>
              <w:lastRenderedPageBreak/>
              <w:t>locational aspects of development, it is the latter part of Policy DMG2 (Policy DMG2(2)) which remains engaged which states that:</w:t>
            </w:r>
          </w:p>
          <w:p w14:paraId="55CD3015" w14:textId="77777777" w:rsidR="00C324D1" w:rsidRPr="00C324D1" w:rsidRDefault="00C324D1" w:rsidP="00C324D1">
            <w:pPr>
              <w:pStyle w:val="Header"/>
              <w:contextualSpacing/>
              <w:jc w:val="both"/>
              <w:rPr>
                <w:rFonts w:ascii="Calibri" w:hAnsi="Calibri"/>
                <w:bCs/>
                <w:color w:val="FF0000"/>
                <w:szCs w:val="22"/>
              </w:rPr>
            </w:pPr>
          </w:p>
          <w:p w14:paraId="3BBA753D" w14:textId="77777777" w:rsidR="00C324D1" w:rsidRPr="003E3A9C" w:rsidRDefault="00C324D1" w:rsidP="00C324D1">
            <w:pPr>
              <w:pStyle w:val="Header"/>
              <w:contextualSpacing/>
              <w:jc w:val="both"/>
              <w:rPr>
                <w:rFonts w:ascii="Calibri" w:hAnsi="Calibri"/>
                <w:bCs/>
                <w:i/>
                <w:iCs/>
                <w:szCs w:val="22"/>
              </w:rPr>
            </w:pPr>
            <w:r w:rsidRPr="003E3A9C">
              <w:rPr>
                <w:rFonts w:ascii="Calibri" w:hAnsi="Calibri"/>
                <w:bCs/>
                <w:i/>
                <w:iCs/>
                <w:szCs w:val="22"/>
              </w:rPr>
              <w:t>Within the tier 2 villages and outside the defined settlement areas development must meet at least one of the following considerations:</w:t>
            </w:r>
          </w:p>
          <w:p w14:paraId="7B30764E" w14:textId="77777777" w:rsidR="00C324D1" w:rsidRPr="003E3A9C" w:rsidRDefault="00C324D1" w:rsidP="00C324D1">
            <w:pPr>
              <w:pStyle w:val="Header"/>
              <w:contextualSpacing/>
              <w:jc w:val="both"/>
              <w:rPr>
                <w:rFonts w:ascii="Calibri" w:hAnsi="Calibri"/>
                <w:bCs/>
                <w:i/>
                <w:iCs/>
                <w:szCs w:val="22"/>
              </w:rPr>
            </w:pPr>
          </w:p>
          <w:p w14:paraId="0D3783AD" w14:textId="77777777" w:rsidR="00C324D1" w:rsidRPr="003E3A9C" w:rsidRDefault="00C324D1" w:rsidP="00C324D1">
            <w:pPr>
              <w:pStyle w:val="Header"/>
              <w:numPr>
                <w:ilvl w:val="0"/>
                <w:numId w:val="2"/>
              </w:numPr>
              <w:contextualSpacing/>
              <w:jc w:val="both"/>
              <w:rPr>
                <w:rFonts w:ascii="Calibri" w:hAnsi="Calibri"/>
                <w:bCs/>
                <w:i/>
                <w:iCs/>
                <w:szCs w:val="22"/>
              </w:rPr>
            </w:pPr>
            <w:r w:rsidRPr="003E3A9C">
              <w:rPr>
                <w:rFonts w:ascii="Calibri" w:hAnsi="Calibri"/>
                <w:bCs/>
                <w:i/>
                <w:iCs/>
                <w:szCs w:val="22"/>
              </w:rPr>
              <w:t>The development should be essential to the local economy or social wellbeing of the area.</w:t>
            </w:r>
          </w:p>
          <w:p w14:paraId="25C348B5" w14:textId="77777777" w:rsidR="00C324D1" w:rsidRPr="003E3A9C" w:rsidRDefault="00C324D1" w:rsidP="00C324D1">
            <w:pPr>
              <w:pStyle w:val="Header"/>
              <w:numPr>
                <w:ilvl w:val="0"/>
                <w:numId w:val="2"/>
              </w:numPr>
              <w:contextualSpacing/>
              <w:jc w:val="both"/>
              <w:rPr>
                <w:rFonts w:ascii="Calibri" w:hAnsi="Calibri"/>
                <w:bCs/>
                <w:i/>
                <w:iCs/>
                <w:szCs w:val="22"/>
              </w:rPr>
            </w:pPr>
            <w:r w:rsidRPr="003E3A9C">
              <w:rPr>
                <w:rFonts w:ascii="Calibri" w:hAnsi="Calibri"/>
                <w:bCs/>
                <w:i/>
                <w:iCs/>
                <w:szCs w:val="22"/>
              </w:rPr>
              <w:t>The development is needed for the purposes of forestry or agriculture.</w:t>
            </w:r>
          </w:p>
          <w:p w14:paraId="4FC91ED2" w14:textId="77777777" w:rsidR="00C324D1" w:rsidRPr="003E3A9C" w:rsidRDefault="00C324D1" w:rsidP="00C324D1">
            <w:pPr>
              <w:pStyle w:val="Header"/>
              <w:numPr>
                <w:ilvl w:val="0"/>
                <w:numId w:val="2"/>
              </w:numPr>
              <w:contextualSpacing/>
              <w:jc w:val="both"/>
              <w:rPr>
                <w:rFonts w:ascii="Calibri" w:hAnsi="Calibri"/>
                <w:bCs/>
                <w:i/>
                <w:iCs/>
                <w:szCs w:val="22"/>
              </w:rPr>
            </w:pPr>
            <w:r w:rsidRPr="003E3A9C">
              <w:rPr>
                <w:rFonts w:ascii="Calibri" w:hAnsi="Calibri"/>
                <w:bCs/>
                <w:i/>
                <w:iCs/>
                <w:szCs w:val="22"/>
              </w:rPr>
              <w:t>The development is for local needs housing which meets an identified need and is secured as such.</w:t>
            </w:r>
          </w:p>
          <w:p w14:paraId="71B03AAC" w14:textId="77777777" w:rsidR="00C324D1" w:rsidRPr="003E3A9C" w:rsidRDefault="00C324D1" w:rsidP="00C324D1">
            <w:pPr>
              <w:pStyle w:val="Header"/>
              <w:numPr>
                <w:ilvl w:val="0"/>
                <w:numId w:val="2"/>
              </w:numPr>
              <w:contextualSpacing/>
              <w:jc w:val="both"/>
              <w:rPr>
                <w:rFonts w:ascii="Calibri" w:hAnsi="Calibri"/>
                <w:bCs/>
                <w:i/>
                <w:iCs/>
                <w:szCs w:val="22"/>
              </w:rPr>
            </w:pPr>
            <w:r w:rsidRPr="003E3A9C">
              <w:rPr>
                <w:rFonts w:ascii="Calibri" w:hAnsi="Calibri"/>
                <w:bCs/>
                <w:i/>
                <w:iCs/>
                <w:szCs w:val="22"/>
              </w:rPr>
              <w:t>The development is for small scale tourism or recreational developments appropriate to a rural area.</w:t>
            </w:r>
          </w:p>
          <w:p w14:paraId="10C7D744" w14:textId="77777777" w:rsidR="00C324D1" w:rsidRPr="003E3A9C" w:rsidRDefault="00C324D1" w:rsidP="00C324D1">
            <w:pPr>
              <w:pStyle w:val="Header"/>
              <w:numPr>
                <w:ilvl w:val="0"/>
                <w:numId w:val="2"/>
              </w:numPr>
              <w:contextualSpacing/>
              <w:jc w:val="both"/>
              <w:rPr>
                <w:rFonts w:ascii="Calibri" w:hAnsi="Calibri"/>
                <w:bCs/>
                <w:i/>
                <w:iCs/>
                <w:szCs w:val="22"/>
              </w:rPr>
            </w:pPr>
            <w:r w:rsidRPr="003E3A9C">
              <w:rPr>
                <w:rFonts w:ascii="Calibri" w:hAnsi="Calibri"/>
                <w:bCs/>
                <w:i/>
                <w:iCs/>
                <w:szCs w:val="22"/>
              </w:rPr>
              <w:t>The development is for small‐scale uses appropriate to a rural area where a local need or benefit can be demonstrated.</w:t>
            </w:r>
          </w:p>
          <w:p w14:paraId="5D9A0C11" w14:textId="77777777" w:rsidR="00C324D1" w:rsidRPr="00C324D1" w:rsidRDefault="00C324D1" w:rsidP="00C324D1">
            <w:pPr>
              <w:pStyle w:val="Header"/>
              <w:contextualSpacing/>
              <w:jc w:val="both"/>
              <w:rPr>
                <w:rFonts w:ascii="Calibri" w:hAnsi="Calibri"/>
                <w:bCs/>
                <w:color w:val="FF0000"/>
                <w:szCs w:val="22"/>
              </w:rPr>
            </w:pPr>
          </w:p>
          <w:p w14:paraId="79CDC323" w14:textId="77777777" w:rsidR="00C324D1" w:rsidRPr="003E3A9C" w:rsidRDefault="00C324D1" w:rsidP="00C324D1">
            <w:pPr>
              <w:pStyle w:val="Header"/>
              <w:contextualSpacing/>
              <w:jc w:val="both"/>
              <w:rPr>
                <w:rFonts w:ascii="Calibri" w:hAnsi="Calibri"/>
                <w:bCs/>
                <w:szCs w:val="22"/>
              </w:rPr>
            </w:pPr>
            <w:r w:rsidRPr="003E3A9C">
              <w:rPr>
                <w:rFonts w:ascii="Calibri" w:hAnsi="Calibri"/>
                <w:bCs/>
                <w:szCs w:val="22"/>
              </w:rPr>
              <w:t xml:space="preserve">In respect of the matter of ‘local need’, need is defined within the Adopted Core Strategy as </w:t>
            </w:r>
            <w:r w:rsidRPr="003E3A9C">
              <w:rPr>
                <w:rFonts w:ascii="Calibri" w:hAnsi="Calibri"/>
                <w:bCs/>
                <w:i/>
                <w:iCs/>
                <w:szCs w:val="22"/>
              </w:rPr>
              <w:t>‘Local needs housing is the housing developed to meet the needs of existing and concealed households living within the parish and surrounding parishes which is evidenced by the Housing Needs Survey for the parish, the Housing Waiting List and the Strategic Housing Market Assessment’.</w:t>
            </w:r>
            <w:r w:rsidRPr="003E3A9C">
              <w:rPr>
                <w:rFonts w:ascii="Calibri" w:hAnsi="Calibri"/>
                <w:bCs/>
                <w:szCs w:val="22"/>
              </w:rPr>
              <w:t xml:space="preserve">  </w:t>
            </w:r>
          </w:p>
          <w:p w14:paraId="65C4032F" w14:textId="77777777" w:rsidR="00C324D1" w:rsidRPr="00C324D1" w:rsidRDefault="00C324D1" w:rsidP="00C324D1">
            <w:pPr>
              <w:pStyle w:val="Header"/>
              <w:contextualSpacing/>
              <w:jc w:val="both"/>
              <w:rPr>
                <w:rFonts w:ascii="Calibri" w:hAnsi="Calibri"/>
                <w:bCs/>
                <w:color w:val="FF0000"/>
                <w:szCs w:val="22"/>
              </w:rPr>
            </w:pPr>
          </w:p>
          <w:p w14:paraId="42C52A3B" w14:textId="3B3860EC" w:rsidR="003E3A9C" w:rsidRPr="003E3A9C" w:rsidRDefault="00C324D1" w:rsidP="00C324D1">
            <w:pPr>
              <w:contextualSpacing/>
              <w:jc w:val="both"/>
              <w:rPr>
                <w:rFonts w:ascii="Calibri" w:hAnsi="Calibri"/>
                <w:bCs/>
                <w:szCs w:val="22"/>
              </w:rPr>
            </w:pPr>
            <w:r w:rsidRPr="003E3A9C">
              <w:rPr>
                <w:rFonts w:ascii="Calibri" w:hAnsi="Calibri"/>
                <w:bCs/>
                <w:szCs w:val="22"/>
              </w:rPr>
              <w:t xml:space="preserve">No such information has been provided that would suggest the proposal is that for local needs housing </w:t>
            </w:r>
            <w:r w:rsidR="003E3A9C" w:rsidRPr="003E3A9C">
              <w:rPr>
                <w:rFonts w:ascii="Calibri" w:hAnsi="Calibri"/>
                <w:bCs/>
                <w:szCs w:val="22"/>
              </w:rPr>
              <w:t>that meets an identified need</w:t>
            </w:r>
            <w:r w:rsidRPr="003E3A9C">
              <w:rPr>
                <w:rFonts w:ascii="Calibri" w:hAnsi="Calibri"/>
                <w:bCs/>
                <w:szCs w:val="22"/>
              </w:rPr>
              <w:t xml:space="preserve">, nor can it be argued that the development is needed for the </w:t>
            </w:r>
            <w:r w:rsidRPr="003E3A9C">
              <w:rPr>
                <w:rFonts w:ascii="Calibri" w:hAnsi="Calibri"/>
                <w:bCs/>
                <w:i/>
                <w:iCs/>
                <w:szCs w:val="22"/>
              </w:rPr>
              <w:t>‘purposes of forestry or agriculture’.</w:t>
            </w:r>
            <w:r w:rsidR="003E3A9C">
              <w:rPr>
                <w:rFonts w:ascii="Calibri" w:hAnsi="Calibri"/>
                <w:bCs/>
                <w:i/>
                <w:iCs/>
                <w:szCs w:val="22"/>
              </w:rPr>
              <w:t xml:space="preserve">  </w:t>
            </w:r>
            <w:r w:rsidR="003E3A9C" w:rsidRPr="003E3A9C">
              <w:rPr>
                <w:rFonts w:ascii="Calibri" w:hAnsi="Calibri"/>
                <w:bCs/>
                <w:szCs w:val="22"/>
              </w:rPr>
              <w:t>As such, notwithstanding other development management considerations, the principle of the creation of a new residential dwelling in this location is in direct and clear conflict with the criterion of Policy DMG2.</w:t>
            </w:r>
          </w:p>
          <w:p w14:paraId="686C1409" w14:textId="07DCF44E" w:rsidR="00A87472" w:rsidRDefault="00A87472" w:rsidP="004A3913">
            <w:pPr>
              <w:contextualSpacing/>
              <w:rPr>
                <w:rFonts w:ascii="Calibri" w:hAnsi="Calibri"/>
                <w:b/>
                <w:szCs w:val="22"/>
              </w:rPr>
            </w:pPr>
          </w:p>
          <w:p w14:paraId="42951081" w14:textId="0CC6A0D2" w:rsidR="004135F0" w:rsidRPr="00925810" w:rsidRDefault="004135F0" w:rsidP="004135F0">
            <w:pPr>
              <w:contextualSpacing/>
              <w:jc w:val="both"/>
              <w:rPr>
                <w:rFonts w:ascii="Calibri" w:hAnsi="Calibri"/>
                <w:bCs/>
                <w:szCs w:val="22"/>
              </w:rPr>
            </w:pPr>
            <w:r w:rsidRPr="004135F0">
              <w:rPr>
                <w:rFonts w:ascii="Calibri" w:hAnsi="Calibri"/>
                <w:bCs/>
                <w:szCs w:val="22"/>
              </w:rPr>
              <w:t xml:space="preserve">Key Statement DS1 is also of relevance insofar that it further sets out the locational aspirations for new residential housing growth within the borough.  In this respect DS1 states that </w:t>
            </w:r>
            <w:r w:rsidRPr="004135F0">
              <w:rPr>
                <w:rFonts w:ascii="Calibri" w:hAnsi="Calibri"/>
                <w:bCs/>
                <w:i/>
                <w:iCs/>
                <w:szCs w:val="22"/>
              </w:rPr>
              <w:t>‘in the 23 remaining Tier 2 Village settlements, which are the less sustainable of the 32 defined settlements, development will need to meet proven local needs or deliver regeneration benefits’.</w:t>
            </w:r>
            <w:r w:rsidR="00925810">
              <w:rPr>
                <w:rFonts w:ascii="Calibri" w:hAnsi="Calibri"/>
                <w:bCs/>
                <w:i/>
                <w:iCs/>
                <w:szCs w:val="22"/>
              </w:rPr>
              <w:t xml:space="preserve">  </w:t>
            </w:r>
            <w:r w:rsidR="00925810">
              <w:rPr>
                <w:rFonts w:ascii="Calibri" w:hAnsi="Calibri"/>
                <w:bCs/>
                <w:szCs w:val="22"/>
              </w:rPr>
              <w:t>Given the proposal is not that which meets a proven local need nor does it deliver any measurable regeneration benefits, it cannot be considered that the proposal aligns with the main aims and objectives of Key Statement DS1.</w:t>
            </w:r>
          </w:p>
          <w:p w14:paraId="5508D642" w14:textId="77777777" w:rsidR="004135F0" w:rsidRDefault="004135F0" w:rsidP="004A3913">
            <w:pPr>
              <w:contextualSpacing/>
              <w:rPr>
                <w:rFonts w:ascii="Calibri" w:hAnsi="Calibri"/>
                <w:b/>
                <w:szCs w:val="22"/>
              </w:rPr>
            </w:pPr>
          </w:p>
          <w:p w14:paraId="2F8CC90E" w14:textId="77777777" w:rsidR="00AA2246" w:rsidRPr="00597039" w:rsidRDefault="00AA2246" w:rsidP="00AA2246">
            <w:pPr>
              <w:pStyle w:val="Header"/>
              <w:contextualSpacing/>
              <w:jc w:val="both"/>
              <w:rPr>
                <w:rFonts w:ascii="Calibri" w:hAnsi="Calibri"/>
                <w:bCs/>
                <w:szCs w:val="22"/>
              </w:rPr>
            </w:pPr>
            <w:r w:rsidRPr="00AA2246">
              <w:rPr>
                <w:rFonts w:ascii="Calibri" w:hAnsi="Calibri"/>
                <w:bCs/>
                <w:szCs w:val="22"/>
              </w:rPr>
              <w:t>The supporting information states that the proposal is that of ‘conversion’, as such consideration must be given to the requirements of Policy DMH4.</w:t>
            </w:r>
            <w:r>
              <w:rPr>
                <w:rFonts w:ascii="Calibri" w:hAnsi="Calibri"/>
                <w:b/>
                <w:szCs w:val="22"/>
              </w:rPr>
              <w:t xml:space="preserve">  </w:t>
            </w:r>
            <w:r w:rsidRPr="00597039">
              <w:rPr>
                <w:rFonts w:ascii="Calibri" w:hAnsi="Calibri"/>
                <w:bCs/>
                <w:szCs w:val="22"/>
              </w:rPr>
              <w:t>Policy DMH4 allows for the creation of new residential planning unts through the conversion of existing buildings subject to such proposals meeting a number of explicit criterion, in this respect the Policy reads:</w:t>
            </w:r>
          </w:p>
          <w:p w14:paraId="4709EAE3" w14:textId="77777777" w:rsidR="00AA2246" w:rsidRDefault="00AA2246" w:rsidP="00AA2246">
            <w:pPr>
              <w:pStyle w:val="Header"/>
              <w:contextualSpacing/>
              <w:jc w:val="both"/>
              <w:rPr>
                <w:rFonts w:ascii="Calibri" w:hAnsi="Calibri"/>
                <w:b/>
                <w:szCs w:val="22"/>
              </w:rPr>
            </w:pPr>
          </w:p>
          <w:p w14:paraId="6284E745" w14:textId="77777777" w:rsidR="00AA2246" w:rsidRPr="00597039" w:rsidRDefault="00AA2246" w:rsidP="00AA2246">
            <w:pPr>
              <w:jc w:val="both"/>
              <w:rPr>
                <w:rFonts w:asciiTheme="minorHAnsi" w:hAnsiTheme="minorHAnsi" w:cstheme="minorHAnsi"/>
                <w:i/>
                <w:iCs/>
                <w:szCs w:val="22"/>
              </w:rPr>
            </w:pPr>
            <w:r w:rsidRPr="00597039">
              <w:rPr>
                <w:rFonts w:asciiTheme="minorHAnsi" w:hAnsiTheme="minorHAnsi" w:cstheme="minorHAnsi"/>
                <w:i/>
                <w:iCs/>
                <w:szCs w:val="22"/>
              </w:rPr>
              <w:t>Planning permission will be granted for the conversion of buildings to dwellings where</w:t>
            </w:r>
          </w:p>
          <w:p w14:paraId="1FA935FC" w14:textId="77777777" w:rsidR="00AA2246" w:rsidRPr="00597039" w:rsidRDefault="00AA2246" w:rsidP="00AA2246">
            <w:pPr>
              <w:jc w:val="both"/>
              <w:rPr>
                <w:rFonts w:asciiTheme="minorHAnsi" w:hAnsiTheme="minorHAnsi" w:cstheme="minorHAnsi"/>
                <w:i/>
                <w:iCs/>
                <w:szCs w:val="22"/>
              </w:rPr>
            </w:pPr>
          </w:p>
          <w:p w14:paraId="3988B7F3" w14:textId="77777777" w:rsidR="00AA2246" w:rsidRPr="00597039" w:rsidRDefault="00AA2246" w:rsidP="00AA2246">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597039">
              <w:rPr>
                <w:rFonts w:asciiTheme="minorHAnsi" w:hAnsiTheme="minorHAnsi" w:cstheme="minorHAnsi"/>
                <w:i/>
                <w:iCs/>
                <w:szCs w:val="22"/>
              </w:rPr>
              <w:t>The building is not isolated in the landscape, i.e. it is within a defined settlement or forms part of an already group of buildings, and</w:t>
            </w:r>
          </w:p>
          <w:p w14:paraId="4D05AFFB" w14:textId="77777777" w:rsidR="00AA2246" w:rsidRPr="00597039" w:rsidRDefault="00AA2246" w:rsidP="00AA2246">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597039">
              <w:rPr>
                <w:rFonts w:asciiTheme="minorHAnsi" w:hAnsiTheme="minorHAnsi" w:cstheme="minorHAnsi"/>
                <w:i/>
                <w:iCs/>
                <w:szCs w:val="22"/>
              </w:rPr>
              <w:t>There need be no unnecessary expenditure by public authorities and utilities on the provision of infrastructure, and</w:t>
            </w:r>
          </w:p>
          <w:p w14:paraId="6E3D0DB1" w14:textId="77777777" w:rsidR="00AA2246" w:rsidRPr="00597039" w:rsidRDefault="00AA2246" w:rsidP="00AA2246">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597039">
              <w:rPr>
                <w:rFonts w:asciiTheme="minorHAnsi" w:hAnsiTheme="minorHAnsi" w:cstheme="minorHAnsi"/>
                <w:i/>
                <w:iCs/>
                <w:szCs w:val="22"/>
              </w:rPr>
              <w:t>There would be no materially damaging effect on the landscape qualities of the area or harm to nature conservations interests, and</w:t>
            </w:r>
          </w:p>
          <w:p w14:paraId="37433384" w14:textId="77777777" w:rsidR="00AA2246" w:rsidRPr="00597039" w:rsidRDefault="00AA2246" w:rsidP="00AA2246">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597039">
              <w:rPr>
                <w:rFonts w:asciiTheme="minorHAnsi" w:hAnsiTheme="minorHAnsi" w:cstheme="minorHAnsi"/>
                <w:i/>
                <w:iCs/>
                <w:szCs w:val="22"/>
              </w:rPr>
              <w:t>There would be no detrimental effect on the rural economy, and</w:t>
            </w:r>
          </w:p>
          <w:p w14:paraId="281C1E4E" w14:textId="77777777" w:rsidR="00AA2246" w:rsidRPr="00597039" w:rsidRDefault="00AA2246" w:rsidP="00AA2246">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597039">
              <w:rPr>
                <w:rFonts w:asciiTheme="minorHAnsi" w:hAnsiTheme="minorHAnsi" w:cstheme="minorHAnsi"/>
                <w:i/>
                <w:iCs/>
                <w:szCs w:val="22"/>
              </w:rPr>
              <w:t>The proposals are consistent with the conservation of the natural beauty of the area.</w:t>
            </w:r>
          </w:p>
          <w:p w14:paraId="59C35786" w14:textId="77777777" w:rsidR="00AA2246" w:rsidRPr="00597039" w:rsidRDefault="00AA2246" w:rsidP="00AA2246">
            <w:pPr>
              <w:pStyle w:val="ListParagraph"/>
              <w:numPr>
                <w:ilvl w:val="0"/>
                <w:numId w:val="3"/>
              </w:numPr>
              <w:overflowPunct/>
              <w:autoSpaceDE/>
              <w:autoSpaceDN/>
              <w:adjustRightInd/>
              <w:jc w:val="both"/>
              <w:textAlignment w:val="auto"/>
              <w:rPr>
                <w:rFonts w:asciiTheme="minorHAnsi" w:hAnsiTheme="minorHAnsi" w:cstheme="minorHAnsi"/>
                <w:i/>
                <w:iCs/>
                <w:szCs w:val="22"/>
              </w:rPr>
            </w:pPr>
            <w:r w:rsidRPr="00597039">
              <w:rPr>
                <w:rFonts w:asciiTheme="minorHAnsi" w:hAnsiTheme="minorHAnsi" w:cstheme="minorHAnsi"/>
                <w:i/>
                <w:iCs/>
                <w:szCs w:val="22"/>
              </w:rPr>
              <w:t>That any existing nature conservation aspects of the existing structure are properly surveyed and where judged to be significant preserved or, if this is not possible, then any loss adequately mitigated.</w:t>
            </w:r>
          </w:p>
          <w:p w14:paraId="36018A92" w14:textId="77777777" w:rsidR="00AA2246" w:rsidRPr="00597039" w:rsidRDefault="00AA2246" w:rsidP="00AA2246">
            <w:pPr>
              <w:jc w:val="both"/>
              <w:rPr>
                <w:rFonts w:asciiTheme="minorHAnsi" w:hAnsiTheme="minorHAnsi" w:cstheme="minorHAnsi"/>
                <w:i/>
                <w:iCs/>
                <w:szCs w:val="22"/>
              </w:rPr>
            </w:pPr>
          </w:p>
          <w:p w14:paraId="742DC32D" w14:textId="77777777" w:rsidR="00AA2246" w:rsidRPr="00597039" w:rsidRDefault="00AA2246" w:rsidP="00AA2246">
            <w:pPr>
              <w:rPr>
                <w:rFonts w:asciiTheme="minorHAnsi" w:eastAsiaTheme="minorHAnsi" w:hAnsiTheme="minorHAnsi" w:cstheme="minorHAnsi"/>
                <w:i/>
                <w:iCs/>
                <w:szCs w:val="22"/>
              </w:rPr>
            </w:pPr>
            <w:r w:rsidRPr="00597039">
              <w:rPr>
                <w:rFonts w:asciiTheme="minorHAnsi" w:eastAsiaTheme="minorHAnsi" w:hAnsiTheme="minorHAnsi" w:cstheme="minorHAnsi"/>
                <w:i/>
                <w:iCs/>
                <w:szCs w:val="22"/>
              </w:rPr>
              <w:t>The building to be converted must:</w:t>
            </w:r>
          </w:p>
          <w:p w14:paraId="1AA581C6" w14:textId="77777777" w:rsidR="00AA2246" w:rsidRPr="00597039" w:rsidRDefault="00AA2246" w:rsidP="00AA2246">
            <w:pPr>
              <w:rPr>
                <w:rFonts w:asciiTheme="minorHAnsi" w:eastAsiaTheme="minorHAnsi" w:hAnsiTheme="minorHAnsi" w:cstheme="minorHAnsi"/>
                <w:i/>
                <w:iCs/>
                <w:szCs w:val="22"/>
              </w:rPr>
            </w:pPr>
          </w:p>
          <w:p w14:paraId="5A70361C" w14:textId="77777777" w:rsidR="00AA2246" w:rsidRPr="00597039" w:rsidRDefault="00AA2246" w:rsidP="00AA2246">
            <w:pPr>
              <w:pStyle w:val="ListParagraph"/>
              <w:numPr>
                <w:ilvl w:val="0"/>
                <w:numId w:val="4"/>
              </w:numPr>
              <w:overflowPunct/>
              <w:textAlignment w:val="auto"/>
              <w:rPr>
                <w:rFonts w:asciiTheme="minorHAnsi" w:eastAsiaTheme="minorHAnsi" w:hAnsiTheme="minorHAnsi" w:cstheme="minorHAnsi"/>
                <w:i/>
                <w:iCs/>
                <w:szCs w:val="22"/>
              </w:rPr>
            </w:pPr>
            <w:r w:rsidRPr="00597039">
              <w:rPr>
                <w:rFonts w:asciiTheme="minorHAnsi" w:eastAsiaTheme="minorHAnsi" w:hAnsiTheme="minorHAnsi" w:cstheme="minorHAnsi"/>
                <w:i/>
                <w:iCs/>
                <w:szCs w:val="22"/>
              </w:rPr>
              <w:lastRenderedPageBreak/>
              <w:t>Be structurally sound and capable of conversion for the proposed use without the need for extensive building or major alternation, which would adversely affect the character or appearance of the building. the council will require a structural survey to be submitted with all planning application of this nature. this should include plans of any rebuilding that is proposed;</w:t>
            </w:r>
          </w:p>
          <w:p w14:paraId="1DD8BE52" w14:textId="77777777" w:rsidR="00AA2246" w:rsidRPr="00597039" w:rsidRDefault="00AA2246" w:rsidP="00AA2246">
            <w:pPr>
              <w:pStyle w:val="ListParagraph"/>
              <w:numPr>
                <w:ilvl w:val="0"/>
                <w:numId w:val="4"/>
              </w:numPr>
              <w:overflowPunct/>
              <w:textAlignment w:val="auto"/>
              <w:rPr>
                <w:rFonts w:asciiTheme="minorHAnsi" w:eastAsiaTheme="minorHAnsi" w:hAnsiTheme="minorHAnsi" w:cstheme="minorHAnsi"/>
                <w:i/>
                <w:iCs/>
                <w:szCs w:val="22"/>
              </w:rPr>
            </w:pPr>
            <w:r w:rsidRPr="00597039">
              <w:rPr>
                <w:rFonts w:asciiTheme="minorHAnsi" w:eastAsiaTheme="minorHAnsi" w:hAnsiTheme="minorHAnsi" w:cstheme="minorHAnsi"/>
                <w:i/>
                <w:iCs/>
                <w:szCs w:val="22"/>
              </w:rPr>
              <w:t>Be of a sufficient size to provide necessary living accommodation without the need for further extensions which would harm the character or appearance of the building, and</w:t>
            </w:r>
          </w:p>
          <w:p w14:paraId="1F0A03B7" w14:textId="77777777" w:rsidR="00AA2246" w:rsidRPr="00597039" w:rsidRDefault="00AA2246" w:rsidP="00AA2246">
            <w:pPr>
              <w:pStyle w:val="ListParagraph"/>
              <w:numPr>
                <w:ilvl w:val="0"/>
                <w:numId w:val="4"/>
              </w:numPr>
              <w:overflowPunct/>
              <w:textAlignment w:val="auto"/>
              <w:rPr>
                <w:rFonts w:asciiTheme="minorHAnsi" w:eastAsiaTheme="minorHAnsi" w:hAnsiTheme="minorHAnsi" w:cstheme="minorHAnsi"/>
                <w:i/>
                <w:iCs/>
                <w:szCs w:val="22"/>
              </w:rPr>
            </w:pPr>
            <w:r w:rsidRPr="00597039">
              <w:rPr>
                <w:rFonts w:asciiTheme="minorHAnsi" w:eastAsiaTheme="minorHAnsi" w:hAnsiTheme="minorHAnsi" w:cstheme="minorHAnsi"/>
                <w:i/>
                <w:iCs/>
                <w:szCs w:val="22"/>
              </w:rPr>
              <w:t>The character of the building and its materials are appropriate to its surroundings and the building and its materials are worthy of retention because of its intrinsic interest or potential or its contribution to its setting, and</w:t>
            </w:r>
          </w:p>
          <w:p w14:paraId="5E3D5899" w14:textId="77777777" w:rsidR="00AA2246" w:rsidRPr="00597039" w:rsidRDefault="00AA2246" w:rsidP="00AA2246">
            <w:pPr>
              <w:pStyle w:val="ListParagraph"/>
              <w:numPr>
                <w:ilvl w:val="0"/>
                <w:numId w:val="4"/>
              </w:numPr>
              <w:overflowPunct/>
              <w:textAlignment w:val="auto"/>
              <w:rPr>
                <w:rFonts w:asciiTheme="minorHAnsi" w:eastAsiaTheme="minorHAnsi" w:hAnsiTheme="minorHAnsi" w:cstheme="minorHAnsi"/>
                <w:i/>
                <w:iCs/>
                <w:szCs w:val="22"/>
              </w:rPr>
            </w:pPr>
            <w:r w:rsidRPr="00597039">
              <w:rPr>
                <w:rFonts w:asciiTheme="minorHAnsi" w:eastAsiaTheme="minorHAnsi" w:hAnsiTheme="minorHAnsi" w:cstheme="minorHAnsi"/>
                <w:i/>
                <w:iCs/>
                <w:szCs w:val="22"/>
              </w:rPr>
              <w:t>The building has a genuine history of use for agriculture or another rural enterprise.</w:t>
            </w:r>
          </w:p>
          <w:p w14:paraId="147FDB45" w14:textId="727CCC9B" w:rsidR="00525518" w:rsidRDefault="00AA2246" w:rsidP="00AA2246">
            <w:pPr>
              <w:contextualSpacing/>
              <w:rPr>
                <w:rFonts w:ascii="Calibri" w:hAnsi="Calibri"/>
                <w:b/>
                <w:szCs w:val="22"/>
              </w:rPr>
            </w:pPr>
            <w:r>
              <w:rPr>
                <w:rFonts w:ascii="Calibri" w:hAnsi="Calibri"/>
                <w:b/>
                <w:szCs w:val="22"/>
              </w:rPr>
              <w:t xml:space="preserve"> </w:t>
            </w:r>
          </w:p>
          <w:p w14:paraId="43137861" w14:textId="41BD4CF6" w:rsidR="00AA2246" w:rsidRDefault="00BB07EB" w:rsidP="00BB07EB">
            <w:pPr>
              <w:contextualSpacing/>
              <w:jc w:val="both"/>
              <w:rPr>
                <w:rFonts w:ascii="Calibri" w:hAnsi="Calibri"/>
                <w:bCs/>
                <w:i/>
                <w:iCs/>
                <w:szCs w:val="22"/>
              </w:rPr>
            </w:pPr>
            <w:r w:rsidRPr="00BB07EB">
              <w:rPr>
                <w:rFonts w:ascii="Calibri" w:hAnsi="Calibri"/>
                <w:bCs/>
                <w:szCs w:val="22"/>
              </w:rPr>
              <w:t xml:space="preserve">The building currently accommodates two holiday lets with the prior use being that of a childrens nursery.  In this respect the proposal fails to meet the essential criterion of the latter part of Policy DMH4 insofar that the building does not benefit from a </w:t>
            </w:r>
            <w:r w:rsidRPr="00BB07EB">
              <w:rPr>
                <w:rFonts w:ascii="Calibri" w:hAnsi="Calibri"/>
                <w:bCs/>
                <w:i/>
                <w:iCs/>
                <w:szCs w:val="22"/>
              </w:rPr>
              <w:t>‘genuine history of use for agriculture or another rural enterprise’.</w:t>
            </w:r>
          </w:p>
          <w:p w14:paraId="163E46EC" w14:textId="6E337F22" w:rsidR="00BB07EB" w:rsidRDefault="00BB07EB" w:rsidP="00BB07EB">
            <w:pPr>
              <w:contextualSpacing/>
              <w:jc w:val="both"/>
              <w:rPr>
                <w:rFonts w:ascii="Calibri" w:hAnsi="Calibri"/>
                <w:bCs/>
                <w:i/>
                <w:iCs/>
                <w:szCs w:val="22"/>
              </w:rPr>
            </w:pPr>
          </w:p>
          <w:p w14:paraId="1EF4E6E1" w14:textId="078CF4B1" w:rsidR="00AA2246" w:rsidRDefault="00BB07EB" w:rsidP="00BB07EB">
            <w:pPr>
              <w:contextualSpacing/>
              <w:jc w:val="both"/>
              <w:rPr>
                <w:rFonts w:ascii="Calibri" w:hAnsi="Calibri"/>
                <w:bCs/>
                <w:szCs w:val="22"/>
              </w:rPr>
            </w:pPr>
            <w:r w:rsidRPr="00BB07EB">
              <w:rPr>
                <w:rFonts w:ascii="Calibri" w:hAnsi="Calibri"/>
                <w:bCs/>
                <w:szCs w:val="22"/>
              </w:rPr>
              <w:t xml:space="preserve">As such, and taking account of the above matters, it can only be concluded that the proposal is considered contrary to </w:t>
            </w:r>
            <w:r w:rsidR="004135F0">
              <w:rPr>
                <w:rFonts w:ascii="Calibri" w:hAnsi="Calibri"/>
                <w:bCs/>
                <w:szCs w:val="22"/>
              </w:rPr>
              <w:t xml:space="preserve">Key Statement DS1 and </w:t>
            </w:r>
            <w:r w:rsidRPr="00BB07EB">
              <w:rPr>
                <w:rFonts w:ascii="Calibri" w:hAnsi="Calibri"/>
                <w:bCs/>
                <w:szCs w:val="22"/>
              </w:rPr>
              <w:t>Policies DMG2</w:t>
            </w:r>
            <w:r>
              <w:rPr>
                <w:rFonts w:ascii="Calibri" w:hAnsi="Calibri"/>
                <w:bCs/>
                <w:szCs w:val="22"/>
              </w:rPr>
              <w:t xml:space="preserve"> </w:t>
            </w:r>
            <w:r w:rsidRPr="00BB07EB">
              <w:rPr>
                <w:rFonts w:ascii="Calibri" w:hAnsi="Calibri"/>
                <w:bCs/>
                <w:szCs w:val="22"/>
              </w:rPr>
              <w:t xml:space="preserve"> and DMH4 of the Ribble Valley Core Strategy in that approval would lead to the creation of a new residential dwelling in </w:t>
            </w:r>
            <w:r>
              <w:rPr>
                <w:rFonts w:ascii="Calibri" w:hAnsi="Calibri"/>
                <w:bCs/>
                <w:szCs w:val="22"/>
              </w:rPr>
              <w:t>a Tier 2 settlement</w:t>
            </w:r>
            <w:r w:rsidRPr="00BB07EB">
              <w:rPr>
                <w:rFonts w:ascii="Calibri" w:hAnsi="Calibri"/>
                <w:bCs/>
                <w:szCs w:val="22"/>
              </w:rPr>
              <w:t>, without sufficient justification insofar that it has not been adequately demonstrated that the proposal is for that of local needs housing that meets a current identified and evidenced outstanding need.</w:t>
            </w:r>
          </w:p>
          <w:p w14:paraId="29812D91" w14:textId="5BBDE067" w:rsidR="00BB07EB" w:rsidRDefault="00BB07EB" w:rsidP="00BB07EB">
            <w:pPr>
              <w:contextualSpacing/>
              <w:jc w:val="both"/>
              <w:rPr>
                <w:rFonts w:ascii="Calibri" w:hAnsi="Calibri"/>
                <w:b/>
                <w:szCs w:val="22"/>
              </w:rPr>
            </w:pPr>
          </w:p>
          <w:p w14:paraId="1E56A942" w14:textId="0AF8F622" w:rsidR="00BB07EB" w:rsidRDefault="00925810" w:rsidP="00BB07EB">
            <w:pPr>
              <w:contextualSpacing/>
              <w:jc w:val="both"/>
              <w:rPr>
                <w:rFonts w:ascii="Calibri" w:hAnsi="Calibri"/>
                <w:bCs/>
                <w:szCs w:val="22"/>
              </w:rPr>
            </w:pPr>
            <w:r w:rsidRPr="00000EA9">
              <w:rPr>
                <w:rFonts w:ascii="Calibri" w:hAnsi="Calibri"/>
                <w:bCs/>
                <w:szCs w:val="22"/>
              </w:rPr>
              <w:t xml:space="preserve">Notwithstanding the above identified conflict with the adopted development plan, </w:t>
            </w:r>
            <w:r w:rsidR="00000EA9" w:rsidRPr="00000EA9">
              <w:rPr>
                <w:rFonts w:ascii="Calibri" w:hAnsi="Calibri"/>
                <w:bCs/>
                <w:szCs w:val="22"/>
              </w:rPr>
              <w:t>g</w:t>
            </w:r>
            <w:r w:rsidR="004135F0" w:rsidRPr="00000EA9">
              <w:rPr>
                <w:rFonts w:ascii="Calibri" w:hAnsi="Calibri"/>
                <w:bCs/>
                <w:szCs w:val="22"/>
              </w:rPr>
              <w:t xml:space="preserve">iven the Tier 2 location of the site, consideration must also be given in respect of the sustainability of the settlement and its appropriateness for accommodating further residential housing growth.  </w:t>
            </w:r>
          </w:p>
          <w:p w14:paraId="0C071B4B" w14:textId="07AED4C8" w:rsidR="00000EA9" w:rsidRDefault="00000EA9" w:rsidP="00BB07EB">
            <w:pPr>
              <w:contextualSpacing/>
              <w:jc w:val="both"/>
              <w:rPr>
                <w:rFonts w:ascii="Calibri" w:hAnsi="Calibri"/>
                <w:bCs/>
                <w:szCs w:val="22"/>
              </w:rPr>
            </w:pPr>
          </w:p>
          <w:p w14:paraId="3E5872FD" w14:textId="13FE2091" w:rsidR="006748F2" w:rsidRDefault="00000EA9" w:rsidP="00BB07EB">
            <w:pPr>
              <w:contextualSpacing/>
              <w:jc w:val="both"/>
              <w:rPr>
                <w:rFonts w:asciiTheme="minorHAnsi" w:hAnsiTheme="minorHAnsi" w:cstheme="minorHAnsi"/>
                <w:i/>
                <w:iCs/>
                <w:szCs w:val="22"/>
              </w:rPr>
            </w:pPr>
            <w:r>
              <w:rPr>
                <w:rFonts w:ascii="Calibri" w:hAnsi="Calibri"/>
                <w:bCs/>
                <w:szCs w:val="22"/>
              </w:rPr>
              <w:t xml:space="preserve">The settlement of Copster Green is devoid of any local services, this matter was clarified </w:t>
            </w:r>
            <w:r w:rsidR="006748F2">
              <w:rPr>
                <w:rFonts w:ascii="Calibri" w:hAnsi="Calibri"/>
                <w:bCs/>
                <w:szCs w:val="22"/>
              </w:rPr>
              <w:t>at historic appeal which related to housing development outside but directly adjacent the settlement (</w:t>
            </w:r>
            <w:r w:rsidR="006748F2" w:rsidRPr="006748F2">
              <w:rPr>
                <w:rFonts w:ascii="Calibri" w:hAnsi="Calibri"/>
                <w:bCs/>
                <w:szCs w:val="22"/>
              </w:rPr>
              <w:t>APP/T2350/W/15/3134524</w:t>
            </w:r>
            <w:r w:rsidR="006748F2">
              <w:rPr>
                <w:rFonts w:ascii="Calibri" w:hAnsi="Calibri"/>
                <w:bCs/>
                <w:szCs w:val="22"/>
              </w:rPr>
              <w:t xml:space="preserve">).  In determining the appeal the inspector stated that </w:t>
            </w:r>
            <w:r w:rsidR="006748F2">
              <w:rPr>
                <w:rFonts w:asciiTheme="minorHAnsi" w:hAnsiTheme="minorHAnsi" w:cstheme="minorHAnsi"/>
                <w:i/>
                <w:iCs/>
                <w:szCs w:val="22"/>
              </w:rPr>
              <w:t>‘</w:t>
            </w:r>
            <w:r w:rsidR="006748F2" w:rsidRPr="006748F2">
              <w:rPr>
                <w:rFonts w:asciiTheme="minorHAnsi" w:hAnsiTheme="minorHAnsi" w:cstheme="minorHAnsi"/>
                <w:i/>
                <w:iCs/>
                <w:szCs w:val="22"/>
              </w:rPr>
              <w:t>The Framework makes clear at Paragraph 7 the importance of accessible local services and the site would perform poorly in that regard. The site does not fall within any defined settlement. It is next to Copster Green, but that is identified as a less sustainable ‘Tier 2’ settlement within the Core Strategy. The categorisation of the settlements was carried out as part of the evidence base for the 2014 Core Strategy and none of the evidence presented at this appeal casts serious doubt on it. Although the appellant has identified a range of services within a wider area, trips to reach them are likely to usually be made by car in my view. While there are bus stops close to the site, it appears that the bus services are limited. Thus, even daily basics such as bread or milk are likely to necessitate a car trip. Two railway stations are said to be ‘within cycling distance’ but I attach limited weight to that in respect of a proposal specifically aimed at older residents</w:t>
            </w:r>
            <w:r w:rsidR="006748F2">
              <w:rPr>
                <w:rFonts w:asciiTheme="minorHAnsi" w:hAnsiTheme="minorHAnsi" w:cstheme="minorHAnsi"/>
                <w:i/>
                <w:iCs/>
                <w:szCs w:val="22"/>
              </w:rPr>
              <w:t xml:space="preserve">’.  </w:t>
            </w:r>
            <w:r w:rsidR="006748F2" w:rsidRPr="006748F2">
              <w:rPr>
                <w:rFonts w:asciiTheme="minorHAnsi" w:hAnsiTheme="minorHAnsi" w:cstheme="minorHAnsi"/>
                <w:szCs w:val="22"/>
              </w:rPr>
              <w:t>The Inspector Further concluded that</w:t>
            </w:r>
            <w:r w:rsidR="006748F2">
              <w:rPr>
                <w:rFonts w:asciiTheme="minorHAnsi" w:hAnsiTheme="minorHAnsi" w:cstheme="minorHAnsi"/>
                <w:i/>
                <w:iCs/>
                <w:szCs w:val="22"/>
              </w:rPr>
              <w:t xml:space="preserve"> ‘m</w:t>
            </w:r>
            <w:r w:rsidR="006748F2" w:rsidRPr="006748F2">
              <w:rPr>
                <w:rFonts w:asciiTheme="minorHAnsi" w:hAnsiTheme="minorHAnsi" w:cstheme="minorHAnsi"/>
                <w:i/>
                <w:iCs/>
                <w:szCs w:val="22"/>
              </w:rPr>
              <w:t>oreover, the lack of services and facilities close to the appeal site suggest that this is not the best location to meet housing needs</w:t>
            </w:r>
            <w:r w:rsidR="006748F2">
              <w:rPr>
                <w:rFonts w:asciiTheme="minorHAnsi" w:hAnsiTheme="minorHAnsi" w:cstheme="minorHAnsi"/>
                <w:i/>
                <w:iCs/>
                <w:szCs w:val="22"/>
              </w:rPr>
              <w:t>’.</w:t>
            </w:r>
          </w:p>
          <w:p w14:paraId="17341E57" w14:textId="457CA3E8" w:rsidR="006748F2" w:rsidRDefault="006748F2" w:rsidP="00BB07EB">
            <w:pPr>
              <w:contextualSpacing/>
              <w:jc w:val="both"/>
              <w:rPr>
                <w:rFonts w:ascii="Calibri" w:hAnsi="Calibri"/>
                <w:bCs/>
                <w:szCs w:val="22"/>
              </w:rPr>
            </w:pPr>
          </w:p>
          <w:p w14:paraId="7DFC6027" w14:textId="1399A57B" w:rsidR="006748F2" w:rsidRPr="00656C14" w:rsidRDefault="006748F2" w:rsidP="00BB07EB">
            <w:pPr>
              <w:contextualSpacing/>
              <w:jc w:val="both"/>
              <w:rPr>
                <w:rFonts w:ascii="Calibri" w:hAnsi="Calibri"/>
                <w:bCs/>
                <w:szCs w:val="22"/>
              </w:rPr>
            </w:pPr>
            <w:r w:rsidRPr="00656C14">
              <w:rPr>
                <w:rFonts w:ascii="Calibri" w:hAnsi="Calibri"/>
                <w:bCs/>
                <w:szCs w:val="22"/>
              </w:rPr>
              <w:t xml:space="preserve">Taking account of the above and that there are no adequate local services within the settlement of Copster Green that would provide for additional housing growth, it </w:t>
            </w:r>
            <w:r w:rsidR="00656C14" w:rsidRPr="00656C14">
              <w:rPr>
                <w:rFonts w:ascii="Calibri" w:hAnsi="Calibri"/>
                <w:bCs/>
                <w:szCs w:val="22"/>
              </w:rPr>
              <w:t>is</w:t>
            </w:r>
            <w:r w:rsidRPr="00656C14">
              <w:rPr>
                <w:rFonts w:ascii="Calibri" w:hAnsi="Calibri"/>
                <w:bCs/>
                <w:szCs w:val="22"/>
              </w:rPr>
              <w:t xml:space="preserve"> considered that </w:t>
            </w:r>
            <w:r w:rsidR="00656C14" w:rsidRPr="00656C14">
              <w:rPr>
                <w:rFonts w:ascii="Calibri" w:hAnsi="Calibri"/>
                <w:bCs/>
                <w:szCs w:val="22"/>
              </w:rPr>
              <w:t xml:space="preserve"> </w:t>
            </w:r>
            <w:r w:rsidRPr="00656C14">
              <w:rPr>
                <w:rFonts w:ascii="Calibri" w:hAnsi="Calibri"/>
                <w:bCs/>
                <w:szCs w:val="22"/>
              </w:rPr>
              <w:t>that occupants of the residential dwelling would fail to benefit from adequate walkable access to local services or facilities - placing further reliance on the private motor-vehicle contrary to the aims and objectives of Key Statement DMI2 and Policy DMG3 of the adopted Core Strategy and the National Planning Policy Framework presumption in favour of sustainable development.</w:t>
            </w:r>
          </w:p>
          <w:p w14:paraId="7856570A" w14:textId="080BADB4" w:rsidR="00AA2246" w:rsidRDefault="00AA2246" w:rsidP="00656C14">
            <w:pPr>
              <w:contextualSpacing/>
              <w:jc w:val="both"/>
              <w:rPr>
                <w:rFonts w:ascii="Calibri" w:hAnsi="Calibri"/>
                <w:b/>
                <w:szCs w:val="22"/>
              </w:rPr>
            </w:pPr>
          </w:p>
        </w:tc>
      </w:tr>
      <w:tr w:rsidR="00C0704D" w:rsidRPr="00D2449B" w14:paraId="4EE814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AF3126"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10FD434B" w14:textId="77777777" w:rsidR="00C0704D" w:rsidRDefault="00C0704D" w:rsidP="00EA09F9">
            <w:pPr>
              <w:pStyle w:val="Header"/>
              <w:tabs>
                <w:tab w:val="clear" w:pos="4153"/>
                <w:tab w:val="clear" w:pos="8306"/>
              </w:tabs>
              <w:contextualSpacing/>
              <w:jc w:val="both"/>
              <w:rPr>
                <w:rFonts w:ascii="Calibri" w:hAnsi="Calibri"/>
                <w:b/>
                <w:szCs w:val="22"/>
              </w:rPr>
            </w:pPr>
          </w:p>
          <w:p w14:paraId="7C271E13" w14:textId="37912EC4" w:rsidR="00027C44" w:rsidRDefault="00656C14" w:rsidP="00027C44">
            <w:pPr>
              <w:contextualSpacing/>
              <w:jc w:val="both"/>
              <w:rPr>
                <w:rFonts w:ascii="Calibri" w:hAnsi="Calibri"/>
                <w:szCs w:val="22"/>
              </w:rPr>
            </w:pPr>
            <w:r>
              <w:rPr>
                <w:rFonts w:ascii="Calibri" w:hAnsi="Calibri"/>
                <w:szCs w:val="22"/>
              </w:rPr>
              <w:t xml:space="preserve">Taken account of the proposed alterations, it is not considered that the proposal will result in any </w:t>
            </w:r>
            <w:r>
              <w:rPr>
                <w:rFonts w:ascii="Calibri" w:hAnsi="Calibri"/>
                <w:szCs w:val="22"/>
              </w:rPr>
              <w:lastRenderedPageBreak/>
              <w:t>undue impact upon existing residential amenities by virtue of a loss of light, loss of privacy or overbearing impact.</w:t>
            </w:r>
          </w:p>
          <w:p w14:paraId="5F0B4878" w14:textId="70132CA9" w:rsidR="004741C8" w:rsidRPr="00C0704D" w:rsidRDefault="004741C8" w:rsidP="001F3B18">
            <w:pPr>
              <w:contextualSpacing/>
              <w:jc w:val="both"/>
              <w:rPr>
                <w:rFonts w:ascii="Calibri" w:hAnsi="Calibri"/>
                <w:szCs w:val="22"/>
              </w:rPr>
            </w:pPr>
          </w:p>
        </w:tc>
      </w:tr>
      <w:tr w:rsidR="00C0704D" w:rsidRPr="00D2449B" w14:paraId="3035D46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A950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6BE44C3D" w14:textId="25A9E40C" w:rsidR="00C0704D" w:rsidRPr="00A87472" w:rsidRDefault="00C0704D" w:rsidP="00EA09F9">
            <w:pPr>
              <w:pStyle w:val="Header"/>
              <w:tabs>
                <w:tab w:val="clear" w:pos="4153"/>
                <w:tab w:val="clear" w:pos="8306"/>
              </w:tabs>
              <w:contextualSpacing/>
              <w:jc w:val="both"/>
              <w:rPr>
                <w:rFonts w:ascii="Calibri" w:hAnsi="Calibri"/>
                <w:bCs/>
                <w:szCs w:val="22"/>
              </w:rPr>
            </w:pPr>
          </w:p>
          <w:p w14:paraId="019E6FDD" w14:textId="2DA23765" w:rsidR="00A87472" w:rsidRPr="00A87472" w:rsidRDefault="00A87472" w:rsidP="00EA09F9">
            <w:pPr>
              <w:pStyle w:val="Header"/>
              <w:tabs>
                <w:tab w:val="clear" w:pos="4153"/>
                <w:tab w:val="clear" w:pos="8306"/>
              </w:tabs>
              <w:contextualSpacing/>
              <w:jc w:val="both"/>
              <w:rPr>
                <w:rFonts w:ascii="Calibri" w:hAnsi="Calibri"/>
                <w:bCs/>
                <w:szCs w:val="22"/>
              </w:rPr>
            </w:pPr>
            <w:r w:rsidRPr="00A87472">
              <w:rPr>
                <w:rFonts w:ascii="Calibri" w:hAnsi="Calibri"/>
                <w:bCs/>
                <w:szCs w:val="22"/>
              </w:rPr>
              <w:t>The alterations proposed largely preserve the inherent character of the existing building with the most fundamental alteration being the removal of the existing wraparound porch/veranda.  As such and given there are no other significant alterations proposed, it is not considered that the proposal will result in any undue impact upon the character or visual amenities of the area.</w:t>
            </w:r>
          </w:p>
          <w:p w14:paraId="304DB56D" w14:textId="77777777" w:rsidR="00C0704D" w:rsidRDefault="00C0704D" w:rsidP="005E1C6C">
            <w:pPr>
              <w:contextualSpacing/>
              <w:rPr>
                <w:rFonts w:ascii="Calibri" w:hAnsi="Calibri"/>
                <w:b/>
                <w:szCs w:val="22"/>
              </w:rPr>
            </w:pPr>
          </w:p>
        </w:tc>
      </w:tr>
      <w:tr w:rsidR="00C0704D" w:rsidRPr="00D2449B" w14:paraId="47200648"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22BABB"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7B6251B3" w14:textId="77777777" w:rsidR="00C0704D" w:rsidRDefault="00C0704D" w:rsidP="00EA09F9">
            <w:pPr>
              <w:pStyle w:val="Header"/>
              <w:tabs>
                <w:tab w:val="clear" w:pos="4153"/>
                <w:tab w:val="clear" w:pos="8306"/>
              </w:tabs>
              <w:contextualSpacing/>
              <w:jc w:val="both"/>
              <w:rPr>
                <w:rFonts w:ascii="Calibri" w:hAnsi="Calibri"/>
                <w:b/>
                <w:szCs w:val="22"/>
              </w:rPr>
            </w:pPr>
          </w:p>
          <w:p w14:paraId="287F497D" w14:textId="405B4B40" w:rsidR="00C0704D" w:rsidRPr="00E06B73" w:rsidRDefault="00E06B73" w:rsidP="00E46243">
            <w:pPr>
              <w:contextualSpacing/>
              <w:rPr>
                <w:rFonts w:ascii="Calibri" w:hAnsi="Calibri"/>
                <w:bCs/>
                <w:szCs w:val="22"/>
              </w:rPr>
            </w:pPr>
            <w:r w:rsidRPr="00E06B73">
              <w:rPr>
                <w:rFonts w:ascii="Calibri" w:hAnsi="Calibri"/>
                <w:bCs/>
                <w:szCs w:val="22"/>
              </w:rPr>
              <w:t>No implications resultant from the proposal.</w:t>
            </w:r>
          </w:p>
          <w:p w14:paraId="05E541F5" w14:textId="3266B01E" w:rsidR="00E06B73" w:rsidRDefault="00E06B73" w:rsidP="00E46243">
            <w:pPr>
              <w:contextualSpacing/>
              <w:rPr>
                <w:rFonts w:ascii="Calibri" w:hAnsi="Calibri"/>
                <w:b/>
                <w:szCs w:val="22"/>
              </w:rPr>
            </w:pPr>
          </w:p>
        </w:tc>
      </w:tr>
      <w:tr w:rsidR="00C0704D" w:rsidRPr="00D2449B" w14:paraId="7A0C3BBE"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B7077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318D019" w14:textId="77777777" w:rsidR="00C0704D" w:rsidRPr="00DD62F6" w:rsidRDefault="00C0704D" w:rsidP="00DD62F6">
            <w:pPr>
              <w:contextualSpacing/>
              <w:rPr>
                <w:rFonts w:ascii="Calibri" w:hAnsi="Calibri"/>
                <w:bCs/>
                <w:color w:val="548DD4" w:themeColor="text2" w:themeTint="99"/>
                <w:szCs w:val="22"/>
              </w:rPr>
            </w:pPr>
          </w:p>
          <w:p w14:paraId="09F40436" w14:textId="077EE24F" w:rsidR="00C0704D" w:rsidRPr="001F3B18" w:rsidRDefault="00C0704D" w:rsidP="00DD62F6">
            <w:pPr>
              <w:pStyle w:val="Header"/>
              <w:tabs>
                <w:tab w:val="clear" w:pos="4153"/>
                <w:tab w:val="clear" w:pos="8306"/>
              </w:tabs>
              <w:contextualSpacing/>
              <w:jc w:val="both"/>
              <w:rPr>
                <w:rFonts w:ascii="Calibri" w:hAnsi="Calibri"/>
                <w:bCs/>
                <w:color w:val="000000" w:themeColor="text1"/>
                <w:szCs w:val="22"/>
              </w:rPr>
            </w:pPr>
            <w:r w:rsidRPr="001F3B18">
              <w:rPr>
                <w:rFonts w:ascii="Calibri" w:hAnsi="Calibri"/>
                <w:bCs/>
                <w:color w:val="000000" w:themeColor="text1"/>
                <w:szCs w:val="22"/>
              </w:rPr>
              <w:t xml:space="preserve">It is for the above reasons and having regard to all material considerations and matters raised that </w:t>
            </w:r>
            <w:r w:rsidR="001F3B18" w:rsidRPr="001F3B18">
              <w:rPr>
                <w:rFonts w:ascii="Calibri" w:hAnsi="Calibri"/>
                <w:bCs/>
                <w:color w:val="000000" w:themeColor="text1"/>
                <w:szCs w:val="22"/>
              </w:rPr>
              <w:t>the application is recommended for refusal.</w:t>
            </w:r>
          </w:p>
          <w:p w14:paraId="715236C6"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79686117" w14:textId="77777777"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CE4EE"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C75083" w14:textId="29BCA59A" w:rsidR="00C0704D" w:rsidRPr="00D2449B" w:rsidRDefault="00C0704D" w:rsidP="000A7CF7">
            <w:pPr>
              <w:rPr>
                <w:rFonts w:ascii="Calibri" w:hAnsi="Calibri"/>
                <w:bCs/>
                <w:szCs w:val="22"/>
              </w:rPr>
            </w:pPr>
            <w:r w:rsidRPr="008E0D46">
              <w:rPr>
                <w:rFonts w:asciiTheme="minorHAnsi" w:hAnsiTheme="minorHAnsi"/>
                <w:bCs/>
                <w:szCs w:val="22"/>
              </w:rPr>
              <w:t xml:space="preserve">That planning consent be </w:t>
            </w:r>
            <w:r w:rsidR="000A7CF7">
              <w:rPr>
                <w:rFonts w:asciiTheme="minorHAnsi" w:hAnsiTheme="minorHAnsi"/>
                <w:bCs/>
                <w:szCs w:val="22"/>
              </w:rPr>
              <w:t>refused for the following reason(s)</w:t>
            </w:r>
          </w:p>
        </w:tc>
      </w:tr>
      <w:tr w:rsidR="000A7CF7" w:rsidRPr="00D2449B" w14:paraId="30206E24"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0EC30F" w14:textId="77777777" w:rsidR="00C84AE5" w:rsidRDefault="00C84AE5" w:rsidP="000A7CF7">
            <w:pPr>
              <w:jc w:val="center"/>
              <w:rPr>
                <w:rFonts w:asciiTheme="minorHAnsi" w:hAnsiTheme="minorHAnsi"/>
                <w:b/>
                <w:bCs/>
                <w:szCs w:val="22"/>
              </w:rPr>
            </w:pPr>
          </w:p>
          <w:p w14:paraId="3461B5B4" w14:textId="150DA8BB" w:rsidR="000A7CF7" w:rsidRPr="000A7CF7" w:rsidRDefault="000A7CF7" w:rsidP="000A7CF7">
            <w:pPr>
              <w:jc w:val="center"/>
              <w:rPr>
                <w:rFonts w:asciiTheme="minorHAnsi" w:hAnsiTheme="minorHAnsi"/>
                <w:b/>
                <w:bCs/>
                <w:szCs w:val="22"/>
              </w:rPr>
            </w:pPr>
            <w:r w:rsidRPr="000A7CF7">
              <w:rPr>
                <w:rFonts w:asciiTheme="minorHAnsi" w:hAnsi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86D05D" w14:textId="77777777" w:rsidR="000A7CF7" w:rsidRDefault="000A7CF7" w:rsidP="000A7CF7">
            <w:pPr>
              <w:rPr>
                <w:rFonts w:asciiTheme="minorHAnsi" w:hAnsiTheme="minorHAnsi"/>
                <w:bCs/>
                <w:szCs w:val="22"/>
              </w:rPr>
            </w:pPr>
          </w:p>
          <w:p w14:paraId="2FBADC58" w14:textId="63AAEF2F" w:rsidR="00C84AE5" w:rsidRDefault="00C84AE5" w:rsidP="00C84AE5">
            <w:pPr>
              <w:jc w:val="both"/>
              <w:rPr>
                <w:rFonts w:asciiTheme="minorHAnsi" w:hAnsiTheme="minorHAnsi"/>
                <w:bCs/>
                <w:szCs w:val="22"/>
              </w:rPr>
            </w:pPr>
            <w:r>
              <w:rPr>
                <w:rFonts w:asciiTheme="minorHAnsi" w:hAnsiTheme="minorHAnsi"/>
                <w:bCs/>
                <w:szCs w:val="22"/>
              </w:rPr>
              <w:t xml:space="preserve">The proposal is considered contrary to Policy DMH4 in that the building to which the application relates does not benefit from a historic </w:t>
            </w:r>
            <w:r w:rsidRPr="00EE7365">
              <w:rPr>
                <w:rFonts w:asciiTheme="minorHAnsi" w:hAnsiTheme="minorHAnsi"/>
                <w:bCs/>
                <w:szCs w:val="22"/>
              </w:rPr>
              <w:t>use for agricultur</w:t>
            </w:r>
            <w:r>
              <w:rPr>
                <w:rFonts w:asciiTheme="minorHAnsi" w:hAnsiTheme="minorHAnsi"/>
                <w:bCs/>
                <w:szCs w:val="22"/>
              </w:rPr>
              <w:t xml:space="preserve">al uses </w:t>
            </w:r>
            <w:r w:rsidRPr="00EE7365">
              <w:rPr>
                <w:rFonts w:asciiTheme="minorHAnsi" w:hAnsiTheme="minorHAnsi"/>
                <w:bCs/>
                <w:szCs w:val="22"/>
              </w:rPr>
              <w:t xml:space="preserve">or </w:t>
            </w:r>
            <w:r>
              <w:rPr>
                <w:rFonts w:asciiTheme="minorHAnsi" w:hAnsiTheme="minorHAnsi"/>
                <w:bCs/>
                <w:szCs w:val="22"/>
              </w:rPr>
              <w:t xml:space="preserve">a </w:t>
            </w:r>
            <w:r w:rsidRPr="00EE7365">
              <w:rPr>
                <w:rFonts w:asciiTheme="minorHAnsi" w:hAnsiTheme="minorHAnsi"/>
                <w:bCs/>
                <w:szCs w:val="22"/>
              </w:rPr>
              <w:t>rural enterprise</w:t>
            </w:r>
            <w:r>
              <w:rPr>
                <w:rFonts w:asciiTheme="minorHAnsi" w:hAnsiTheme="minorHAnsi"/>
                <w:bCs/>
                <w:szCs w:val="22"/>
              </w:rPr>
              <w:t>.</w:t>
            </w:r>
          </w:p>
          <w:p w14:paraId="238493A2" w14:textId="4346BB28" w:rsidR="00C84AE5" w:rsidRPr="008E0D46" w:rsidRDefault="00C84AE5" w:rsidP="000A7CF7">
            <w:pPr>
              <w:rPr>
                <w:rFonts w:asciiTheme="minorHAnsi" w:hAnsiTheme="minorHAnsi"/>
                <w:bCs/>
                <w:szCs w:val="22"/>
              </w:rPr>
            </w:pPr>
          </w:p>
        </w:tc>
      </w:tr>
      <w:tr w:rsidR="000A7CF7" w:rsidRPr="00D2449B" w14:paraId="6F0E54E9"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674F6D" w14:textId="77777777" w:rsidR="00C84AE5" w:rsidRDefault="00C84AE5" w:rsidP="000A7CF7">
            <w:pPr>
              <w:jc w:val="center"/>
              <w:rPr>
                <w:rFonts w:asciiTheme="minorHAnsi" w:hAnsiTheme="minorHAnsi"/>
                <w:b/>
                <w:bCs/>
                <w:szCs w:val="22"/>
              </w:rPr>
            </w:pPr>
          </w:p>
          <w:p w14:paraId="672E2F12" w14:textId="076601FF" w:rsidR="000A7CF7" w:rsidRPr="000A7CF7" w:rsidRDefault="000A7CF7" w:rsidP="000A7CF7">
            <w:pPr>
              <w:jc w:val="center"/>
              <w:rPr>
                <w:rFonts w:asciiTheme="minorHAnsi" w:hAnsiTheme="minorHAnsi"/>
                <w:b/>
                <w:bCs/>
                <w:szCs w:val="22"/>
              </w:rPr>
            </w:pPr>
            <w:r>
              <w:rPr>
                <w:rFonts w:asciiTheme="minorHAnsi" w:hAnsiTheme="minorHAnsi"/>
                <w:b/>
                <w:bCs/>
                <w:szCs w:val="22"/>
              </w:rPr>
              <w:t>02</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7C490C" w14:textId="77777777" w:rsidR="000A7CF7" w:rsidRDefault="000A7CF7" w:rsidP="000A7CF7">
            <w:pPr>
              <w:rPr>
                <w:rFonts w:asciiTheme="minorHAnsi" w:hAnsiTheme="minorHAnsi"/>
                <w:bCs/>
                <w:szCs w:val="22"/>
              </w:rPr>
            </w:pPr>
          </w:p>
          <w:p w14:paraId="7D96B594" w14:textId="03DA2DDB" w:rsidR="00C84AE5" w:rsidRDefault="00C84AE5" w:rsidP="00C84AE5">
            <w:pPr>
              <w:jc w:val="both"/>
              <w:rPr>
                <w:rFonts w:asciiTheme="minorHAnsi" w:hAnsiTheme="minorHAnsi"/>
                <w:bCs/>
                <w:szCs w:val="22"/>
              </w:rPr>
            </w:pPr>
            <w:r w:rsidRPr="002D14B0">
              <w:rPr>
                <w:rFonts w:asciiTheme="minorHAnsi" w:hAnsiTheme="minorHAnsi"/>
                <w:bCs/>
                <w:szCs w:val="22"/>
              </w:rPr>
              <w:t>The proposal is considered contrary to Key Statements DS1, DS2, and Polic</w:t>
            </w:r>
            <w:r>
              <w:rPr>
                <w:rFonts w:asciiTheme="minorHAnsi" w:hAnsiTheme="minorHAnsi"/>
                <w:bCs/>
                <w:szCs w:val="22"/>
              </w:rPr>
              <w:t>y</w:t>
            </w:r>
            <w:r w:rsidRPr="002D14B0">
              <w:rPr>
                <w:rFonts w:asciiTheme="minorHAnsi" w:hAnsiTheme="minorHAnsi"/>
                <w:bCs/>
                <w:szCs w:val="22"/>
              </w:rPr>
              <w:t xml:space="preserve"> DMG2 of the Ribble Valley Core Strategy insofar that approval would lead to the creation of a new residential dwelling </w:t>
            </w:r>
            <w:r w:rsidR="006E3E2E">
              <w:rPr>
                <w:rFonts w:asciiTheme="minorHAnsi" w:hAnsiTheme="minorHAnsi"/>
                <w:bCs/>
                <w:szCs w:val="22"/>
              </w:rPr>
              <w:t>within a Tier 2 settlement</w:t>
            </w:r>
            <w:r w:rsidRPr="002D14B0">
              <w:rPr>
                <w:rFonts w:asciiTheme="minorHAnsi" w:hAnsiTheme="minorHAnsi"/>
                <w:bCs/>
                <w:szCs w:val="22"/>
              </w:rPr>
              <w:t>, without sufficient justification insofar that it has not been adequately demonstrated that the proposal is for that of local needs housing that meets a current identified and evidenced outstanding need</w:t>
            </w:r>
          </w:p>
          <w:p w14:paraId="71D0B721" w14:textId="710B0F19" w:rsidR="00C84AE5" w:rsidRPr="008E0D46" w:rsidRDefault="00C84AE5" w:rsidP="000A7CF7">
            <w:pPr>
              <w:rPr>
                <w:rFonts w:asciiTheme="minorHAnsi" w:hAnsiTheme="minorHAnsi"/>
                <w:bCs/>
                <w:szCs w:val="22"/>
              </w:rPr>
            </w:pPr>
          </w:p>
        </w:tc>
      </w:tr>
      <w:tr w:rsidR="006E3E2E" w:rsidRPr="00D2449B" w14:paraId="678B3BC3"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B02BF6" w14:textId="77777777" w:rsidR="006E3E2E" w:rsidRDefault="006E3E2E" w:rsidP="000A7CF7">
            <w:pPr>
              <w:jc w:val="center"/>
              <w:rPr>
                <w:rFonts w:asciiTheme="minorHAnsi" w:hAnsiTheme="minorHAnsi"/>
                <w:b/>
                <w:bCs/>
                <w:szCs w:val="22"/>
              </w:rPr>
            </w:pPr>
          </w:p>
          <w:p w14:paraId="5F73FC6E" w14:textId="3B13ED45" w:rsidR="006E3E2E" w:rsidRDefault="006E3E2E" w:rsidP="000A7CF7">
            <w:pPr>
              <w:jc w:val="center"/>
              <w:rPr>
                <w:rFonts w:asciiTheme="minorHAnsi" w:hAnsiTheme="minorHAnsi"/>
                <w:b/>
                <w:bCs/>
                <w:szCs w:val="22"/>
              </w:rPr>
            </w:pPr>
            <w:r>
              <w:rPr>
                <w:rFonts w:asciiTheme="minorHAnsi" w:hAnsiTheme="minorHAnsi"/>
                <w:b/>
                <w:bCs/>
                <w:szCs w:val="22"/>
              </w:rPr>
              <w:t>03</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65F175" w14:textId="77777777" w:rsidR="006E3E2E" w:rsidRDefault="006E3E2E" w:rsidP="000A7CF7">
            <w:pPr>
              <w:rPr>
                <w:rFonts w:asciiTheme="minorHAnsi" w:hAnsiTheme="minorHAnsi"/>
                <w:bCs/>
                <w:szCs w:val="22"/>
              </w:rPr>
            </w:pPr>
          </w:p>
          <w:p w14:paraId="4CCF69D9" w14:textId="0063D273" w:rsidR="006E3E2E" w:rsidRDefault="00052EC6" w:rsidP="00052EC6">
            <w:pPr>
              <w:jc w:val="both"/>
              <w:rPr>
                <w:rFonts w:asciiTheme="minorHAnsi" w:hAnsiTheme="minorHAnsi"/>
                <w:bCs/>
                <w:szCs w:val="22"/>
              </w:rPr>
            </w:pPr>
            <w:r w:rsidRPr="00052EC6">
              <w:rPr>
                <w:rFonts w:asciiTheme="minorHAnsi" w:hAnsiTheme="minorHAnsi"/>
                <w:bCs/>
                <w:szCs w:val="22"/>
              </w:rPr>
              <w:t xml:space="preserve">The </w:t>
            </w:r>
            <w:r>
              <w:rPr>
                <w:rFonts w:asciiTheme="minorHAnsi" w:hAnsiTheme="minorHAnsi"/>
                <w:bCs/>
                <w:szCs w:val="22"/>
              </w:rPr>
              <w:t>creation of a new residential dwelling in this location would perpetuate an already</w:t>
            </w:r>
            <w:r w:rsidRPr="00052EC6">
              <w:rPr>
                <w:rFonts w:asciiTheme="minorHAnsi" w:hAnsiTheme="minorHAnsi"/>
                <w:bCs/>
                <w:szCs w:val="22"/>
              </w:rPr>
              <w:t xml:space="preserve"> unsustainable pattern of </w:t>
            </w:r>
            <w:r>
              <w:rPr>
                <w:rFonts w:asciiTheme="minorHAnsi" w:hAnsiTheme="minorHAnsi"/>
                <w:bCs/>
                <w:szCs w:val="22"/>
              </w:rPr>
              <w:t xml:space="preserve">residential </w:t>
            </w:r>
            <w:r w:rsidRPr="00052EC6">
              <w:rPr>
                <w:rFonts w:asciiTheme="minorHAnsi" w:hAnsiTheme="minorHAnsi"/>
                <w:bCs/>
                <w:szCs w:val="22"/>
              </w:rPr>
              <w:t>development, without sufficient or adequate justification, insofar that occupants of the residential dwelling would fail to benefit from adequate walkable access to local services or facilities - placing further reliance on the private motor-vehicle contrary to the aims and objectives of Key Statement DMI2 and Policy DMG3 of the adopted Core Strategy and the National Planning Policy Framework presumption in favour of sustainable development.</w:t>
            </w:r>
          </w:p>
          <w:p w14:paraId="7FA7E864" w14:textId="5AECE30E" w:rsidR="006E3E2E" w:rsidRDefault="006E3E2E" w:rsidP="000A7CF7">
            <w:pPr>
              <w:rPr>
                <w:rFonts w:asciiTheme="minorHAnsi" w:hAnsiTheme="minorHAnsi"/>
                <w:bCs/>
                <w:szCs w:val="22"/>
              </w:rPr>
            </w:pPr>
          </w:p>
        </w:tc>
      </w:tr>
    </w:tbl>
    <w:p w14:paraId="13DC6C74" w14:textId="77777777" w:rsidR="0031197A" w:rsidRPr="00D2449B" w:rsidRDefault="0084095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5ED2" w14:textId="77777777" w:rsidR="006D0B5F" w:rsidRDefault="006D0B5F" w:rsidP="006D0B5F">
      <w:r>
        <w:separator/>
      </w:r>
    </w:p>
  </w:endnote>
  <w:endnote w:type="continuationSeparator" w:id="0">
    <w:p w14:paraId="1687A338"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513D" w14:textId="77777777" w:rsidR="006D0B5F" w:rsidRDefault="006D0B5F" w:rsidP="006D0B5F">
      <w:r>
        <w:separator/>
      </w:r>
    </w:p>
  </w:footnote>
  <w:footnote w:type="continuationSeparator" w:id="0">
    <w:p w14:paraId="0C2C6A44"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3A1565C1"/>
    <w:multiLevelType w:val="hybridMultilevel"/>
    <w:tmpl w:val="B20E4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06427"/>
    <w:multiLevelType w:val="hybridMultilevel"/>
    <w:tmpl w:val="043E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00EA9"/>
    <w:rsid w:val="00027C44"/>
    <w:rsid w:val="00052EC6"/>
    <w:rsid w:val="000A7CF7"/>
    <w:rsid w:val="000B0AE0"/>
    <w:rsid w:val="000B5CB5"/>
    <w:rsid w:val="00130035"/>
    <w:rsid w:val="00132913"/>
    <w:rsid w:val="0016653A"/>
    <w:rsid w:val="001D3CB1"/>
    <w:rsid w:val="001D4F7A"/>
    <w:rsid w:val="001F3B18"/>
    <w:rsid w:val="00222AAE"/>
    <w:rsid w:val="0023412C"/>
    <w:rsid w:val="00250879"/>
    <w:rsid w:val="002678A4"/>
    <w:rsid w:val="0029334A"/>
    <w:rsid w:val="002A01CF"/>
    <w:rsid w:val="002C6277"/>
    <w:rsid w:val="002F2580"/>
    <w:rsid w:val="00321B6E"/>
    <w:rsid w:val="003B4AB6"/>
    <w:rsid w:val="003E3A9C"/>
    <w:rsid w:val="004135F0"/>
    <w:rsid w:val="00440CB6"/>
    <w:rsid w:val="004741C8"/>
    <w:rsid w:val="004936A6"/>
    <w:rsid w:val="004947BB"/>
    <w:rsid w:val="004A3913"/>
    <w:rsid w:val="004A5EA9"/>
    <w:rsid w:val="004C2434"/>
    <w:rsid w:val="004F0649"/>
    <w:rsid w:val="00510FA2"/>
    <w:rsid w:val="00525518"/>
    <w:rsid w:val="00556ECD"/>
    <w:rsid w:val="005C13D2"/>
    <w:rsid w:val="005E1C6C"/>
    <w:rsid w:val="005E65DF"/>
    <w:rsid w:val="00656C14"/>
    <w:rsid w:val="006748F2"/>
    <w:rsid w:val="00692B60"/>
    <w:rsid w:val="006A71AD"/>
    <w:rsid w:val="006C2BFA"/>
    <w:rsid w:val="006D0B5F"/>
    <w:rsid w:val="006D10FF"/>
    <w:rsid w:val="006E3E2E"/>
    <w:rsid w:val="0070054B"/>
    <w:rsid w:val="007155AF"/>
    <w:rsid w:val="00776AE2"/>
    <w:rsid w:val="00793C27"/>
    <w:rsid w:val="007C791C"/>
    <w:rsid w:val="007D7DF4"/>
    <w:rsid w:val="007E0D23"/>
    <w:rsid w:val="00811771"/>
    <w:rsid w:val="00840952"/>
    <w:rsid w:val="008542DE"/>
    <w:rsid w:val="008A28C8"/>
    <w:rsid w:val="00925810"/>
    <w:rsid w:val="00A42E82"/>
    <w:rsid w:val="00A579BB"/>
    <w:rsid w:val="00A63D55"/>
    <w:rsid w:val="00A87472"/>
    <w:rsid w:val="00A95D89"/>
    <w:rsid w:val="00AA2246"/>
    <w:rsid w:val="00B93EB5"/>
    <w:rsid w:val="00BB07EB"/>
    <w:rsid w:val="00BD3F03"/>
    <w:rsid w:val="00C0704D"/>
    <w:rsid w:val="00C25722"/>
    <w:rsid w:val="00C324D1"/>
    <w:rsid w:val="00C618DB"/>
    <w:rsid w:val="00C84AE5"/>
    <w:rsid w:val="00C91805"/>
    <w:rsid w:val="00CE4422"/>
    <w:rsid w:val="00D11007"/>
    <w:rsid w:val="00D2449B"/>
    <w:rsid w:val="00D54E67"/>
    <w:rsid w:val="00DD62F6"/>
    <w:rsid w:val="00E06B73"/>
    <w:rsid w:val="00E46243"/>
    <w:rsid w:val="00E66534"/>
    <w:rsid w:val="00E72F6C"/>
    <w:rsid w:val="00E76EE4"/>
    <w:rsid w:val="00E80D07"/>
    <w:rsid w:val="00EA09F9"/>
    <w:rsid w:val="00EC23C7"/>
    <w:rsid w:val="00ED00B7"/>
    <w:rsid w:val="00EF44E6"/>
    <w:rsid w:val="00F67F7E"/>
    <w:rsid w:val="00F84D9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DCD1"/>
  <w15:docId w15:val="{EF1383DD-1A63-4578-8C01-4A058E7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1D3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92A6-3B13-40B4-8AC6-5A4C256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2022-03-25T10:47:00Z</cp:lastPrinted>
  <dcterms:created xsi:type="dcterms:W3CDTF">2022-03-25T10:50:00Z</dcterms:created>
  <dcterms:modified xsi:type="dcterms:W3CDTF">2022-03-25T10:50:00Z</dcterms:modified>
</cp:coreProperties>
</file>