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56"/>
        <w:gridCol w:w="1030"/>
        <w:gridCol w:w="175"/>
        <w:gridCol w:w="425"/>
        <w:gridCol w:w="233"/>
        <w:gridCol w:w="197"/>
        <w:gridCol w:w="1030"/>
        <w:gridCol w:w="1030"/>
        <w:gridCol w:w="519"/>
        <w:gridCol w:w="579"/>
        <w:gridCol w:w="1030"/>
        <w:gridCol w:w="1030"/>
        <w:gridCol w:w="1031"/>
      </w:tblGrid>
      <w:tr w:rsidR="004A5EA9" w:rsidRPr="00D2449B" w14:paraId="3535EA2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DCC31C"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1DBCD76" w14:textId="77777777" w:rsidTr="000A7CF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63CF79"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1B4CD8"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5FC5EB"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38C533"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F2270C"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D0B1F5"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47B922"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95F883"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6B850B" w14:textId="77777777" w:rsidR="004936A6" w:rsidRPr="00D2449B" w:rsidRDefault="004936A6" w:rsidP="00D2449B">
            <w:pPr>
              <w:jc w:val="center"/>
              <w:rPr>
                <w:rFonts w:ascii="Calibri" w:hAnsi="Calibri"/>
                <w:b/>
                <w:szCs w:val="22"/>
              </w:rPr>
            </w:pPr>
          </w:p>
        </w:tc>
      </w:tr>
      <w:tr w:rsidR="004A5EA9" w:rsidRPr="00D2449B" w14:paraId="0FE2E5D2" w14:textId="77777777" w:rsidTr="000A7CF7">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866193C" w14:textId="77777777" w:rsidR="004A5EA9" w:rsidRPr="00D2449B" w:rsidRDefault="004A5EA9" w:rsidP="004A5EA9">
            <w:pPr>
              <w:jc w:val="center"/>
              <w:rPr>
                <w:rFonts w:ascii="Calibri" w:hAnsi="Calibri"/>
                <w:b/>
                <w:szCs w:val="22"/>
              </w:rPr>
            </w:pPr>
          </w:p>
        </w:tc>
      </w:tr>
      <w:tr w:rsidR="004A5EA9" w:rsidRPr="00D2449B" w14:paraId="38808632"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9766A9"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4A0BCD" w14:textId="250E0CFD"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6271AC">
              <w:rPr>
                <w:rFonts w:ascii="Calibri" w:hAnsi="Calibri"/>
                <w:szCs w:val="22"/>
              </w:rPr>
              <w:t>21</w:t>
            </w:r>
            <w:r w:rsidR="00C0704D">
              <w:rPr>
                <w:rFonts w:ascii="Calibri" w:hAnsi="Calibri"/>
                <w:szCs w:val="22"/>
              </w:rPr>
              <w:t>/</w:t>
            </w:r>
            <w:r w:rsidR="001A1EEC">
              <w:rPr>
                <w:rFonts w:ascii="Calibri" w:hAnsi="Calibri"/>
                <w:szCs w:val="22"/>
              </w:rPr>
              <w:t>1263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B3B054"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64358F93" wp14:editId="75D1F2F6">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C106F56"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A8F36C"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8F461C" w14:textId="79D74C19" w:rsidR="004A5EA9" w:rsidRPr="00C0704D" w:rsidRDefault="001A1EEC" w:rsidP="002C6277">
            <w:pPr>
              <w:rPr>
                <w:rFonts w:ascii="Calibri" w:hAnsi="Calibri"/>
                <w:szCs w:val="22"/>
              </w:rPr>
            </w:pPr>
            <w:r>
              <w:rPr>
                <w:rFonts w:ascii="Calibri" w:hAnsi="Calibri"/>
                <w:szCs w:val="22"/>
              </w:rPr>
              <w:t>04</w:t>
            </w:r>
            <w:r w:rsidR="006271AC">
              <w:rPr>
                <w:rFonts w:ascii="Calibri" w:hAnsi="Calibri"/>
                <w:szCs w:val="22"/>
              </w:rPr>
              <w:t>/0</w:t>
            </w:r>
            <w:r>
              <w:rPr>
                <w:rFonts w:ascii="Calibri" w:hAnsi="Calibri"/>
                <w:szCs w:val="22"/>
              </w:rPr>
              <w:t>1</w:t>
            </w:r>
            <w:r w:rsidR="006271AC">
              <w:rPr>
                <w:rFonts w:ascii="Calibri" w:hAnsi="Calibri"/>
                <w:szCs w:val="22"/>
              </w:rPr>
              <w:t>/21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816BC6" w14:textId="77777777" w:rsidR="004A5EA9" w:rsidRPr="00D2449B" w:rsidRDefault="004A5EA9">
            <w:pPr>
              <w:rPr>
                <w:rFonts w:ascii="Calibri" w:hAnsi="Calibri"/>
                <w:szCs w:val="22"/>
              </w:rPr>
            </w:pPr>
          </w:p>
        </w:tc>
      </w:tr>
      <w:tr w:rsidR="004A5EA9" w:rsidRPr="00D2449B" w14:paraId="5BF8758F"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8BF900"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DC6F22" w14:textId="77777777" w:rsidR="004A5EA9" w:rsidRPr="00250879" w:rsidRDefault="006271AC" w:rsidP="00811771">
            <w:pPr>
              <w:rPr>
                <w:rFonts w:ascii="Calibri" w:hAnsi="Calibri"/>
                <w:color w:val="548DD4" w:themeColor="text2" w:themeTint="99"/>
                <w:szCs w:val="22"/>
              </w:rPr>
            </w:pPr>
            <w:r w:rsidRPr="006271AC">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A04809" w14:textId="77777777" w:rsidR="004A5EA9" w:rsidRPr="00D2449B" w:rsidRDefault="004A5EA9">
            <w:pPr>
              <w:rPr>
                <w:rFonts w:ascii="Calibri" w:hAnsi="Calibri"/>
                <w:szCs w:val="22"/>
              </w:rPr>
            </w:pPr>
          </w:p>
        </w:tc>
      </w:tr>
      <w:tr w:rsidR="004A5EA9" w:rsidRPr="00D2449B" w14:paraId="1D837ABA" w14:textId="77777777" w:rsidTr="000A7CF7">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C2C531"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13C542" w14:textId="77777777" w:rsidR="004A5EA9" w:rsidRPr="00D2449B" w:rsidRDefault="000A7CF7" w:rsidP="002A01CF">
            <w:pPr>
              <w:jc w:val="center"/>
              <w:rPr>
                <w:rFonts w:ascii="Calibri" w:hAnsi="Calibri"/>
                <w:b/>
                <w:szCs w:val="22"/>
              </w:rPr>
            </w:pPr>
            <w:r>
              <w:rPr>
                <w:rFonts w:ascii="Calibri" w:hAnsi="Calibri"/>
                <w:b/>
                <w:szCs w:val="22"/>
              </w:rPr>
              <w:t>REFUSAL</w:t>
            </w:r>
          </w:p>
        </w:tc>
      </w:tr>
      <w:tr w:rsidR="004A5EA9" w:rsidRPr="00D2449B" w14:paraId="433DFFC5"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807EDE3"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0191670A"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8A0E65"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570CC4" w14:textId="17232291" w:rsidR="004A5EA9" w:rsidRPr="002C6277" w:rsidRDefault="00B37C5D">
            <w:pPr>
              <w:rPr>
                <w:rFonts w:ascii="Calibri" w:hAnsi="Calibri"/>
                <w:szCs w:val="22"/>
              </w:rPr>
            </w:pPr>
            <w:r w:rsidRPr="00B37C5D">
              <w:rPr>
                <w:rFonts w:ascii="Calibri" w:hAnsi="Calibri"/>
                <w:szCs w:val="22"/>
              </w:rPr>
              <w:t>Proposed construction of two new detached dwellings.</w:t>
            </w:r>
          </w:p>
        </w:tc>
      </w:tr>
      <w:tr w:rsidR="002A01CF" w:rsidRPr="00D2449B" w14:paraId="0D7E6BC9"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2AA813"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7EB8A4" w14:textId="5E380052" w:rsidR="002A01CF" w:rsidRPr="002C6277" w:rsidRDefault="00B37C5D" w:rsidP="00A42E82">
            <w:pPr>
              <w:rPr>
                <w:rFonts w:ascii="Calibri" w:hAnsi="Calibri"/>
                <w:szCs w:val="22"/>
              </w:rPr>
            </w:pPr>
            <w:r w:rsidRPr="00B37C5D">
              <w:rPr>
                <w:rFonts w:ascii="Calibri" w:hAnsi="Calibri"/>
                <w:szCs w:val="22"/>
              </w:rPr>
              <w:t xml:space="preserve">Land adjacent to 115 </w:t>
            </w:r>
            <w:proofErr w:type="spellStart"/>
            <w:r w:rsidRPr="00B37C5D">
              <w:rPr>
                <w:rFonts w:ascii="Calibri" w:hAnsi="Calibri"/>
                <w:szCs w:val="22"/>
              </w:rPr>
              <w:t>Kemple</w:t>
            </w:r>
            <w:proofErr w:type="spellEnd"/>
            <w:r w:rsidRPr="00B37C5D">
              <w:rPr>
                <w:rFonts w:ascii="Calibri" w:hAnsi="Calibri"/>
                <w:szCs w:val="22"/>
              </w:rPr>
              <w:t xml:space="preserve"> View Clitheroe BB7 2QJ</w:t>
            </w:r>
          </w:p>
        </w:tc>
      </w:tr>
      <w:tr w:rsidR="00A95D89" w:rsidRPr="00D2449B" w14:paraId="15E4B4C7"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5F9A967"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31D7488"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F80067"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34152F"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2CDFA215"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DF6DBA" w14:textId="77777777" w:rsidR="00FA22FF" w:rsidRDefault="00FA22FF" w:rsidP="00FA22FF">
            <w:pPr>
              <w:rPr>
                <w:rFonts w:ascii="Calibri" w:hAnsi="Calibri"/>
                <w:color w:val="FF0000"/>
                <w:szCs w:val="22"/>
              </w:rPr>
            </w:pPr>
          </w:p>
          <w:p w14:paraId="13033FF1" w14:textId="50C3EAB4" w:rsidR="006A71E6" w:rsidRPr="00FA22FF" w:rsidRDefault="00FA22FF" w:rsidP="00FA22FF">
            <w:pPr>
              <w:rPr>
                <w:rFonts w:asciiTheme="minorHAnsi" w:hAnsiTheme="minorHAnsi" w:cstheme="minorHAnsi"/>
                <w:szCs w:val="22"/>
              </w:rPr>
            </w:pPr>
            <w:r w:rsidRPr="00FA22FF">
              <w:rPr>
                <w:rFonts w:asciiTheme="minorHAnsi" w:hAnsiTheme="minorHAnsi" w:cstheme="minorHAnsi"/>
                <w:szCs w:val="22"/>
              </w:rPr>
              <w:t xml:space="preserve">Clitheroe Town Council </w:t>
            </w:r>
            <w:r w:rsidRPr="00FA22FF">
              <w:rPr>
                <w:rFonts w:asciiTheme="minorHAnsi" w:hAnsiTheme="minorHAnsi" w:cstheme="minorHAnsi"/>
              </w:rPr>
              <w:t>have raised no objections to the proposals but wish to express concern regarding the increase in access required in a cul-de-sac.</w:t>
            </w:r>
          </w:p>
          <w:p w14:paraId="7DCFEDB8" w14:textId="1B331D99" w:rsidR="00FA22FF" w:rsidRPr="00FA22FF" w:rsidRDefault="00FA22FF" w:rsidP="00FA22FF">
            <w:pPr>
              <w:rPr>
                <w:rFonts w:ascii="Calibri" w:hAnsi="Calibri"/>
                <w:color w:val="FF0000"/>
                <w:szCs w:val="22"/>
              </w:rPr>
            </w:pPr>
          </w:p>
        </w:tc>
      </w:tr>
      <w:tr w:rsidR="00C618DB" w:rsidRPr="00D2449B" w14:paraId="01DC3A95"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A59CB62" w14:textId="77777777" w:rsidR="00C618DB" w:rsidRPr="00B37C5D" w:rsidRDefault="00C618DB">
            <w:pPr>
              <w:rPr>
                <w:rFonts w:ascii="Calibri" w:hAnsi="Calibri"/>
                <w:bCs/>
                <w:color w:val="FF0000"/>
                <w:szCs w:val="22"/>
              </w:rPr>
            </w:pPr>
          </w:p>
        </w:tc>
      </w:tr>
      <w:tr w:rsidR="00C618DB" w:rsidRPr="00D2449B" w14:paraId="17100F60"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020A5"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B154D3" w14:textId="77777777" w:rsidR="00C618DB" w:rsidRPr="00B37C5D" w:rsidRDefault="00C618DB" w:rsidP="00C618DB">
            <w:pPr>
              <w:rPr>
                <w:rFonts w:ascii="Calibri" w:hAnsi="Calibri"/>
                <w:b/>
                <w:color w:val="FF0000"/>
                <w:szCs w:val="22"/>
              </w:rPr>
            </w:pPr>
            <w:r w:rsidRPr="002D6B08">
              <w:rPr>
                <w:rFonts w:ascii="Calibri" w:hAnsi="Calibri"/>
                <w:b/>
                <w:szCs w:val="22"/>
              </w:rPr>
              <w:t>Highways/Water Authority/Other Bodies</w:t>
            </w:r>
          </w:p>
        </w:tc>
      </w:tr>
      <w:tr w:rsidR="002A01CF" w:rsidRPr="00D2449B" w14:paraId="77FEF70C"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2A9EEE"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1FEE20" w14:textId="77777777" w:rsidR="002A01CF" w:rsidRPr="00B37C5D" w:rsidRDefault="002A01CF">
            <w:pPr>
              <w:rPr>
                <w:rFonts w:ascii="Calibri" w:hAnsi="Calibri"/>
                <w:b/>
                <w:color w:val="FF0000"/>
                <w:szCs w:val="22"/>
              </w:rPr>
            </w:pPr>
          </w:p>
        </w:tc>
      </w:tr>
      <w:tr w:rsidR="006A71E6" w:rsidRPr="00D2449B" w14:paraId="5B83F172" w14:textId="77777777" w:rsidTr="00ED0066">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67020B" w14:textId="77777777" w:rsidR="006A71E6" w:rsidRDefault="006A71E6" w:rsidP="006A71E6">
            <w:pPr>
              <w:rPr>
                <w:rFonts w:ascii="Calibri" w:hAnsi="Calibri"/>
                <w:color w:val="FF0000"/>
                <w:szCs w:val="22"/>
              </w:rPr>
            </w:pPr>
          </w:p>
          <w:p w14:paraId="1C1E277A" w14:textId="39A29CBE" w:rsidR="00FA22FF" w:rsidRPr="002D6B08" w:rsidRDefault="00FA22FF" w:rsidP="006A71E6">
            <w:pPr>
              <w:rPr>
                <w:rFonts w:ascii="Calibri" w:hAnsi="Calibri"/>
                <w:szCs w:val="22"/>
              </w:rPr>
            </w:pPr>
            <w:r w:rsidRPr="002D6B08">
              <w:rPr>
                <w:rFonts w:ascii="Calibri" w:hAnsi="Calibri"/>
                <w:szCs w:val="22"/>
              </w:rPr>
              <w:t>LCC Highways have raised no object</w:t>
            </w:r>
            <w:r w:rsidR="002D6B08" w:rsidRPr="002D6B08">
              <w:rPr>
                <w:rFonts w:ascii="Calibri" w:hAnsi="Calibri"/>
                <w:szCs w:val="22"/>
              </w:rPr>
              <w:t>ions to the proposal subject to the imposition of conditions and amendments to the gate arrangement, in this respect the Highways Officer has offered the following observations:</w:t>
            </w:r>
          </w:p>
          <w:p w14:paraId="2E63FA4B" w14:textId="4C85DDD8" w:rsidR="002D6B08" w:rsidRPr="002D6B08" w:rsidRDefault="002D6B08" w:rsidP="006A71E6">
            <w:pPr>
              <w:rPr>
                <w:rFonts w:ascii="Calibri" w:hAnsi="Calibri"/>
                <w:szCs w:val="22"/>
              </w:rPr>
            </w:pPr>
          </w:p>
          <w:p w14:paraId="784823AD" w14:textId="624FC707" w:rsidR="002D6B08" w:rsidRPr="002D6B08" w:rsidRDefault="002D6B08" w:rsidP="002D6B08">
            <w:pPr>
              <w:jc w:val="both"/>
              <w:rPr>
                <w:rFonts w:ascii="Calibri" w:hAnsi="Calibri"/>
                <w:i/>
                <w:iCs/>
                <w:szCs w:val="22"/>
              </w:rPr>
            </w:pPr>
            <w:r w:rsidRPr="002D6B08">
              <w:rPr>
                <w:rFonts w:ascii="Calibri" w:hAnsi="Calibri"/>
                <w:i/>
                <w:iCs/>
                <w:szCs w:val="22"/>
              </w:rPr>
              <w:t xml:space="preserve">The gating arrangement restricts the movement of vehicles at 115 </w:t>
            </w:r>
            <w:proofErr w:type="spellStart"/>
            <w:r w:rsidRPr="002D6B08">
              <w:rPr>
                <w:rFonts w:ascii="Calibri" w:hAnsi="Calibri"/>
                <w:i/>
                <w:iCs/>
                <w:szCs w:val="22"/>
              </w:rPr>
              <w:t>Kemple</w:t>
            </w:r>
            <w:proofErr w:type="spellEnd"/>
            <w:r w:rsidRPr="002D6B08">
              <w:rPr>
                <w:rFonts w:ascii="Calibri" w:hAnsi="Calibri"/>
                <w:i/>
                <w:iCs/>
                <w:szCs w:val="22"/>
              </w:rPr>
              <w:t xml:space="preserve"> View and should be amended so that the gates are aligned at 90 degrees to the carriageway rather than at an acute 45-degree angle from the boundary of number 115.</w:t>
            </w:r>
          </w:p>
          <w:p w14:paraId="2993422B" w14:textId="77777777" w:rsidR="002D6B08" w:rsidRPr="002D6B08" w:rsidRDefault="002D6B08" w:rsidP="002D6B08">
            <w:pPr>
              <w:jc w:val="both"/>
              <w:rPr>
                <w:rFonts w:ascii="Calibri" w:hAnsi="Calibri"/>
                <w:i/>
                <w:iCs/>
                <w:szCs w:val="22"/>
              </w:rPr>
            </w:pPr>
          </w:p>
          <w:p w14:paraId="469C9610" w14:textId="45649D6A" w:rsidR="002D6B08" w:rsidRPr="002D6B08" w:rsidRDefault="002D6B08" w:rsidP="002D6B08">
            <w:pPr>
              <w:jc w:val="both"/>
              <w:rPr>
                <w:rFonts w:ascii="Calibri" w:hAnsi="Calibri"/>
                <w:i/>
                <w:iCs/>
                <w:szCs w:val="22"/>
              </w:rPr>
            </w:pPr>
            <w:r w:rsidRPr="002D6B08">
              <w:rPr>
                <w:rFonts w:ascii="Calibri" w:hAnsi="Calibri"/>
                <w:i/>
                <w:iCs/>
                <w:szCs w:val="22"/>
              </w:rPr>
              <w:t>There are no garages proposed. Each dwelling requires a secure, covered cycle store and electric vehicle charging point. The proposed highway drain diversion shown on drawing 'Site drainage diversion and proposed building outline' PHA/366-100 is acceptable.</w:t>
            </w:r>
          </w:p>
          <w:p w14:paraId="0B5874C2" w14:textId="47C643A7" w:rsidR="00FA22FF" w:rsidRPr="00B37C5D" w:rsidRDefault="00FA22FF" w:rsidP="006A71E6">
            <w:pPr>
              <w:rPr>
                <w:rFonts w:ascii="Calibri" w:hAnsi="Calibri"/>
                <w:color w:val="FF0000"/>
                <w:szCs w:val="22"/>
              </w:rPr>
            </w:pPr>
          </w:p>
        </w:tc>
      </w:tr>
      <w:tr w:rsidR="006A71E6" w:rsidRPr="00D2449B" w14:paraId="3C72C1B8"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D27A61" w14:textId="77777777" w:rsidR="006A71E6" w:rsidRPr="00D2449B" w:rsidRDefault="006A71E6" w:rsidP="006A71E6">
            <w:pPr>
              <w:rPr>
                <w:rFonts w:ascii="Calibri" w:hAnsi="Calibri"/>
                <w:b/>
                <w:szCs w:val="22"/>
              </w:rPr>
            </w:pPr>
            <w:r>
              <w:rPr>
                <w:rFonts w:ascii="Calibri" w:hAnsi="Calibri"/>
                <w:b/>
                <w:szCs w:val="22"/>
              </w:rPr>
              <w:t>United Utilities: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ADBE84" w14:textId="77777777" w:rsidR="006A71E6" w:rsidRPr="00B37C5D" w:rsidRDefault="006A71E6" w:rsidP="006A71E6">
            <w:pPr>
              <w:rPr>
                <w:rFonts w:ascii="Calibri" w:hAnsi="Calibri"/>
                <w:b/>
                <w:color w:val="FF0000"/>
                <w:szCs w:val="22"/>
              </w:rPr>
            </w:pPr>
          </w:p>
        </w:tc>
      </w:tr>
      <w:tr w:rsidR="004B4AF5" w:rsidRPr="00D2449B" w14:paraId="67F825A0" w14:textId="77777777" w:rsidTr="00A1484D">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4C20A3" w14:textId="77777777" w:rsidR="004B4AF5" w:rsidRDefault="004B4AF5" w:rsidP="004B4AF5">
            <w:pPr>
              <w:rPr>
                <w:rFonts w:ascii="Calibri" w:hAnsi="Calibri"/>
                <w:color w:val="FF0000"/>
                <w:szCs w:val="22"/>
              </w:rPr>
            </w:pPr>
          </w:p>
          <w:p w14:paraId="648CE3D4" w14:textId="77777777" w:rsidR="004B4AF5" w:rsidRPr="002D6B08" w:rsidRDefault="004B4AF5" w:rsidP="004B4AF5">
            <w:pPr>
              <w:rPr>
                <w:rFonts w:ascii="Calibri" w:hAnsi="Calibri"/>
                <w:szCs w:val="22"/>
              </w:rPr>
            </w:pPr>
            <w:r w:rsidRPr="002D6B08">
              <w:rPr>
                <w:rFonts w:ascii="Calibri" w:hAnsi="Calibri"/>
                <w:szCs w:val="22"/>
              </w:rPr>
              <w:t>United Utilities have raised no objection to the proposal subject to the imposition of conditions relating to foul and surface water drainage.</w:t>
            </w:r>
          </w:p>
          <w:p w14:paraId="7E4CEB9F" w14:textId="77777777" w:rsidR="004B4AF5" w:rsidRPr="00B37C5D" w:rsidRDefault="004B4AF5" w:rsidP="006A71E6">
            <w:pPr>
              <w:rPr>
                <w:rFonts w:ascii="Calibri" w:hAnsi="Calibri"/>
                <w:b/>
                <w:color w:val="FF0000"/>
                <w:szCs w:val="22"/>
              </w:rPr>
            </w:pPr>
          </w:p>
        </w:tc>
      </w:tr>
      <w:tr w:rsidR="004B4AF5" w:rsidRPr="00D2449B" w14:paraId="618791F9"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92F33F" w14:textId="434EC407" w:rsidR="004B4AF5" w:rsidRDefault="004B4AF5" w:rsidP="006A71E6">
            <w:pPr>
              <w:rPr>
                <w:rFonts w:ascii="Calibri" w:hAnsi="Calibri"/>
                <w:b/>
                <w:szCs w:val="22"/>
              </w:rPr>
            </w:pPr>
            <w:r>
              <w:rPr>
                <w:rFonts w:ascii="Calibri" w:hAnsi="Calibri"/>
                <w:b/>
                <w:szCs w:val="22"/>
              </w:rPr>
              <w:t>Network Rail:</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8A73C1" w14:textId="77777777" w:rsidR="004B4AF5" w:rsidRPr="00B37C5D" w:rsidRDefault="004B4AF5" w:rsidP="006A71E6">
            <w:pPr>
              <w:rPr>
                <w:rFonts w:ascii="Calibri" w:hAnsi="Calibri"/>
                <w:b/>
                <w:color w:val="FF0000"/>
                <w:szCs w:val="22"/>
              </w:rPr>
            </w:pPr>
          </w:p>
        </w:tc>
      </w:tr>
      <w:tr w:rsidR="006A71E6" w:rsidRPr="00D2449B" w14:paraId="245E284D"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038758" w14:textId="77777777" w:rsidR="002D6B08" w:rsidRDefault="002D6B08" w:rsidP="006A71E6">
            <w:pPr>
              <w:rPr>
                <w:rFonts w:ascii="Calibri" w:hAnsi="Calibri"/>
                <w:color w:val="FF0000"/>
                <w:szCs w:val="22"/>
              </w:rPr>
            </w:pPr>
          </w:p>
          <w:p w14:paraId="0C3CD65D" w14:textId="163C17EC" w:rsidR="006A71E6" w:rsidRPr="002D6B08" w:rsidRDefault="004B4AF5" w:rsidP="006A71E6">
            <w:pPr>
              <w:rPr>
                <w:rFonts w:ascii="Calibri" w:hAnsi="Calibri"/>
                <w:szCs w:val="22"/>
              </w:rPr>
            </w:pPr>
            <w:r>
              <w:rPr>
                <w:rFonts w:ascii="Calibri" w:hAnsi="Calibri"/>
                <w:szCs w:val="22"/>
              </w:rPr>
              <w:t>Network Rail</w:t>
            </w:r>
            <w:r w:rsidR="002D6B08" w:rsidRPr="002D6B08">
              <w:rPr>
                <w:rFonts w:ascii="Calibri" w:hAnsi="Calibri"/>
                <w:szCs w:val="22"/>
              </w:rPr>
              <w:t xml:space="preserve"> have raised no objection to the proposal </w:t>
            </w:r>
            <w:r>
              <w:rPr>
                <w:rFonts w:ascii="Calibri" w:hAnsi="Calibri"/>
                <w:szCs w:val="22"/>
              </w:rPr>
              <w:t>but have stated that works affecting rail assets must be undertaken</w:t>
            </w:r>
            <w:r w:rsidRPr="004B4AF5">
              <w:rPr>
                <w:rFonts w:ascii="Calibri" w:hAnsi="Calibri"/>
                <w:szCs w:val="22"/>
              </w:rPr>
              <w:t xml:space="preserve"> with the agreement and supervision of Network Rail</w:t>
            </w:r>
            <w:r>
              <w:rPr>
                <w:rFonts w:ascii="Calibri" w:hAnsi="Calibri"/>
                <w:szCs w:val="22"/>
              </w:rPr>
              <w:t>.</w:t>
            </w:r>
          </w:p>
          <w:p w14:paraId="197E7BC0" w14:textId="146BF258" w:rsidR="002D6B08" w:rsidRPr="00B37C5D" w:rsidRDefault="002D6B08" w:rsidP="006A71E6">
            <w:pPr>
              <w:rPr>
                <w:rFonts w:ascii="Calibri" w:hAnsi="Calibri"/>
                <w:color w:val="FF0000"/>
                <w:szCs w:val="22"/>
              </w:rPr>
            </w:pPr>
          </w:p>
        </w:tc>
      </w:tr>
      <w:tr w:rsidR="006A71E6" w:rsidRPr="00D2449B" w14:paraId="7E8BA4EF"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3CEA9D" w14:textId="77777777" w:rsidR="006A71E6" w:rsidRPr="00C0704D" w:rsidRDefault="006A71E6" w:rsidP="006A71E6">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015E4D" w14:textId="77777777" w:rsidR="006A71E6" w:rsidRPr="00B37C5D" w:rsidRDefault="006A71E6" w:rsidP="006A71E6">
            <w:pPr>
              <w:rPr>
                <w:rFonts w:ascii="Calibri" w:hAnsi="Calibri"/>
                <w:b/>
                <w:color w:val="FF0000"/>
                <w:szCs w:val="22"/>
              </w:rPr>
            </w:pPr>
            <w:r w:rsidRPr="002D6B08">
              <w:rPr>
                <w:rFonts w:ascii="Calibri" w:hAnsi="Calibri"/>
                <w:b/>
                <w:szCs w:val="22"/>
              </w:rPr>
              <w:t>Additional Representations.</w:t>
            </w:r>
          </w:p>
        </w:tc>
      </w:tr>
      <w:tr w:rsidR="006A71E6" w:rsidRPr="00D2449B" w14:paraId="07E6ED8E"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4711DB" w14:textId="618FAF7B" w:rsidR="006A71E6" w:rsidRPr="006F1922" w:rsidRDefault="004823B3" w:rsidP="006A71E6">
            <w:pPr>
              <w:rPr>
                <w:rFonts w:ascii="Calibri" w:hAnsi="Calibri"/>
                <w:szCs w:val="22"/>
              </w:rPr>
            </w:pPr>
            <w:r>
              <w:rPr>
                <w:rFonts w:ascii="Calibri" w:hAnsi="Calibri"/>
                <w:szCs w:val="22"/>
              </w:rPr>
              <w:t xml:space="preserve">Eight </w:t>
            </w:r>
            <w:r w:rsidR="0030140F" w:rsidRPr="006F1922">
              <w:rPr>
                <w:rFonts w:ascii="Calibri" w:hAnsi="Calibri"/>
                <w:szCs w:val="22"/>
              </w:rPr>
              <w:t>letters of representation</w:t>
            </w:r>
            <w:r w:rsidR="006A71E6" w:rsidRPr="006F1922">
              <w:rPr>
                <w:rFonts w:ascii="Calibri" w:hAnsi="Calibri"/>
                <w:szCs w:val="22"/>
              </w:rPr>
              <w:t xml:space="preserve"> have been received in respect of the proposed development</w:t>
            </w:r>
            <w:r w:rsidR="0030140F" w:rsidRPr="006F1922">
              <w:rPr>
                <w:rFonts w:ascii="Calibri" w:hAnsi="Calibri"/>
                <w:szCs w:val="22"/>
              </w:rPr>
              <w:t xml:space="preserve"> objecting on the following grounds:</w:t>
            </w:r>
          </w:p>
          <w:p w14:paraId="7EFE3FA9" w14:textId="7ADD29DB" w:rsidR="00EF0C24" w:rsidRPr="006F1922" w:rsidRDefault="00EF0C24" w:rsidP="006A71E6">
            <w:pPr>
              <w:rPr>
                <w:rFonts w:ascii="Calibri" w:hAnsi="Calibri"/>
                <w:szCs w:val="22"/>
              </w:rPr>
            </w:pPr>
          </w:p>
          <w:p w14:paraId="119BB351" w14:textId="7A6F16F6" w:rsidR="00EF0C24" w:rsidRPr="006F1922" w:rsidRDefault="00EF0C24" w:rsidP="00EF0C24">
            <w:pPr>
              <w:pStyle w:val="ListParagraph"/>
              <w:numPr>
                <w:ilvl w:val="0"/>
                <w:numId w:val="6"/>
              </w:numPr>
              <w:rPr>
                <w:rFonts w:ascii="Calibri" w:hAnsi="Calibri"/>
                <w:szCs w:val="22"/>
              </w:rPr>
            </w:pPr>
            <w:r w:rsidRPr="006F1922">
              <w:rPr>
                <w:rFonts w:ascii="Calibri" w:hAnsi="Calibri"/>
                <w:szCs w:val="22"/>
              </w:rPr>
              <w:lastRenderedPageBreak/>
              <w:t>Detrimental impact upon residential amenity</w:t>
            </w:r>
          </w:p>
          <w:p w14:paraId="12D0E7C9" w14:textId="7684C0D1" w:rsidR="00EF0C24" w:rsidRPr="006F1922" w:rsidRDefault="00EF0C24" w:rsidP="00EF0C24">
            <w:pPr>
              <w:pStyle w:val="ListParagraph"/>
              <w:numPr>
                <w:ilvl w:val="0"/>
                <w:numId w:val="6"/>
              </w:numPr>
              <w:rPr>
                <w:rFonts w:ascii="Calibri" w:hAnsi="Calibri"/>
                <w:szCs w:val="22"/>
              </w:rPr>
            </w:pPr>
            <w:r w:rsidRPr="006F1922">
              <w:rPr>
                <w:rFonts w:ascii="Calibri" w:hAnsi="Calibri"/>
                <w:szCs w:val="22"/>
              </w:rPr>
              <w:t>Overbearing impact</w:t>
            </w:r>
          </w:p>
          <w:p w14:paraId="5DE6132D" w14:textId="7ADFAF01" w:rsidR="00EF0C24" w:rsidRPr="006F1922" w:rsidRDefault="00EF0C24" w:rsidP="00EF0C24">
            <w:pPr>
              <w:pStyle w:val="ListParagraph"/>
              <w:numPr>
                <w:ilvl w:val="0"/>
                <w:numId w:val="6"/>
              </w:numPr>
              <w:rPr>
                <w:rFonts w:ascii="Calibri" w:hAnsi="Calibri"/>
                <w:szCs w:val="22"/>
              </w:rPr>
            </w:pPr>
            <w:r w:rsidRPr="006F1922">
              <w:rPr>
                <w:rFonts w:ascii="Calibri" w:hAnsi="Calibri"/>
                <w:szCs w:val="22"/>
              </w:rPr>
              <w:t>Inadequate parking and vehicular manoeuvring provision</w:t>
            </w:r>
          </w:p>
          <w:p w14:paraId="46D9ADE3" w14:textId="75A15799" w:rsidR="00EF0C24" w:rsidRPr="006F1922" w:rsidRDefault="00EF0C24" w:rsidP="00EF0C24">
            <w:pPr>
              <w:pStyle w:val="ListParagraph"/>
              <w:numPr>
                <w:ilvl w:val="0"/>
                <w:numId w:val="6"/>
              </w:numPr>
              <w:rPr>
                <w:rFonts w:ascii="Calibri" w:hAnsi="Calibri"/>
                <w:szCs w:val="22"/>
              </w:rPr>
            </w:pPr>
            <w:r w:rsidRPr="006F1922">
              <w:rPr>
                <w:rFonts w:ascii="Calibri" w:hAnsi="Calibri"/>
                <w:szCs w:val="22"/>
              </w:rPr>
              <w:t>Limited access road</w:t>
            </w:r>
          </w:p>
          <w:p w14:paraId="49AA7E85" w14:textId="6738758F" w:rsidR="00EF0C24" w:rsidRPr="006F1922" w:rsidRDefault="00EF0C24" w:rsidP="00EF0C24">
            <w:pPr>
              <w:pStyle w:val="ListParagraph"/>
              <w:numPr>
                <w:ilvl w:val="0"/>
                <w:numId w:val="6"/>
              </w:numPr>
              <w:rPr>
                <w:rFonts w:ascii="Calibri" w:hAnsi="Calibri"/>
                <w:szCs w:val="22"/>
              </w:rPr>
            </w:pPr>
            <w:r w:rsidRPr="006F1922">
              <w:rPr>
                <w:rFonts w:ascii="Calibri" w:hAnsi="Calibri"/>
                <w:szCs w:val="22"/>
              </w:rPr>
              <w:t>The scale of the dwellings is excessive</w:t>
            </w:r>
          </w:p>
          <w:p w14:paraId="629F928F" w14:textId="69AB72D9" w:rsidR="00EF0C24" w:rsidRPr="006F1922" w:rsidRDefault="00EF0C24" w:rsidP="00EF0C24">
            <w:pPr>
              <w:pStyle w:val="ListParagraph"/>
              <w:numPr>
                <w:ilvl w:val="0"/>
                <w:numId w:val="6"/>
              </w:numPr>
              <w:rPr>
                <w:rFonts w:ascii="Calibri" w:hAnsi="Calibri"/>
                <w:szCs w:val="22"/>
              </w:rPr>
            </w:pPr>
            <w:r w:rsidRPr="006F1922">
              <w:rPr>
                <w:rFonts w:ascii="Calibri" w:hAnsi="Calibri"/>
                <w:szCs w:val="22"/>
              </w:rPr>
              <w:t>Presence of drainage infrastructure on-site</w:t>
            </w:r>
          </w:p>
          <w:p w14:paraId="7161D089" w14:textId="3C8F6E0B" w:rsidR="00EF0C24" w:rsidRPr="006F1922" w:rsidRDefault="006F1922" w:rsidP="00EF0C24">
            <w:pPr>
              <w:pStyle w:val="ListParagraph"/>
              <w:numPr>
                <w:ilvl w:val="0"/>
                <w:numId w:val="6"/>
              </w:numPr>
              <w:rPr>
                <w:rFonts w:ascii="Calibri" w:hAnsi="Calibri"/>
                <w:szCs w:val="22"/>
              </w:rPr>
            </w:pPr>
            <w:r w:rsidRPr="006F1922">
              <w:rPr>
                <w:rFonts w:ascii="Calibri" w:hAnsi="Calibri"/>
                <w:szCs w:val="22"/>
              </w:rPr>
              <w:t xml:space="preserve">Increase in traffic </w:t>
            </w:r>
          </w:p>
          <w:p w14:paraId="657D680C" w14:textId="6031736F" w:rsidR="006F1922" w:rsidRPr="006F1922" w:rsidRDefault="006F1922" w:rsidP="00EF0C24">
            <w:pPr>
              <w:pStyle w:val="ListParagraph"/>
              <w:numPr>
                <w:ilvl w:val="0"/>
                <w:numId w:val="6"/>
              </w:numPr>
              <w:rPr>
                <w:rFonts w:ascii="Calibri" w:hAnsi="Calibri"/>
                <w:szCs w:val="22"/>
              </w:rPr>
            </w:pPr>
            <w:r w:rsidRPr="006F1922">
              <w:rPr>
                <w:rFonts w:ascii="Calibri" w:hAnsi="Calibri"/>
                <w:szCs w:val="22"/>
              </w:rPr>
              <w:t>Design of the dwellings is out of character with the area</w:t>
            </w:r>
          </w:p>
          <w:p w14:paraId="4E43537E" w14:textId="2584BD0D" w:rsidR="0030140F" w:rsidRPr="00B37C5D" w:rsidRDefault="0030140F" w:rsidP="006A71E6">
            <w:pPr>
              <w:rPr>
                <w:rFonts w:ascii="Calibri" w:hAnsi="Calibri"/>
                <w:color w:val="FF0000"/>
                <w:szCs w:val="22"/>
              </w:rPr>
            </w:pPr>
          </w:p>
        </w:tc>
      </w:tr>
      <w:tr w:rsidR="006A71E6" w:rsidRPr="00D2449B" w14:paraId="07B5C72F"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1341FD3" w14:textId="77777777" w:rsidR="006A71E6" w:rsidRPr="00B37C5D" w:rsidRDefault="006A71E6" w:rsidP="006A71E6">
            <w:pPr>
              <w:rPr>
                <w:rFonts w:ascii="Calibri" w:hAnsi="Calibri"/>
                <w:color w:val="FF0000"/>
                <w:szCs w:val="22"/>
              </w:rPr>
            </w:pPr>
          </w:p>
        </w:tc>
      </w:tr>
      <w:tr w:rsidR="006A71E6" w:rsidRPr="00D2449B" w14:paraId="1ADB4FC0"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A70E45" w14:textId="77777777" w:rsidR="006A71E6" w:rsidRPr="006F1922" w:rsidRDefault="006A71E6" w:rsidP="006A71E6">
            <w:pPr>
              <w:rPr>
                <w:rFonts w:ascii="Calibri" w:hAnsi="Calibri"/>
                <w:b/>
                <w:szCs w:val="22"/>
              </w:rPr>
            </w:pPr>
            <w:r w:rsidRPr="006F1922">
              <w:rPr>
                <w:rFonts w:ascii="Calibri" w:hAnsi="Calibri"/>
                <w:b/>
                <w:szCs w:val="22"/>
              </w:rPr>
              <w:t>RELEVANT POLICIES AND SITE PLANNING HISTORY:</w:t>
            </w:r>
          </w:p>
        </w:tc>
      </w:tr>
      <w:tr w:rsidR="006A71E6" w:rsidRPr="00D2449B" w14:paraId="3AC5793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8F34B1" w14:textId="77777777" w:rsidR="006A71E6" w:rsidRPr="006F1922" w:rsidRDefault="006A71E6" w:rsidP="006A71E6">
            <w:pPr>
              <w:pStyle w:val="PLANNING"/>
              <w:rPr>
                <w:rFonts w:ascii="Calibri" w:hAnsi="Calibri"/>
                <w:b/>
                <w:bCs/>
                <w:szCs w:val="22"/>
              </w:rPr>
            </w:pPr>
            <w:proofErr w:type="spellStart"/>
            <w:r w:rsidRPr="006F1922">
              <w:rPr>
                <w:rFonts w:ascii="Calibri" w:hAnsi="Calibri"/>
                <w:b/>
                <w:bCs/>
                <w:szCs w:val="22"/>
              </w:rPr>
              <w:t>Ribble</w:t>
            </w:r>
            <w:proofErr w:type="spellEnd"/>
            <w:r w:rsidRPr="006F1922">
              <w:rPr>
                <w:rFonts w:ascii="Calibri" w:hAnsi="Calibri"/>
                <w:b/>
                <w:bCs/>
                <w:szCs w:val="22"/>
              </w:rPr>
              <w:t xml:space="preserve"> Valley Core Strategy:</w:t>
            </w:r>
          </w:p>
          <w:p w14:paraId="12E55022" w14:textId="77777777" w:rsidR="006A71E6" w:rsidRPr="006F1922" w:rsidRDefault="006A71E6" w:rsidP="006A71E6">
            <w:pPr>
              <w:rPr>
                <w:rFonts w:ascii="Calibri" w:hAnsi="Calibri"/>
                <w:b/>
                <w:szCs w:val="22"/>
              </w:rPr>
            </w:pPr>
          </w:p>
          <w:p w14:paraId="023FD610" w14:textId="77777777" w:rsidR="006A71E6" w:rsidRPr="006F1922" w:rsidRDefault="006A71E6" w:rsidP="006A71E6">
            <w:pPr>
              <w:pStyle w:val="PLANNING"/>
              <w:rPr>
                <w:rFonts w:ascii="Calibri" w:hAnsi="Calibri"/>
                <w:szCs w:val="22"/>
              </w:rPr>
            </w:pPr>
            <w:r w:rsidRPr="006F1922">
              <w:rPr>
                <w:rFonts w:ascii="Calibri" w:hAnsi="Calibri"/>
                <w:szCs w:val="22"/>
              </w:rPr>
              <w:t>Key Statement DS1 – Development Strategy</w:t>
            </w:r>
          </w:p>
          <w:p w14:paraId="6603CFA5" w14:textId="77777777" w:rsidR="006A71E6" w:rsidRPr="006F1922" w:rsidRDefault="006A71E6" w:rsidP="006A71E6">
            <w:pPr>
              <w:pStyle w:val="PLANNING"/>
              <w:rPr>
                <w:rFonts w:ascii="Calibri" w:hAnsi="Calibri"/>
                <w:szCs w:val="22"/>
              </w:rPr>
            </w:pPr>
            <w:r w:rsidRPr="006F1922">
              <w:rPr>
                <w:rFonts w:ascii="Calibri" w:hAnsi="Calibri"/>
                <w:szCs w:val="22"/>
              </w:rPr>
              <w:t>Key Statement DS2 – Sustainable Development</w:t>
            </w:r>
          </w:p>
          <w:p w14:paraId="3B41D0C0" w14:textId="77777777" w:rsidR="006A71E6" w:rsidRPr="006F1922" w:rsidRDefault="006A71E6" w:rsidP="006A71E6">
            <w:pPr>
              <w:pStyle w:val="PLANNING"/>
              <w:rPr>
                <w:rFonts w:ascii="Calibri" w:hAnsi="Calibri"/>
                <w:szCs w:val="22"/>
              </w:rPr>
            </w:pPr>
            <w:r w:rsidRPr="006F1922">
              <w:rPr>
                <w:rFonts w:ascii="Calibri" w:hAnsi="Calibri"/>
                <w:szCs w:val="22"/>
              </w:rPr>
              <w:t>Key Statement DMI2 – Transport Considerations</w:t>
            </w:r>
          </w:p>
          <w:p w14:paraId="66F21E21" w14:textId="77777777" w:rsidR="006A71E6" w:rsidRPr="006F1922" w:rsidRDefault="006A71E6" w:rsidP="006A71E6">
            <w:pPr>
              <w:pStyle w:val="PLANNING"/>
              <w:rPr>
                <w:rFonts w:ascii="Calibri" w:hAnsi="Calibri"/>
                <w:szCs w:val="22"/>
              </w:rPr>
            </w:pPr>
          </w:p>
          <w:p w14:paraId="717AC3A8" w14:textId="77777777" w:rsidR="006A71E6" w:rsidRPr="006F1922" w:rsidRDefault="006A71E6" w:rsidP="006A71E6">
            <w:pPr>
              <w:pStyle w:val="PLANNING"/>
              <w:rPr>
                <w:rFonts w:ascii="Calibri" w:hAnsi="Calibri"/>
                <w:szCs w:val="22"/>
              </w:rPr>
            </w:pPr>
            <w:r w:rsidRPr="006F1922">
              <w:rPr>
                <w:rFonts w:ascii="Calibri" w:hAnsi="Calibri"/>
                <w:szCs w:val="22"/>
              </w:rPr>
              <w:t>Policy DMG1 – General Considerations</w:t>
            </w:r>
          </w:p>
          <w:p w14:paraId="0DB104E9" w14:textId="77777777" w:rsidR="006A71E6" w:rsidRPr="006F1922" w:rsidRDefault="006A71E6" w:rsidP="006A71E6">
            <w:pPr>
              <w:pStyle w:val="PLANNING"/>
              <w:rPr>
                <w:rFonts w:ascii="Calibri" w:hAnsi="Calibri"/>
                <w:szCs w:val="22"/>
              </w:rPr>
            </w:pPr>
            <w:r w:rsidRPr="006F1922">
              <w:rPr>
                <w:rFonts w:ascii="Calibri" w:hAnsi="Calibri"/>
                <w:szCs w:val="22"/>
              </w:rPr>
              <w:t>Policy DMG2 – Strategic Considerations</w:t>
            </w:r>
          </w:p>
          <w:p w14:paraId="5B16224E" w14:textId="77777777" w:rsidR="006A71E6" w:rsidRPr="006F1922" w:rsidRDefault="006A71E6" w:rsidP="006A71E6">
            <w:pPr>
              <w:pStyle w:val="PLANNING"/>
              <w:rPr>
                <w:rFonts w:ascii="Calibri" w:hAnsi="Calibri"/>
                <w:szCs w:val="22"/>
              </w:rPr>
            </w:pPr>
            <w:r w:rsidRPr="006F1922">
              <w:rPr>
                <w:rFonts w:ascii="Calibri" w:hAnsi="Calibri"/>
                <w:szCs w:val="22"/>
              </w:rPr>
              <w:t>Policy DMG3 – Transport &amp; Mobility</w:t>
            </w:r>
          </w:p>
          <w:p w14:paraId="51140299" w14:textId="77777777" w:rsidR="006A71E6" w:rsidRPr="006F1922" w:rsidRDefault="006A71E6" w:rsidP="006A71E6">
            <w:pPr>
              <w:pStyle w:val="PLANNING"/>
              <w:rPr>
                <w:rFonts w:ascii="Calibri" w:hAnsi="Calibri"/>
                <w:szCs w:val="22"/>
              </w:rPr>
            </w:pPr>
            <w:r w:rsidRPr="006F1922">
              <w:rPr>
                <w:rFonts w:ascii="Calibri" w:hAnsi="Calibri"/>
                <w:szCs w:val="22"/>
              </w:rPr>
              <w:t>Policy DME1 – Protecting Trees &amp; Woodland</w:t>
            </w:r>
          </w:p>
          <w:p w14:paraId="07B47A15" w14:textId="77777777" w:rsidR="006A71E6" w:rsidRPr="006F1922" w:rsidRDefault="006A71E6" w:rsidP="006A71E6">
            <w:pPr>
              <w:pStyle w:val="PLANNING"/>
              <w:rPr>
                <w:rFonts w:ascii="Calibri" w:hAnsi="Calibri"/>
                <w:szCs w:val="22"/>
              </w:rPr>
            </w:pPr>
            <w:r w:rsidRPr="006F1922">
              <w:rPr>
                <w:rFonts w:ascii="Calibri" w:hAnsi="Calibri"/>
                <w:szCs w:val="22"/>
              </w:rPr>
              <w:t>Policy DME2 – Landscape &amp; Townscape Protection</w:t>
            </w:r>
          </w:p>
          <w:p w14:paraId="31BC2A95" w14:textId="77777777" w:rsidR="006A71E6" w:rsidRPr="006F1922" w:rsidRDefault="006A71E6" w:rsidP="006A71E6">
            <w:pPr>
              <w:pStyle w:val="PLANNING"/>
              <w:rPr>
                <w:rFonts w:ascii="Calibri" w:hAnsi="Calibri"/>
                <w:szCs w:val="22"/>
              </w:rPr>
            </w:pPr>
          </w:p>
          <w:p w14:paraId="7A9D6ED6" w14:textId="77777777" w:rsidR="006A71E6" w:rsidRPr="006F1922" w:rsidRDefault="006A71E6" w:rsidP="006A71E6">
            <w:pPr>
              <w:rPr>
                <w:rFonts w:ascii="Calibri" w:hAnsi="Calibri"/>
                <w:szCs w:val="22"/>
              </w:rPr>
            </w:pPr>
            <w:r w:rsidRPr="006F1922">
              <w:rPr>
                <w:rFonts w:ascii="Calibri" w:hAnsi="Calibri"/>
                <w:szCs w:val="22"/>
              </w:rPr>
              <w:t>National Planning Policy Framework (NPPF)</w:t>
            </w:r>
          </w:p>
          <w:p w14:paraId="04B1F9B6" w14:textId="77777777" w:rsidR="006A71E6" w:rsidRPr="006F1922" w:rsidRDefault="006A71E6" w:rsidP="006A71E6">
            <w:pPr>
              <w:rPr>
                <w:rFonts w:ascii="Calibri" w:hAnsi="Calibri"/>
                <w:b/>
                <w:szCs w:val="22"/>
              </w:rPr>
            </w:pPr>
          </w:p>
        </w:tc>
      </w:tr>
      <w:tr w:rsidR="006A71E6" w:rsidRPr="00D2449B" w14:paraId="082744D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C8BC87" w14:textId="77777777" w:rsidR="006A71E6" w:rsidRPr="006F1922" w:rsidRDefault="006A71E6" w:rsidP="006A71E6">
            <w:pPr>
              <w:pStyle w:val="PLANNING"/>
              <w:rPr>
                <w:rFonts w:ascii="Calibri" w:hAnsi="Calibri"/>
                <w:b/>
                <w:bCs/>
                <w:szCs w:val="22"/>
              </w:rPr>
            </w:pPr>
            <w:r w:rsidRPr="006F1922">
              <w:rPr>
                <w:rFonts w:ascii="Calibri" w:hAnsi="Calibri"/>
                <w:b/>
                <w:bCs/>
                <w:szCs w:val="22"/>
              </w:rPr>
              <w:t>Relevant Planning History:</w:t>
            </w:r>
          </w:p>
          <w:p w14:paraId="63F556B1" w14:textId="0FDC0328" w:rsidR="006A71E6" w:rsidRDefault="006A71E6" w:rsidP="006A71E6">
            <w:pPr>
              <w:pStyle w:val="PLANNING"/>
              <w:rPr>
                <w:rFonts w:ascii="Calibri" w:hAnsi="Calibri"/>
                <w:b/>
                <w:bCs/>
                <w:szCs w:val="22"/>
              </w:rPr>
            </w:pPr>
          </w:p>
          <w:p w14:paraId="63C16BC1" w14:textId="77777777" w:rsidR="006F1922" w:rsidRPr="006F1922" w:rsidRDefault="006F1922" w:rsidP="006F1922">
            <w:pPr>
              <w:pStyle w:val="PLANNING"/>
              <w:rPr>
                <w:rFonts w:ascii="Calibri" w:hAnsi="Calibri"/>
                <w:b/>
                <w:bCs/>
                <w:szCs w:val="22"/>
              </w:rPr>
            </w:pPr>
            <w:r w:rsidRPr="006F1922">
              <w:rPr>
                <w:rFonts w:ascii="Calibri" w:hAnsi="Calibri"/>
                <w:b/>
                <w:bCs/>
                <w:szCs w:val="22"/>
              </w:rPr>
              <w:t>3/2020/0390:</w:t>
            </w:r>
          </w:p>
          <w:p w14:paraId="0E4FAE8C" w14:textId="77777777" w:rsidR="006F1922" w:rsidRPr="006F1922" w:rsidRDefault="006F1922" w:rsidP="006F1922">
            <w:pPr>
              <w:pStyle w:val="PLANNING"/>
              <w:rPr>
                <w:rFonts w:ascii="Calibri" w:hAnsi="Calibri"/>
                <w:b/>
                <w:bCs/>
                <w:szCs w:val="22"/>
              </w:rPr>
            </w:pPr>
            <w:r w:rsidRPr="006F1922">
              <w:rPr>
                <w:rFonts w:ascii="Calibri" w:hAnsi="Calibri"/>
                <w:bCs/>
                <w:szCs w:val="22"/>
              </w:rPr>
              <w:t>Erection of two detached dwellings.</w:t>
            </w:r>
            <w:r w:rsidRPr="006F1922">
              <w:rPr>
                <w:rFonts w:ascii="Calibri" w:hAnsi="Calibri"/>
                <w:b/>
                <w:bCs/>
                <w:szCs w:val="22"/>
              </w:rPr>
              <w:t xml:space="preserve">  </w:t>
            </w:r>
            <w:r w:rsidRPr="006F1922">
              <w:rPr>
                <w:rFonts w:ascii="Calibri" w:hAnsi="Calibri"/>
                <w:bCs/>
                <w:szCs w:val="22"/>
              </w:rPr>
              <w:t>(Withdrawn)</w:t>
            </w:r>
          </w:p>
          <w:p w14:paraId="7E1AC340" w14:textId="77777777" w:rsidR="006F1922" w:rsidRPr="006F1922" w:rsidRDefault="006F1922" w:rsidP="006A71E6">
            <w:pPr>
              <w:pStyle w:val="PLANNING"/>
              <w:rPr>
                <w:rFonts w:ascii="Calibri" w:hAnsi="Calibri"/>
                <w:b/>
                <w:bCs/>
                <w:szCs w:val="22"/>
              </w:rPr>
            </w:pPr>
          </w:p>
          <w:p w14:paraId="560BA15C" w14:textId="4C5D6239" w:rsidR="006A71E6" w:rsidRPr="006F1922" w:rsidRDefault="006A71E6" w:rsidP="006A71E6">
            <w:pPr>
              <w:pStyle w:val="PLANNING"/>
              <w:rPr>
                <w:rFonts w:ascii="Calibri" w:hAnsi="Calibri"/>
                <w:b/>
                <w:bCs/>
                <w:szCs w:val="22"/>
              </w:rPr>
            </w:pPr>
            <w:r w:rsidRPr="006F1922">
              <w:rPr>
                <w:rFonts w:ascii="Calibri" w:hAnsi="Calibri"/>
                <w:b/>
                <w:bCs/>
                <w:szCs w:val="22"/>
              </w:rPr>
              <w:t>3/2018/0</w:t>
            </w:r>
            <w:r w:rsidR="006F1922" w:rsidRPr="006F1922">
              <w:rPr>
                <w:rFonts w:ascii="Calibri" w:hAnsi="Calibri"/>
                <w:b/>
                <w:bCs/>
                <w:szCs w:val="22"/>
              </w:rPr>
              <w:t>740</w:t>
            </w:r>
            <w:r w:rsidRPr="006F1922">
              <w:rPr>
                <w:rFonts w:ascii="Calibri" w:hAnsi="Calibri"/>
                <w:b/>
                <w:bCs/>
                <w:szCs w:val="22"/>
              </w:rPr>
              <w:t>:</w:t>
            </w:r>
          </w:p>
          <w:p w14:paraId="2F641470" w14:textId="04509277" w:rsidR="006A71E6" w:rsidRPr="006F1922" w:rsidRDefault="006F1922" w:rsidP="006A71E6">
            <w:pPr>
              <w:pStyle w:val="PLANNING"/>
              <w:rPr>
                <w:rFonts w:ascii="Calibri" w:hAnsi="Calibri"/>
                <w:bCs/>
                <w:szCs w:val="22"/>
              </w:rPr>
            </w:pPr>
            <w:r w:rsidRPr="006F1922">
              <w:rPr>
                <w:rFonts w:ascii="Calibri" w:hAnsi="Calibri"/>
                <w:bCs/>
                <w:szCs w:val="22"/>
              </w:rPr>
              <w:t xml:space="preserve">Application for outline planning permission for three dwellings, </w:t>
            </w:r>
            <w:proofErr w:type="gramStart"/>
            <w:r w:rsidRPr="006F1922">
              <w:rPr>
                <w:rFonts w:ascii="Calibri" w:hAnsi="Calibri"/>
                <w:bCs/>
                <w:szCs w:val="22"/>
              </w:rPr>
              <w:t>access</w:t>
            </w:r>
            <w:proofErr w:type="gramEnd"/>
            <w:r w:rsidRPr="006F1922">
              <w:rPr>
                <w:rFonts w:ascii="Calibri" w:hAnsi="Calibri"/>
                <w:bCs/>
                <w:szCs w:val="22"/>
              </w:rPr>
              <w:t xml:space="preserve"> and parking. (Approved)</w:t>
            </w:r>
          </w:p>
          <w:p w14:paraId="11662853" w14:textId="77777777" w:rsidR="006F1922" w:rsidRDefault="006F1922" w:rsidP="006F1922">
            <w:pPr>
              <w:pStyle w:val="PLANNING"/>
              <w:rPr>
                <w:rFonts w:ascii="Calibri" w:hAnsi="Calibri"/>
                <w:b/>
                <w:bCs/>
                <w:color w:val="FF0000"/>
                <w:szCs w:val="22"/>
              </w:rPr>
            </w:pPr>
          </w:p>
          <w:p w14:paraId="60E91C2C" w14:textId="70A7FF6A" w:rsidR="000E2E86" w:rsidRPr="006F1922" w:rsidRDefault="000E2E86" w:rsidP="000E2E86">
            <w:pPr>
              <w:pStyle w:val="PLANNING"/>
              <w:rPr>
                <w:rFonts w:ascii="Calibri" w:hAnsi="Calibri"/>
                <w:b/>
                <w:bCs/>
                <w:szCs w:val="22"/>
              </w:rPr>
            </w:pPr>
            <w:r w:rsidRPr="006F1922">
              <w:rPr>
                <w:rFonts w:ascii="Calibri" w:hAnsi="Calibri"/>
                <w:b/>
                <w:bCs/>
                <w:szCs w:val="22"/>
              </w:rPr>
              <w:t>3/201</w:t>
            </w:r>
            <w:r>
              <w:rPr>
                <w:rFonts w:ascii="Calibri" w:hAnsi="Calibri"/>
                <w:b/>
                <w:bCs/>
                <w:szCs w:val="22"/>
              </w:rPr>
              <w:t>4</w:t>
            </w:r>
            <w:r w:rsidRPr="006F1922">
              <w:rPr>
                <w:rFonts w:ascii="Calibri" w:hAnsi="Calibri"/>
                <w:b/>
                <w:bCs/>
                <w:szCs w:val="22"/>
              </w:rPr>
              <w:t>/0</w:t>
            </w:r>
            <w:r>
              <w:rPr>
                <w:rFonts w:ascii="Calibri" w:hAnsi="Calibri"/>
                <w:b/>
                <w:bCs/>
                <w:szCs w:val="22"/>
              </w:rPr>
              <w:t>461</w:t>
            </w:r>
            <w:r w:rsidRPr="006F1922">
              <w:rPr>
                <w:rFonts w:ascii="Calibri" w:hAnsi="Calibri"/>
                <w:b/>
                <w:bCs/>
                <w:szCs w:val="22"/>
              </w:rPr>
              <w:t>:</w:t>
            </w:r>
          </w:p>
          <w:p w14:paraId="1A80F94F" w14:textId="4A0AC105" w:rsidR="000E2E86" w:rsidRDefault="000E2E86" w:rsidP="006F1922">
            <w:pPr>
              <w:pStyle w:val="PLANNING"/>
              <w:rPr>
                <w:rFonts w:ascii="Calibri" w:hAnsi="Calibri"/>
                <w:b/>
                <w:bCs/>
                <w:color w:val="FF0000"/>
                <w:szCs w:val="22"/>
              </w:rPr>
            </w:pPr>
            <w:r>
              <w:rPr>
                <w:rFonts w:ascii="Verdana" w:hAnsi="Verdana"/>
                <w:color w:val="333333"/>
                <w:sz w:val="18"/>
                <w:szCs w:val="18"/>
                <w:shd w:val="clear" w:color="auto" w:fill="FFFFFF"/>
              </w:rPr>
              <w:t xml:space="preserve">Outline application for three dwellings, </w:t>
            </w:r>
            <w:proofErr w:type="gramStart"/>
            <w:r>
              <w:rPr>
                <w:rFonts w:ascii="Verdana" w:hAnsi="Verdana"/>
                <w:color w:val="333333"/>
                <w:sz w:val="18"/>
                <w:szCs w:val="18"/>
                <w:shd w:val="clear" w:color="auto" w:fill="FFFFFF"/>
              </w:rPr>
              <w:t>access</w:t>
            </w:r>
            <w:proofErr w:type="gramEnd"/>
            <w:r>
              <w:rPr>
                <w:rFonts w:ascii="Verdana" w:hAnsi="Verdana"/>
                <w:color w:val="333333"/>
                <w:sz w:val="18"/>
                <w:szCs w:val="18"/>
                <w:shd w:val="clear" w:color="auto" w:fill="FFFFFF"/>
              </w:rPr>
              <w:t xml:space="preserve"> and parking. (Approved)</w:t>
            </w:r>
          </w:p>
          <w:p w14:paraId="46E6325F" w14:textId="1725A6E9" w:rsidR="000E2E86" w:rsidRPr="00B37C5D" w:rsidRDefault="000E2E86" w:rsidP="006F1922">
            <w:pPr>
              <w:pStyle w:val="PLANNING"/>
              <w:rPr>
                <w:rFonts w:ascii="Calibri" w:hAnsi="Calibri"/>
                <w:b/>
                <w:bCs/>
                <w:color w:val="FF0000"/>
                <w:szCs w:val="22"/>
              </w:rPr>
            </w:pPr>
          </w:p>
        </w:tc>
      </w:tr>
      <w:tr w:rsidR="006A71E6" w:rsidRPr="00D2449B" w14:paraId="54CF56FA"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589069B" w14:textId="77777777" w:rsidR="006A71E6" w:rsidRPr="00B37C5D" w:rsidRDefault="006A71E6" w:rsidP="006A71E6">
            <w:pPr>
              <w:pStyle w:val="PLANNING"/>
              <w:rPr>
                <w:rFonts w:ascii="Calibri" w:hAnsi="Calibri"/>
                <w:b/>
                <w:bCs/>
                <w:color w:val="FF0000"/>
                <w:szCs w:val="22"/>
              </w:rPr>
            </w:pPr>
          </w:p>
        </w:tc>
      </w:tr>
      <w:tr w:rsidR="006A71E6" w:rsidRPr="00D2449B" w14:paraId="49368850"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489986" w14:textId="77777777" w:rsidR="006A71E6" w:rsidRPr="00B37C5D" w:rsidRDefault="006A71E6" w:rsidP="006A71E6">
            <w:pPr>
              <w:rPr>
                <w:rFonts w:ascii="Calibri" w:hAnsi="Calibri"/>
                <w:b/>
                <w:color w:val="FF0000"/>
                <w:szCs w:val="22"/>
              </w:rPr>
            </w:pPr>
            <w:r w:rsidRPr="006F1922">
              <w:rPr>
                <w:rFonts w:ascii="Calibri" w:hAnsi="Calibri"/>
                <w:b/>
                <w:bCs/>
                <w:szCs w:val="22"/>
              </w:rPr>
              <w:t>ASSESSMENT OF PROPOSED DEVELOPMENT:</w:t>
            </w:r>
          </w:p>
        </w:tc>
      </w:tr>
      <w:tr w:rsidR="006A71E6" w:rsidRPr="00D2449B" w14:paraId="016A3D79"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184EB6" w14:textId="77777777" w:rsidR="006A71E6" w:rsidRPr="00C64985" w:rsidRDefault="006A71E6" w:rsidP="006A71E6">
            <w:pPr>
              <w:pStyle w:val="Header"/>
              <w:tabs>
                <w:tab w:val="clear" w:pos="4153"/>
                <w:tab w:val="clear" w:pos="8306"/>
              </w:tabs>
              <w:contextualSpacing/>
              <w:jc w:val="both"/>
              <w:rPr>
                <w:rFonts w:ascii="Calibri" w:hAnsi="Calibri"/>
                <w:b/>
                <w:szCs w:val="22"/>
              </w:rPr>
            </w:pPr>
            <w:r w:rsidRPr="00C64985">
              <w:rPr>
                <w:rFonts w:ascii="Calibri" w:hAnsi="Calibri"/>
                <w:b/>
                <w:szCs w:val="22"/>
              </w:rPr>
              <w:t>Site Description and Surrounding Area:</w:t>
            </w:r>
          </w:p>
          <w:p w14:paraId="5B907A4D" w14:textId="77777777" w:rsidR="006A71E6" w:rsidRPr="00C64985" w:rsidRDefault="006A71E6" w:rsidP="006A71E6">
            <w:pPr>
              <w:pStyle w:val="Header"/>
              <w:tabs>
                <w:tab w:val="clear" w:pos="4153"/>
                <w:tab w:val="clear" w:pos="8306"/>
              </w:tabs>
              <w:contextualSpacing/>
              <w:jc w:val="both"/>
              <w:rPr>
                <w:rFonts w:ascii="Calibri" w:hAnsi="Calibri"/>
                <w:bCs/>
                <w:szCs w:val="22"/>
              </w:rPr>
            </w:pPr>
          </w:p>
          <w:p w14:paraId="79D92ED7" w14:textId="77777777" w:rsidR="00AB3169" w:rsidRPr="00C64985" w:rsidRDefault="00AB3169" w:rsidP="00AB3169">
            <w:pPr>
              <w:pStyle w:val="Header"/>
              <w:contextualSpacing/>
              <w:jc w:val="both"/>
              <w:rPr>
                <w:rFonts w:ascii="Calibri" w:hAnsi="Calibri"/>
                <w:bCs/>
                <w:szCs w:val="22"/>
              </w:rPr>
            </w:pPr>
            <w:r w:rsidRPr="00C64985">
              <w:rPr>
                <w:rFonts w:ascii="Calibri" w:hAnsi="Calibri"/>
                <w:bCs/>
                <w:szCs w:val="22"/>
              </w:rPr>
              <w:t xml:space="preserve">The application relates to a 0.18 Ha area of land at the eastern extents of </w:t>
            </w:r>
            <w:proofErr w:type="spellStart"/>
            <w:r w:rsidRPr="00C64985">
              <w:rPr>
                <w:rFonts w:ascii="Calibri" w:hAnsi="Calibri"/>
                <w:bCs/>
                <w:szCs w:val="22"/>
              </w:rPr>
              <w:t>Kemple</w:t>
            </w:r>
            <w:proofErr w:type="spellEnd"/>
            <w:r w:rsidRPr="00C64985">
              <w:rPr>
                <w:rFonts w:ascii="Calibri" w:hAnsi="Calibri"/>
                <w:bCs/>
                <w:szCs w:val="22"/>
              </w:rPr>
              <w:t xml:space="preserve"> View, Clitheroe.</w:t>
            </w:r>
          </w:p>
          <w:p w14:paraId="1BE6E9AA" w14:textId="77777777" w:rsidR="00AB3169" w:rsidRPr="00C64985" w:rsidRDefault="00AB3169" w:rsidP="00AB3169">
            <w:pPr>
              <w:pStyle w:val="Header"/>
              <w:contextualSpacing/>
              <w:jc w:val="both"/>
              <w:rPr>
                <w:rFonts w:ascii="Calibri" w:hAnsi="Calibri"/>
                <w:bCs/>
                <w:szCs w:val="22"/>
              </w:rPr>
            </w:pPr>
          </w:p>
          <w:p w14:paraId="21EA2DA1" w14:textId="7399B92E" w:rsidR="00AB3169" w:rsidRPr="00C64985" w:rsidRDefault="00AB3169" w:rsidP="00AB3169">
            <w:pPr>
              <w:pStyle w:val="Header"/>
              <w:contextualSpacing/>
              <w:jc w:val="both"/>
              <w:rPr>
                <w:rFonts w:ascii="Calibri" w:hAnsi="Calibri"/>
                <w:bCs/>
                <w:szCs w:val="22"/>
              </w:rPr>
            </w:pPr>
            <w:r w:rsidRPr="00C64985">
              <w:rPr>
                <w:rFonts w:ascii="Calibri" w:hAnsi="Calibri"/>
                <w:bCs/>
                <w:szCs w:val="22"/>
              </w:rPr>
              <w:t xml:space="preserve">The land currently accommodates a disused stable building and a sand paddock that historically was used for private domestic purposes ancillary to the property no 115 </w:t>
            </w:r>
            <w:proofErr w:type="spellStart"/>
            <w:r w:rsidRPr="00C64985">
              <w:rPr>
                <w:rFonts w:ascii="Calibri" w:hAnsi="Calibri"/>
                <w:bCs/>
                <w:szCs w:val="22"/>
              </w:rPr>
              <w:t>Kemple</w:t>
            </w:r>
            <w:proofErr w:type="spellEnd"/>
            <w:r w:rsidRPr="00C64985">
              <w:rPr>
                <w:rFonts w:ascii="Calibri" w:hAnsi="Calibri"/>
                <w:bCs/>
                <w:szCs w:val="22"/>
              </w:rPr>
              <w:t xml:space="preserve"> View.  The private equestrian use of this piece of land was established through the granting of planning consent 3/1989/0360.  The immediate area is largely residential in character with the site also being located within the defined settlement boundary of Clitheroe.</w:t>
            </w:r>
          </w:p>
          <w:p w14:paraId="6B62224E" w14:textId="2ECAE945" w:rsidR="00AB3169" w:rsidRPr="00C64985" w:rsidRDefault="00AB3169" w:rsidP="00AB3169">
            <w:pPr>
              <w:pStyle w:val="Header"/>
              <w:contextualSpacing/>
              <w:jc w:val="both"/>
              <w:rPr>
                <w:rFonts w:ascii="Calibri" w:hAnsi="Calibri"/>
                <w:bCs/>
                <w:szCs w:val="22"/>
              </w:rPr>
            </w:pPr>
          </w:p>
          <w:p w14:paraId="3963DB4D" w14:textId="0D6178A2" w:rsidR="00AB3169" w:rsidRDefault="00AB3169" w:rsidP="00AB3169">
            <w:pPr>
              <w:pStyle w:val="Header"/>
              <w:contextualSpacing/>
              <w:jc w:val="both"/>
              <w:rPr>
                <w:rFonts w:ascii="Calibri" w:hAnsi="Calibri"/>
                <w:bCs/>
                <w:szCs w:val="22"/>
              </w:rPr>
            </w:pPr>
            <w:r w:rsidRPr="00C64985">
              <w:rPr>
                <w:rFonts w:ascii="Calibri" w:hAnsi="Calibri"/>
                <w:bCs/>
                <w:szCs w:val="22"/>
              </w:rPr>
              <w:t xml:space="preserve">The site historically benefits from an outline planning consent for the </w:t>
            </w:r>
            <w:r w:rsidR="00C12CEB" w:rsidRPr="00C64985">
              <w:rPr>
                <w:rFonts w:ascii="Calibri" w:hAnsi="Calibri"/>
                <w:bCs/>
                <w:szCs w:val="22"/>
              </w:rPr>
              <w:t>erection of three dwellings (granted 11</w:t>
            </w:r>
            <w:r w:rsidR="00C12CEB" w:rsidRPr="00C64985">
              <w:rPr>
                <w:rFonts w:ascii="Calibri" w:hAnsi="Calibri"/>
                <w:bCs/>
                <w:szCs w:val="22"/>
                <w:vertAlign w:val="superscript"/>
              </w:rPr>
              <w:t>th</w:t>
            </w:r>
            <w:r w:rsidR="00C12CEB" w:rsidRPr="00C64985">
              <w:rPr>
                <w:rFonts w:ascii="Calibri" w:hAnsi="Calibri"/>
                <w:bCs/>
                <w:szCs w:val="22"/>
              </w:rPr>
              <w:t xml:space="preserve"> December 2018), the outline consent is no longer considered extant having expired on the 11</w:t>
            </w:r>
            <w:r w:rsidR="00C12CEB" w:rsidRPr="00C64985">
              <w:rPr>
                <w:rFonts w:ascii="Calibri" w:hAnsi="Calibri"/>
                <w:bCs/>
                <w:szCs w:val="22"/>
                <w:vertAlign w:val="superscript"/>
              </w:rPr>
              <w:t>th</w:t>
            </w:r>
            <w:r w:rsidR="00C12CEB" w:rsidRPr="00C64985">
              <w:rPr>
                <w:rFonts w:ascii="Calibri" w:hAnsi="Calibri"/>
                <w:bCs/>
                <w:szCs w:val="22"/>
              </w:rPr>
              <w:t xml:space="preserve"> of December 2021.</w:t>
            </w:r>
          </w:p>
          <w:p w14:paraId="6F5DA0DC" w14:textId="75F11918" w:rsidR="0042243E" w:rsidRDefault="0042243E" w:rsidP="00AB3169">
            <w:pPr>
              <w:pStyle w:val="Header"/>
              <w:contextualSpacing/>
              <w:jc w:val="both"/>
              <w:rPr>
                <w:rFonts w:ascii="Calibri" w:hAnsi="Calibri"/>
                <w:bCs/>
                <w:szCs w:val="22"/>
              </w:rPr>
            </w:pPr>
          </w:p>
          <w:p w14:paraId="3D5CB39E" w14:textId="60D6D001" w:rsidR="0042243E" w:rsidRPr="00C64985" w:rsidRDefault="0042243E" w:rsidP="00AB3169">
            <w:pPr>
              <w:pStyle w:val="Header"/>
              <w:contextualSpacing/>
              <w:jc w:val="both"/>
              <w:rPr>
                <w:rFonts w:ascii="Calibri" w:hAnsi="Calibri"/>
                <w:bCs/>
                <w:szCs w:val="22"/>
              </w:rPr>
            </w:pPr>
            <w:r>
              <w:rPr>
                <w:rFonts w:ascii="Calibri" w:hAnsi="Calibri"/>
                <w:bCs/>
                <w:szCs w:val="22"/>
              </w:rPr>
              <w:lastRenderedPageBreak/>
              <w:t xml:space="preserve">The site is bounded to the south by a residential housing development which is currently under construction with the site also bounding number 115 </w:t>
            </w:r>
            <w:proofErr w:type="spellStart"/>
            <w:r>
              <w:rPr>
                <w:rFonts w:ascii="Calibri" w:hAnsi="Calibri"/>
                <w:bCs/>
                <w:szCs w:val="22"/>
              </w:rPr>
              <w:t>Kemple</w:t>
            </w:r>
            <w:proofErr w:type="spellEnd"/>
            <w:r>
              <w:rPr>
                <w:rFonts w:ascii="Calibri" w:hAnsi="Calibri"/>
                <w:bCs/>
                <w:szCs w:val="22"/>
              </w:rPr>
              <w:t xml:space="preserve"> View at its north-eastern extents.  </w:t>
            </w:r>
            <w:proofErr w:type="gramStart"/>
            <w:r>
              <w:rPr>
                <w:rFonts w:ascii="Calibri" w:hAnsi="Calibri"/>
                <w:bCs/>
                <w:szCs w:val="22"/>
              </w:rPr>
              <w:t>A number of</w:t>
            </w:r>
            <w:proofErr w:type="gramEnd"/>
            <w:r>
              <w:rPr>
                <w:rFonts w:ascii="Calibri" w:hAnsi="Calibri"/>
                <w:bCs/>
                <w:szCs w:val="22"/>
              </w:rPr>
              <w:t xml:space="preserve"> dwellings fronting Raglan Close also bound the site to the north-west.</w:t>
            </w:r>
          </w:p>
          <w:p w14:paraId="324AFA1F" w14:textId="77777777" w:rsidR="006A71E6" w:rsidRPr="00B37C5D" w:rsidRDefault="006A71E6" w:rsidP="006A71E6">
            <w:pPr>
              <w:pStyle w:val="Header"/>
              <w:tabs>
                <w:tab w:val="clear" w:pos="4153"/>
                <w:tab w:val="clear" w:pos="8306"/>
              </w:tabs>
              <w:contextualSpacing/>
              <w:jc w:val="both"/>
              <w:rPr>
                <w:rFonts w:ascii="Calibri" w:hAnsi="Calibri"/>
                <w:bCs/>
                <w:color w:val="FF0000"/>
                <w:szCs w:val="22"/>
              </w:rPr>
            </w:pPr>
          </w:p>
        </w:tc>
      </w:tr>
      <w:tr w:rsidR="006A71E6" w:rsidRPr="00D2449B" w14:paraId="4970F1D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C50600" w14:textId="77777777" w:rsidR="006A71E6" w:rsidRPr="00B4022E" w:rsidRDefault="006A71E6" w:rsidP="006A71E6">
            <w:pPr>
              <w:pStyle w:val="Header"/>
              <w:tabs>
                <w:tab w:val="clear" w:pos="4153"/>
                <w:tab w:val="clear" w:pos="8306"/>
              </w:tabs>
              <w:jc w:val="both"/>
              <w:rPr>
                <w:rFonts w:ascii="Calibri" w:hAnsi="Calibri"/>
                <w:b/>
                <w:szCs w:val="22"/>
              </w:rPr>
            </w:pPr>
            <w:r w:rsidRPr="00B4022E">
              <w:rPr>
                <w:rFonts w:ascii="Calibri" w:hAnsi="Calibri"/>
                <w:b/>
                <w:szCs w:val="22"/>
              </w:rPr>
              <w:lastRenderedPageBreak/>
              <w:t>Proposed Development for which consent is sought:</w:t>
            </w:r>
          </w:p>
          <w:p w14:paraId="18840CF0" w14:textId="77777777" w:rsidR="006A71E6" w:rsidRPr="00B4022E" w:rsidRDefault="006A71E6" w:rsidP="006A71E6">
            <w:pPr>
              <w:pStyle w:val="Header"/>
              <w:tabs>
                <w:tab w:val="clear" w:pos="4153"/>
                <w:tab w:val="clear" w:pos="8306"/>
              </w:tabs>
              <w:jc w:val="both"/>
              <w:rPr>
                <w:rFonts w:ascii="Calibri" w:hAnsi="Calibri"/>
                <w:b/>
                <w:szCs w:val="22"/>
              </w:rPr>
            </w:pPr>
          </w:p>
          <w:p w14:paraId="1CF11773" w14:textId="5E9CDE05" w:rsidR="006A71E6" w:rsidRDefault="006A71E6" w:rsidP="006A71E6">
            <w:pPr>
              <w:jc w:val="both"/>
              <w:rPr>
                <w:rFonts w:ascii="Calibri" w:hAnsi="Calibri"/>
                <w:szCs w:val="22"/>
              </w:rPr>
            </w:pPr>
            <w:r w:rsidRPr="00B4022E">
              <w:rPr>
                <w:rFonts w:ascii="Calibri" w:hAnsi="Calibri"/>
                <w:szCs w:val="22"/>
              </w:rPr>
              <w:t xml:space="preserve">The application seeks consent </w:t>
            </w:r>
            <w:r w:rsidR="006368B8" w:rsidRPr="00B4022E">
              <w:rPr>
                <w:rFonts w:ascii="Calibri" w:hAnsi="Calibri"/>
                <w:szCs w:val="22"/>
              </w:rPr>
              <w:t>for the erection of two detached dwellings, one being located towards the eastern extents of the site (Building 2) with the remaining dwelling being located to the southern extents of the site (Building 1)</w:t>
            </w:r>
            <w:r w:rsidR="00424D3B" w:rsidRPr="00B4022E">
              <w:rPr>
                <w:rFonts w:ascii="Calibri" w:hAnsi="Calibri"/>
                <w:szCs w:val="22"/>
              </w:rPr>
              <w:t xml:space="preserve">.  Both dwellings are part single-storey, part two-storey </w:t>
            </w:r>
            <w:r w:rsidR="00B4022E" w:rsidRPr="00B4022E">
              <w:rPr>
                <w:rFonts w:ascii="Calibri" w:hAnsi="Calibri"/>
                <w:szCs w:val="22"/>
              </w:rPr>
              <w:t>with the submitted details proposing that the dwellings will be faced in a facing brick/stone to be agreed.</w:t>
            </w:r>
          </w:p>
          <w:p w14:paraId="42FE4F17" w14:textId="312D0710" w:rsidR="00B4022E" w:rsidRDefault="00B4022E" w:rsidP="006A71E6">
            <w:pPr>
              <w:jc w:val="both"/>
              <w:rPr>
                <w:rFonts w:ascii="Calibri" w:hAnsi="Calibri"/>
                <w:szCs w:val="22"/>
              </w:rPr>
            </w:pPr>
          </w:p>
          <w:p w14:paraId="2774C542" w14:textId="65665D56" w:rsidR="00B4022E" w:rsidRPr="00B4022E" w:rsidRDefault="00B4022E" w:rsidP="006A71E6">
            <w:pPr>
              <w:jc w:val="both"/>
              <w:rPr>
                <w:rFonts w:ascii="Calibri" w:hAnsi="Calibri"/>
                <w:szCs w:val="22"/>
              </w:rPr>
            </w:pPr>
            <w:r>
              <w:rPr>
                <w:rFonts w:ascii="Calibri" w:hAnsi="Calibri"/>
                <w:szCs w:val="22"/>
              </w:rPr>
              <w:t>The submitted details also propose the gating-off of the entrance, however at this stage no details have been provided in respect of the proposed gate or associated boundary treatment to the site frontage.  Parking provision for both dwellings will be accommodated within each respective residential curtilage with a bin storage area being located to the northern extents of the site.</w:t>
            </w:r>
          </w:p>
          <w:p w14:paraId="681D5C75" w14:textId="77777777" w:rsidR="006A71E6" w:rsidRPr="00B37C5D" w:rsidRDefault="006A71E6" w:rsidP="006A71E6">
            <w:pPr>
              <w:rPr>
                <w:rFonts w:ascii="Calibri" w:hAnsi="Calibri"/>
                <w:color w:val="FF0000"/>
                <w:szCs w:val="22"/>
              </w:rPr>
            </w:pPr>
          </w:p>
        </w:tc>
      </w:tr>
      <w:tr w:rsidR="006A71E6" w:rsidRPr="00D2449B" w14:paraId="40675A8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75786C" w14:textId="77777777" w:rsidR="00AB3169" w:rsidRPr="00B054E3" w:rsidRDefault="00AB3169" w:rsidP="00AB3169">
            <w:pPr>
              <w:pStyle w:val="Header"/>
              <w:tabs>
                <w:tab w:val="clear" w:pos="4153"/>
                <w:tab w:val="clear" w:pos="8306"/>
              </w:tabs>
              <w:contextualSpacing/>
              <w:jc w:val="both"/>
              <w:rPr>
                <w:rFonts w:ascii="Calibri" w:hAnsi="Calibri"/>
                <w:b/>
                <w:szCs w:val="22"/>
              </w:rPr>
            </w:pPr>
            <w:r w:rsidRPr="00B054E3">
              <w:rPr>
                <w:rFonts w:ascii="Calibri" w:hAnsi="Calibri"/>
                <w:b/>
                <w:szCs w:val="22"/>
              </w:rPr>
              <w:t>Principle of Development:</w:t>
            </w:r>
          </w:p>
          <w:p w14:paraId="17C6CBC9" w14:textId="77777777" w:rsidR="000E2E86" w:rsidRPr="00D2449B" w:rsidRDefault="000E2E86" w:rsidP="000E2E86">
            <w:pPr>
              <w:pStyle w:val="Header"/>
              <w:tabs>
                <w:tab w:val="clear" w:pos="4153"/>
                <w:tab w:val="clear" w:pos="8306"/>
              </w:tabs>
              <w:contextualSpacing/>
              <w:jc w:val="both"/>
              <w:rPr>
                <w:rFonts w:ascii="Calibri" w:hAnsi="Calibri"/>
                <w:b/>
                <w:szCs w:val="22"/>
              </w:rPr>
            </w:pPr>
          </w:p>
          <w:p w14:paraId="0381F650" w14:textId="6B89554C" w:rsidR="000E2E86" w:rsidRDefault="000E2E86" w:rsidP="000E2E86">
            <w:pPr>
              <w:contextualSpacing/>
              <w:jc w:val="both"/>
              <w:rPr>
                <w:rFonts w:ascii="Calibri" w:hAnsi="Calibri"/>
                <w:bCs/>
                <w:szCs w:val="22"/>
              </w:rPr>
            </w:pPr>
            <w:r w:rsidRPr="006F1944">
              <w:rPr>
                <w:rFonts w:ascii="Calibri" w:hAnsi="Calibri"/>
                <w:bCs/>
                <w:szCs w:val="22"/>
              </w:rPr>
              <w:t xml:space="preserve">The principle of the development of the site for residential purposes has </w:t>
            </w:r>
            <w:r>
              <w:rPr>
                <w:rFonts w:ascii="Calibri" w:hAnsi="Calibri"/>
                <w:bCs/>
                <w:szCs w:val="22"/>
              </w:rPr>
              <w:t xml:space="preserve">historically been established as acceptable through the granting of outline consents </w:t>
            </w:r>
            <w:r w:rsidRPr="006F1944">
              <w:rPr>
                <w:rFonts w:ascii="Calibri" w:hAnsi="Calibri"/>
                <w:bCs/>
                <w:szCs w:val="22"/>
              </w:rPr>
              <w:t>3/2014/0461</w:t>
            </w:r>
            <w:r>
              <w:rPr>
                <w:rFonts w:ascii="Calibri" w:hAnsi="Calibri"/>
                <w:bCs/>
                <w:szCs w:val="22"/>
              </w:rPr>
              <w:t xml:space="preserve"> and 3/2018/0740, however </w:t>
            </w:r>
            <w:r w:rsidR="00B825AF">
              <w:rPr>
                <w:rFonts w:ascii="Calibri" w:hAnsi="Calibri"/>
                <w:bCs/>
                <w:szCs w:val="22"/>
              </w:rPr>
              <w:t>i</w:t>
            </w:r>
            <w:r w:rsidR="008F6009">
              <w:rPr>
                <w:rFonts w:ascii="Calibri" w:hAnsi="Calibri"/>
                <w:bCs/>
                <w:szCs w:val="22"/>
              </w:rPr>
              <w:t>t</w:t>
            </w:r>
            <w:r w:rsidR="00B825AF">
              <w:rPr>
                <w:rFonts w:ascii="Calibri" w:hAnsi="Calibri"/>
                <w:bCs/>
                <w:szCs w:val="22"/>
              </w:rPr>
              <w:t xml:space="preserve"> should be noted that </w:t>
            </w:r>
            <w:r>
              <w:rPr>
                <w:rFonts w:ascii="Calibri" w:hAnsi="Calibri"/>
                <w:bCs/>
                <w:szCs w:val="22"/>
              </w:rPr>
              <w:t>both outline consents have since expired.</w:t>
            </w:r>
          </w:p>
          <w:p w14:paraId="5C5D04BB" w14:textId="6D2CEA40" w:rsidR="000E2E86" w:rsidRDefault="000E2E86" w:rsidP="000E2E86">
            <w:pPr>
              <w:contextualSpacing/>
              <w:jc w:val="both"/>
              <w:rPr>
                <w:rFonts w:ascii="Calibri" w:hAnsi="Calibri"/>
                <w:bCs/>
                <w:szCs w:val="22"/>
              </w:rPr>
            </w:pPr>
          </w:p>
          <w:p w14:paraId="71C85505" w14:textId="2F9C3A2E" w:rsidR="000E2E86" w:rsidRPr="006F1944" w:rsidRDefault="008F6009" w:rsidP="000E2E86">
            <w:pPr>
              <w:contextualSpacing/>
              <w:jc w:val="both"/>
              <w:rPr>
                <w:rFonts w:ascii="Calibri" w:hAnsi="Calibri"/>
                <w:bCs/>
                <w:szCs w:val="22"/>
              </w:rPr>
            </w:pPr>
            <w:r>
              <w:rPr>
                <w:rFonts w:ascii="Calibri" w:hAnsi="Calibri"/>
                <w:bCs/>
                <w:szCs w:val="22"/>
              </w:rPr>
              <w:t xml:space="preserve">The proposal site is located within the defined settlement of Clitheroe and as such </w:t>
            </w:r>
            <w:r w:rsidR="000E2E86">
              <w:rPr>
                <w:rFonts w:ascii="Calibri" w:hAnsi="Calibri"/>
                <w:bCs/>
                <w:szCs w:val="22"/>
              </w:rPr>
              <w:t xml:space="preserve">it is considered that the </w:t>
            </w:r>
            <w:r w:rsidR="00070340">
              <w:rPr>
                <w:rFonts w:ascii="Calibri" w:hAnsi="Calibri"/>
                <w:bCs/>
                <w:szCs w:val="22"/>
              </w:rPr>
              <w:t xml:space="preserve">principle of the </w:t>
            </w:r>
            <w:r w:rsidR="000E2E86">
              <w:rPr>
                <w:rFonts w:ascii="Calibri" w:hAnsi="Calibri"/>
                <w:bCs/>
                <w:szCs w:val="22"/>
              </w:rPr>
              <w:t xml:space="preserve">proposed development, notwithstanding other development management considerations, remains compatible </w:t>
            </w:r>
            <w:r w:rsidR="00070340">
              <w:rPr>
                <w:rFonts w:ascii="Calibri" w:hAnsi="Calibri"/>
                <w:bCs/>
                <w:szCs w:val="22"/>
              </w:rPr>
              <w:t xml:space="preserve">and aligns </w:t>
            </w:r>
            <w:r w:rsidR="000E2E86">
              <w:rPr>
                <w:rFonts w:ascii="Calibri" w:hAnsi="Calibri"/>
                <w:bCs/>
                <w:szCs w:val="22"/>
              </w:rPr>
              <w:t xml:space="preserve">with the </w:t>
            </w:r>
            <w:r w:rsidR="00070340">
              <w:rPr>
                <w:rFonts w:ascii="Calibri" w:hAnsi="Calibri"/>
                <w:bCs/>
                <w:szCs w:val="22"/>
              </w:rPr>
              <w:t xml:space="preserve">adopted </w:t>
            </w:r>
            <w:r w:rsidR="000E2E86">
              <w:rPr>
                <w:rFonts w:ascii="Calibri" w:hAnsi="Calibri"/>
                <w:bCs/>
                <w:szCs w:val="22"/>
              </w:rPr>
              <w:t>development strategy in relation to the locational aspirations for housing growth within the borough</w:t>
            </w:r>
            <w:r w:rsidR="00070340">
              <w:rPr>
                <w:rFonts w:ascii="Calibri" w:hAnsi="Calibri"/>
                <w:bCs/>
                <w:szCs w:val="22"/>
              </w:rPr>
              <w:t>.</w:t>
            </w:r>
          </w:p>
          <w:p w14:paraId="79580291" w14:textId="13D5DA13" w:rsidR="00AB3169" w:rsidRPr="00B37C5D" w:rsidRDefault="00AB3169" w:rsidP="006A71E6">
            <w:pPr>
              <w:pStyle w:val="ListParagraph"/>
              <w:ind w:left="0" w:firstLine="6"/>
              <w:jc w:val="both"/>
              <w:rPr>
                <w:rFonts w:ascii="Calibri" w:hAnsi="Calibri"/>
                <w:b/>
                <w:color w:val="FF0000"/>
                <w:szCs w:val="22"/>
              </w:rPr>
            </w:pPr>
          </w:p>
        </w:tc>
      </w:tr>
      <w:tr w:rsidR="00AB3169" w:rsidRPr="00D2449B" w14:paraId="239974B4"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C8C690" w14:textId="77777777" w:rsidR="00AB3169" w:rsidRPr="006A1A92" w:rsidRDefault="00AB3169" w:rsidP="00AB3169">
            <w:pPr>
              <w:pStyle w:val="Header"/>
              <w:tabs>
                <w:tab w:val="clear" w:pos="4153"/>
                <w:tab w:val="clear" w:pos="8306"/>
              </w:tabs>
              <w:contextualSpacing/>
              <w:jc w:val="both"/>
              <w:rPr>
                <w:rFonts w:ascii="Calibri" w:hAnsi="Calibri"/>
                <w:b/>
                <w:szCs w:val="22"/>
              </w:rPr>
            </w:pPr>
            <w:r w:rsidRPr="006A1A92">
              <w:rPr>
                <w:rFonts w:ascii="Calibri" w:hAnsi="Calibri"/>
                <w:b/>
                <w:szCs w:val="22"/>
              </w:rPr>
              <w:t>Impact Upon Residential Amenity:</w:t>
            </w:r>
          </w:p>
          <w:p w14:paraId="5A193367" w14:textId="77777777" w:rsidR="00AB3169" w:rsidRDefault="00AB3169" w:rsidP="00AB3169">
            <w:pPr>
              <w:pStyle w:val="Header"/>
              <w:tabs>
                <w:tab w:val="clear" w:pos="4153"/>
                <w:tab w:val="clear" w:pos="8306"/>
              </w:tabs>
              <w:contextualSpacing/>
              <w:jc w:val="both"/>
              <w:rPr>
                <w:rFonts w:ascii="Calibri" w:hAnsi="Calibri"/>
                <w:b/>
                <w:szCs w:val="22"/>
              </w:rPr>
            </w:pPr>
          </w:p>
          <w:p w14:paraId="6E81F5D3" w14:textId="0680BCA2" w:rsidR="00AB3169" w:rsidRPr="00FE608D" w:rsidRDefault="00FE608D" w:rsidP="00AB3169">
            <w:pPr>
              <w:pStyle w:val="Header"/>
              <w:tabs>
                <w:tab w:val="clear" w:pos="4153"/>
                <w:tab w:val="clear" w:pos="8306"/>
              </w:tabs>
              <w:contextualSpacing/>
              <w:jc w:val="both"/>
              <w:rPr>
                <w:rFonts w:ascii="Calibri" w:hAnsi="Calibri"/>
                <w:bCs/>
                <w:szCs w:val="22"/>
              </w:rPr>
            </w:pPr>
            <w:r w:rsidRPr="00FE608D">
              <w:rPr>
                <w:rFonts w:ascii="Calibri" w:hAnsi="Calibri"/>
                <w:bCs/>
                <w:szCs w:val="22"/>
              </w:rPr>
              <w:t>Given the proposal site is bounded on three-side by residential development, considerations must be given in respect of the potential for the proposal to have undue impacts upon existing residential amenity or in the case of the adjacent housing development under construction, impacts upon the residential amenities of future occupiers.</w:t>
            </w:r>
          </w:p>
          <w:p w14:paraId="13D1505F" w14:textId="600504DB" w:rsidR="00FE608D" w:rsidRDefault="00FE608D" w:rsidP="00AB3169">
            <w:pPr>
              <w:pStyle w:val="Header"/>
              <w:tabs>
                <w:tab w:val="clear" w:pos="4153"/>
                <w:tab w:val="clear" w:pos="8306"/>
              </w:tabs>
              <w:contextualSpacing/>
              <w:jc w:val="both"/>
              <w:rPr>
                <w:rFonts w:ascii="Calibri" w:hAnsi="Calibri"/>
                <w:b/>
                <w:szCs w:val="22"/>
              </w:rPr>
            </w:pPr>
          </w:p>
          <w:p w14:paraId="356A02BA" w14:textId="13B26CB2" w:rsidR="00C51883" w:rsidRDefault="00D869F4" w:rsidP="00AB3169">
            <w:pPr>
              <w:pStyle w:val="Header"/>
              <w:tabs>
                <w:tab w:val="clear" w:pos="4153"/>
                <w:tab w:val="clear" w:pos="8306"/>
              </w:tabs>
              <w:contextualSpacing/>
              <w:jc w:val="both"/>
              <w:rPr>
                <w:rFonts w:ascii="Calibri" w:hAnsi="Calibri"/>
                <w:bCs/>
                <w:szCs w:val="22"/>
              </w:rPr>
            </w:pPr>
            <w:r w:rsidRPr="00C51883">
              <w:rPr>
                <w:rFonts w:ascii="Calibri" w:hAnsi="Calibri"/>
                <w:bCs/>
                <w:szCs w:val="22"/>
              </w:rPr>
              <w:t xml:space="preserve">Building 2 is located within </w:t>
            </w:r>
            <w:proofErr w:type="gramStart"/>
            <w:r w:rsidRPr="00C51883">
              <w:rPr>
                <w:rFonts w:ascii="Calibri" w:hAnsi="Calibri"/>
                <w:bCs/>
                <w:szCs w:val="22"/>
              </w:rPr>
              <w:t>close proximity</w:t>
            </w:r>
            <w:proofErr w:type="gramEnd"/>
            <w:r w:rsidRPr="00C51883">
              <w:rPr>
                <w:rFonts w:ascii="Calibri" w:hAnsi="Calibri"/>
                <w:bCs/>
                <w:szCs w:val="22"/>
              </w:rPr>
              <w:t xml:space="preserve"> to the shared boundary with 115 </w:t>
            </w:r>
            <w:proofErr w:type="spellStart"/>
            <w:r w:rsidRPr="00C51883">
              <w:rPr>
                <w:rFonts w:ascii="Calibri" w:hAnsi="Calibri"/>
                <w:bCs/>
                <w:szCs w:val="22"/>
              </w:rPr>
              <w:t>Kemple</w:t>
            </w:r>
            <w:proofErr w:type="spellEnd"/>
            <w:r w:rsidRPr="00C51883">
              <w:rPr>
                <w:rFonts w:ascii="Calibri" w:hAnsi="Calibri"/>
                <w:bCs/>
                <w:szCs w:val="22"/>
              </w:rPr>
              <w:t xml:space="preserve"> View.  Taking account of the solar orientation of the site in concert with the overall scale of building 2 and the extent of the footprint located adjacent the shared boundary (both single-storey and two-storey elements), it is considered that building 2 is likely to result in a significant overbearing impact upon 115 </w:t>
            </w:r>
            <w:proofErr w:type="spellStart"/>
            <w:r w:rsidR="00C51883" w:rsidRPr="00C51883">
              <w:rPr>
                <w:rFonts w:ascii="Calibri" w:hAnsi="Calibri"/>
                <w:bCs/>
                <w:szCs w:val="22"/>
              </w:rPr>
              <w:t>K</w:t>
            </w:r>
            <w:r w:rsidRPr="00C51883">
              <w:rPr>
                <w:rFonts w:ascii="Calibri" w:hAnsi="Calibri"/>
                <w:bCs/>
                <w:szCs w:val="22"/>
              </w:rPr>
              <w:t>emple</w:t>
            </w:r>
            <w:proofErr w:type="spellEnd"/>
            <w:r w:rsidRPr="00C51883">
              <w:rPr>
                <w:rFonts w:ascii="Calibri" w:hAnsi="Calibri"/>
                <w:bCs/>
                <w:szCs w:val="22"/>
              </w:rPr>
              <w:t xml:space="preserve"> View and </w:t>
            </w:r>
            <w:r w:rsidR="00C51883" w:rsidRPr="00C51883">
              <w:rPr>
                <w:rFonts w:ascii="Calibri" w:hAnsi="Calibri"/>
                <w:bCs/>
                <w:szCs w:val="22"/>
              </w:rPr>
              <w:t>its associated residential curtilage area, including a loss of light, not only to the dwelling but also once again the private garden area of number 115</w:t>
            </w:r>
            <w:r w:rsidR="00C51883">
              <w:rPr>
                <w:rFonts w:ascii="Calibri" w:hAnsi="Calibri"/>
                <w:bCs/>
                <w:szCs w:val="22"/>
              </w:rPr>
              <w:t>.</w:t>
            </w:r>
          </w:p>
          <w:p w14:paraId="3F009852" w14:textId="14E04959" w:rsidR="00DE1D56" w:rsidRDefault="00DE1D56" w:rsidP="00AB3169">
            <w:pPr>
              <w:pStyle w:val="Header"/>
              <w:tabs>
                <w:tab w:val="clear" w:pos="4153"/>
                <w:tab w:val="clear" w:pos="8306"/>
              </w:tabs>
              <w:contextualSpacing/>
              <w:jc w:val="both"/>
              <w:rPr>
                <w:rFonts w:ascii="Calibri" w:hAnsi="Calibri"/>
                <w:bCs/>
                <w:szCs w:val="22"/>
              </w:rPr>
            </w:pPr>
          </w:p>
          <w:p w14:paraId="3B98362D" w14:textId="69144C74" w:rsidR="00FE608D" w:rsidRDefault="00DE1D56" w:rsidP="00AB3169">
            <w:pPr>
              <w:pStyle w:val="Header"/>
              <w:tabs>
                <w:tab w:val="clear" w:pos="4153"/>
                <w:tab w:val="clear" w:pos="8306"/>
              </w:tabs>
              <w:contextualSpacing/>
              <w:jc w:val="both"/>
              <w:rPr>
                <w:rFonts w:ascii="Calibri" w:hAnsi="Calibri"/>
                <w:bCs/>
                <w:szCs w:val="22"/>
              </w:rPr>
            </w:pPr>
            <w:r>
              <w:rPr>
                <w:rFonts w:ascii="Calibri" w:hAnsi="Calibri"/>
                <w:bCs/>
                <w:szCs w:val="22"/>
              </w:rPr>
              <w:t xml:space="preserve">In respect of the </w:t>
            </w:r>
            <w:r w:rsidRPr="00FE608D">
              <w:rPr>
                <w:rFonts w:ascii="Calibri" w:hAnsi="Calibri"/>
                <w:bCs/>
                <w:szCs w:val="22"/>
              </w:rPr>
              <w:t xml:space="preserve">adjacent housing development </w:t>
            </w:r>
            <w:r>
              <w:rPr>
                <w:rFonts w:ascii="Calibri" w:hAnsi="Calibri"/>
                <w:bCs/>
                <w:szCs w:val="22"/>
              </w:rPr>
              <w:t xml:space="preserve">currently </w:t>
            </w:r>
            <w:r w:rsidRPr="00FE608D">
              <w:rPr>
                <w:rFonts w:ascii="Calibri" w:hAnsi="Calibri"/>
                <w:bCs/>
                <w:szCs w:val="22"/>
              </w:rPr>
              <w:t>under construction</w:t>
            </w:r>
            <w:r>
              <w:rPr>
                <w:rFonts w:ascii="Calibri" w:hAnsi="Calibri"/>
                <w:bCs/>
                <w:szCs w:val="22"/>
              </w:rPr>
              <w:t>, the application site is benefits from land</w:t>
            </w:r>
            <w:r w:rsidR="005362E5">
              <w:rPr>
                <w:rFonts w:ascii="Calibri" w:hAnsi="Calibri"/>
                <w:bCs/>
                <w:szCs w:val="22"/>
              </w:rPr>
              <w:t>-</w:t>
            </w:r>
            <w:r>
              <w:rPr>
                <w:rFonts w:ascii="Calibri" w:hAnsi="Calibri"/>
                <w:bCs/>
                <w:szCs w:val="22"/>
              </w:rPr>
              <w:t>level</w:t>
            </w:r>
            <w:r w:rsidR="005362E5">
              <w:rPr>
                <w:rFonts w:ascii="Calibri" w:hAnsi="Calibri"/>
                <w:bCs/>
                <w:szCs w:val="22"/>
              </w:rPr>
              <w:t>s</w:t>
            </w:r>
            <w:r>
              <w:rPr>
                <w:rFonts w:ascii="Calibri" w:hAnsi="Calibri"/>
                <w:bCs/>
                <w:szCs w:val="22"/>
              </w:rPr>
              <w:t xml:space="preserve"> that is significantly above that of the construction level </w:t>
            </w:r>
            <w:r w:rsidR="005362E5">
              <w:rPr>
                <w:rFonts w:ascii="Calibri" w:hAnsi="Calibri"/>
                <w:bCs/>
                <w:szCs w:val="22"/>
              </w:rPr>
              <w:t xml:space="preserve">and proposed finished floor-level of the dwellings being built.  Based on </w:t>
            </w:r>
            <w:proofErr w:type="gramStart"/>
            <w:r w:rsidR="005362E5">
              <w:rPr>
                <w:rFonts w:ascii="Calibri" w:hAnsi="Calibri"/>
                <w:bCs/>
                <w:szCs w:val="22"/>
              </w:rPr>
              <w:t>a number of</w:t>
            </w:r>
            <w:proofErr w:type="gramEnd"/>
            <w:r w:rsidR="005362E5">
              <w:rPr>
                <w:rFonts w:ascii="Calibri" w:hAnsi="Calibri"/>
                <w:bCs/>
                <w:szCs w:val="22"/>
              </w:rPr>
              <w:t xml:space="preserve"> initial measurements the difference in levels ranges from 1.3m to that of approximately 1.5m.</w:t>
            </w:r>
          </w:p>
          <w:p w14:paraId="4AC5DC40" w14:textId="239F627C" w:rsidR="005362E5" w:rsidRDefault="005362E5" w:rsidP="00AB3169">
            <w:pPr>
              <w:pStyle w:val="Header"/>
              <w:tabs>
                <w:tab w:val="clear" w:pos="4153"/>
                <w:tab w:val="clear" w:pos="8306"/>
              </w:tabs>
              <w:contextualSpacing/>
              <w:jc w:val="both"/>
              <w:rPr>
                <w:rFonts w:ascii="Calibri" w:hAnsi="Calibri"/>
                <w:bCs/>
                <w:szCs w:val="22"/>
              </w:rPr>
            </w:pPr>
          </w:p>
          <w:p w14:paraId="75CF4111" w14:textId="77777777" w:rsidR="00CF58E9" w:rsidRDefault="005362E5" w:rsidP="00AB3169">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w:t>
            </w:r>
            <w:r w:rsidR="00CF58E9">
              <w:rPr>
                <w:rFonts w:ascii="Calibri" w:hAnsi="Calibri"/>
                <w:bCs/>
                <w:szCs w:val="22"/>
              </w:rPr>
              <w:t xml:space="preserve">of </w:t>
            </w:r>
            <w:r>
              <w:rPr>
                <w:rFonts w:ascii="Calibri" w:hAnsi="Calibri"/>
                <w:bCs/>
                <w:szCs w:val="22"/>
              </w:rPr>
              <w:t xml:space="preserve">the difference in site levels, whilst taking account of the scale and proximity of building 2 to the shared boundary with the properties to the south, it is likely that the </w:t>
            </w:r>
            <w:r w:rsidR="00CF58E9">
              <w:rPr>
                <w:rFonts w:ascii="Calibri" w:hAnsi="Calibri"/>
                <w:bCs/>
                <w:szCs w:val="22"/>
              </w:rPr>
              <w:t xml:space="preserve">proposed dwelling will result in a significant overbearing relationship with the dwellings currently under construction and as such will significantly compromise the residential amenities enjoyed by future occupiers of the dwellings.  </w:t>
            </w:r>
          </w:p>
          <w:p w14:paraId="3F884843" w14:textId="77777777" w:rsidR="00CF58E9" w:rsidRDefault="00CF58E9" w:rsidP="00AB3169">
            <w:pPr>
              <w:pStyle w:val="Header"/>
              <w:tabs>
                <w:tab w:val="clear" w:pos="4153"/>
                <w:tab w:val="clear" w:pos="8306"/>
              </w:tabs>
              <w:contextualSpacing/>
              <w:jc w:val="both"/>
              <w:rPr>
                <w:rFonts w:ascii="Calibri" w:hAnsi="Calibri"/>
                <w:bCs/>
                <w:szCs w:val="22"/>
              </w:rPr>
            </w:pPr>
          </w:p>
          <w:p w14:paraId="349203B8" w14:textId="242F5D90" w:rsidR="005362E5" w:rsidRDefault="00CF58E9" w:rsidP="00AB316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Depending on the nature of the proposed boundary treatments along the southern shared boundary, there also exists the potential for </w:t>
            </w:r>
            <w:proofErr w:type="gramStart"/>
            <w:r>
              <w:rPr>
                <w:rFonts w:ascii="Calibri" w:hAnsi="Calibri"/>
                <w:bCs/>
                <w:szCs w:val="22"/>
              </w:rPr>
              <w:t>direct-overlooking</w:t>
            </w:r>
            <w:proofErr w:type="gramEnd"/>
            <w:r>
              <w:rPr>
                <w:rFonts w:ascii="Calibri" w:hAnsi="Calibri"/>
                <w:bCs/>
                <w:szCs w:val="22"/>
              </w:rPr>
              <w:t>, from the south facing windows of building 1, from an elevated position into the garden areas of the dwellings to the south that would significantly compromise the level of privacy experienced by occupiers of the dwellings</w:t>
            </w:r>
            <w:r w:rsidR="002844AC">
              <w:rPr>
                <w:rFonts w:ascii="Calibri" w:hAnsi="Calibri"/>
                <w:bCs/>
                <w:szCs w:val="22"/>
              </w:rPr>
              <w:t xml:space="preserve"> to a degree that would result in an unacceptable level of residential amenity.</w:t>
            </w:r>
          </w:p>
          <w:p w14:paraId="0AE7BB26" w14:textId="77036210" w:rsidR="00FE608D" w:rsidRDefault="00FE608D" w:rsidP="00AB3169">
            <w:pPr>
              <w:pStyle w:val="Header"/>
              <w:tabs>
                <w:tab w:val="clear" w:pos="4153"/>
                <w:tab w:val="clear" w:pos="8306"/>
              </w:tabs>
              <w:contextualSpacing/>
              <w:jc w:val="both"/>
              <w:rPr>
                <w:rFonts w:ascii="Calibri" w:hAnsi="Calibri"/>
                <w:b/>
                <w:szCs w:val="22"/>
              </w:rPr>
            </w:pPr>
          </w:p>
          <w:p w14:paraId="57D60808" w14:textId="74717398" w:rsidR="00FE608D" w:rsidRDefault="00FE608D" w:rsidP="00AB3169">
            <w:pPr>
              <w:pStyle w:val="Header"/>
              <w:tabs>
                <w:tab w:val="clear" w:pos="4153"/>
                <w:tab w:val="clear" w:pos="8306"/>
              </w:tabs>
              <w:contextualSpacing/>
              <w:jc w:val="both"/>
              <w:rPr>
                <w:rFonts w:ascii="Calibri" w:hAnsi="Calibri"/>
                <w:bCs/>
                <w:szCs w:val="22"/>
              </w:rPr>
            </w:pPr>
            <w:r w:rsidRPr="00FE608D">
              <w:rPr>
                <w:rFonts w:ascii="Calibri" w:hAnsi="Calibri"/>
                <w:bCs/>
                <w:szCs w:val="22"/>
              </w:rPr>
              <w:t>Consideration must also be given regarding the relationship between the proposed dwellings and as to whether the proposed, arrangement, layout and siting of the proposal would provide adequate levels of residential amenity for potential occupiers.</w:t>
            </w:r>
          </w:p>
          <w:p w14:paraId="3F6C959D" w14:textId="43B48A91" w:rsidR="00A9273C" w:rsidRDefault="00A9273C" w:rsidP="00AB3169">
            <w:pPr>
              <w:pStyle w:val="Header"/>
              <w:tabs>
                <w:tab w:val="clear" w:pos="4153"/>
                <w:tab w:val="clear" w:pos="8306"/>
              </w:tabs>
              <w:contextualSpacing/>
              <w:jc w:val="both"/>
              <w:rPr>
                <w:rFonts w:ascii="Calibri" w:hAnsi="Calibri"/>
                <w:bCs/>
                <w:szCs w:val="22"/>
              </w:rPr>
            </w:pPr>
          </w:p>
          <w:p w14:paraId="0034B10D" w14:textId="16DB6F8D" w:rsidR="00A9273C" w:rsidRPr="00FE608D" w:rsidRDefault="00A9273C" w:rsidP="00AB3169">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respect, taking account of the orientation of the dwellings and the window locations of primary habitable rooms, significant concerns exist in relation </w:t>
            </w:r>
            <w:r w:rsidR="00D869F4">
              <w:rPr>
                <w:rFonts w:ascii="Calibri" w:hAnsi="Calibri"/>
                <w:bCs/>
                <w:szCs w:val="22"/>
              </w:rPr>
              <w:t xml:space="preserve">to the inter-relationship between both dwellings.  The </w:t>
            </w:r>
            <w:proofErr w:type="gramStart"/>
            <w:r w:rsidR="00D869F4">
              <w:rPr>
                <w:rFonts w:ascii="Calibri" w:hAnsi="Calibri"/>
                <w:bCs/>
                <w:szCs w:val="22"/>
              </w:rPr>
              <w:t>first floor</w:t>
            </w:r>
            <w:proofErr w:type="gramEnd"/>
            <w:r w:rsidR="00D869F4">
              <w:rPr>
                <w:rFonts w:ascii="Calibri" w:hAnsi="Calibri"/>
                <w:bCs/>
                <w:szCs w:val="22"/>
              </w:rPr>
              <w:t xml:space="preserve"> windows of building 2 are likely to result in significant overlooking of the curtilage of building 1 from an elevated position to a degree that would significantly undermine the level of privacy experienced by occupiers of building 1, with these windows also having a direct overlooking relationship with the kitchen and dining/sitting area of building 1.</w:t>
            </w:r>
          </w:p>
          <w:p w14:paraId="303CB285" w14:textId="489A9CE6" w:rsidR="00FE608D" w:rsidRPr="00B054E3" w:rsidRDefault="00FE608D" w:rsidP="00AB3169">
            <w:pPr>
              <w:pStyle w:val="Header"/>
              <w:tabs>
                <w:tab w:val="clear" w:pos="4153"/>
                <w:tab w:val="clear" w:pos="8306"/>
              </w:tabs>
              <w:contextualSpacing/>
              <w:jc w:val="both"/>
              <w:rPr>
                <w:rFonts w:ascii="Calibri" w:hAnsi="Calibri"/>
                <w:b/>
                <w:szCs w:val="22"/>
              </w:rPr>
            </w:pPr>
          </w:p>
        </w:tc>
      </w:tr>
      <w:tr w:rsidR="006A71E6" w:rsidRPr="00D2449B" w14:paraId="3C86B09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07DB02" w14:textId="77777777" w:rsidR="006A71E6" w:rsidRPr="00AB3169" w:rsidRDefault="006A71E6" w:rsidP="006A71E6">
            <w:pPr>
              <w:pStyle w:val="Header"/>
              <w:tabs>
                <w:tab w:val="clear" w:pos="4153"/>
                <w:tab w:val="clear" w:pos="8306"/>
              </w:tabs>
              <w:contextualSpacing/>
              <w:jc w:val="both"/>
              <w:rPr>
                <w:rFonts w:ascii="Calibri" w:hAnsi="Calibri"/>
                <w:b/>
                <w:szCs w:val="22"/>
              </w:rPr>
            </w:pPr>
            <w:r w:rsidRPr="00AB3169">
              <w:rPr>
                <w:rFonts w:ascii="Calibri" w:hAnsi="Calibri"/>
                <w:b/>
                <w:szCs w:val="22"/>
              </w:rPr>
              <w:lastRenderedPageBreak/>
              <w:t>Visual Amenity/External Appearance:</w:t>
            </w:r>
          </w:p>
          <w:p w14:paraId="3280E774" w14:textId="77777777" w:rsidR="006A71E6" w:rsidRDefault="006A71E6" w:rsidP="00AB3169">
            <w:pPr>
              <w:pStyle w:val="Header"/>
              <w:tabs>
                <w:tab w:val="clear" w:pos="4153"/>
                <w:tab w:val="clear" w:pos="8306"/>
              </w:tabs>
              <w:contextualSpacing/>
              <w:jc w:val="both"/>
              <w:rPr>
                <w:rFonts w:ascii="Calibri" w:hAnsi="Calibri"/>
                <w:b/>
                <w:szCs w:val="22"/>
              </w:rPr>
            </w:pPr>
          </w:p>
          <w:p w14:paraId="176918CC" w14:textId="704E5F4A" w:rsidR="002D4B42" w:rsidRPr="005C0EA4" w:rsidRDefault="002D4B42" w:rsidP="00AB3169">
            <w:pPr>
              <w:pStyle w:val="Header"/>
              <w:tabs>
                <w:tab w:val="clear" w:pos="4153"/>
                <w:tab w:val="clear" w:pos="8306"/>
              </w:tabs>
              <w:contextualSpacing/>
              <w:jc w:val="both"/>
              <w:rPr>
                <w:rFonts w:ascii="Calibri" w:hAnsi="Calibri"/>
                <w:bCs/>
                <w:szCs w:val="22"/>
              </w:rPr>
            </w:pPr>
            <w:r w:rsidRPr="005C0EA4">
              <w:rPr>
                <w:rFonts w:ascii="Calibri" w:hAnsi="Calibri"/>
                <w:bCs/>
                <w:szCs w:val="22"/>
              </w:rPr>
              <w:t>Both dwellings are of a differing configuration with both consisting of single-storey and two-storey elements.  The architectural language of both the dwelling is largely similar, being of a largely austere appearance, lacking any clear architectural detailing.</w:t>
            </w:r>
            <w:r w:rsidR="005C0EA4">
              <w:rPr>
                <w:rFonts w:ascii="Calibri" w:hAnsi="Calibri"/>
                <w:bCs/>
                <w:szCs w:val="22"/>
              </w:rPr>
              <w:t xml:space="preserve">  </w:t>
            </w:r>
            <w:r w:rsidRPr="005C0EA4">
              <w:rPr>
                <w:rFonts w:ascii="Calibri" w:hAnsi="Calibri"/>
                <w:bCs/>
                <w:szCs w:val="22"/>
              </w:rPr>
              <w:t xml:space="preserve">The footprint and overall cumulative scale of the proposed dwellings is significantly </w:t>
            </w:r>
            <w:proofErr w:type="gramStart"/>
            <w:r w:rsidRPr="005C0EA4">
              <w:rPr>
                <w:rFonts w:ascii="Calibri" w:hAnsi="Calibri"/>
                <w:bCs/>
                <w:szCs w:val="22"/>
              </w:rPr>
              <w:t>in excess of</w:t>
            </w:r>
            <w:proofErr w:type="gramEnd"/>
            <w:r w:rsidRPr="005C0EA4">
              <w:rPr>
                <w:rFonts w:ascii="Calibri" w:hAnsi="Calibri"/>
                <w:bCs/>
                <w:szCs w:val="22"/>
              </w:rPr>
              <w:t xml:space="preserve"> that of any of the nearby or adjacent residential properties and as such it is considered that the dwellings fail to respond positively to the scale or inherent pattern of development that defines the character of the area.  </w:t>
            </w:r>
          </w:p>
          <w:p w14:paraId="4937F3ED" w14:textId="77777777" w:rsidR="002D4B42" w:rsidRPr="005C0EA4" w:rsidRDefault="002D4B42" w:rsidP="00AB3169">
            <w:pPr>
              <w:pStyle w:val="Header"/>
              <w:tabs>
                <w:tab w:val="clear" w:pos="4153"/>
                <w:tab w:val="clear" w:pos="8306"/>
              </w:tabs>
              <w:contextualSpacing/>
              <w:jc w:val="both"/>
              <w:rPr>
                <w:rFonts w:ascii="Calibri" w:hAnsi="Calibri"/>
                <w:bCs/>
                <w:szCs w:val="22"/>
              </w:rPr>
            </w:pPr>
          </w:p>
          <w:p w14:paraId="18CA8620" w14:textId="0535C6EC" w:rsidR="002D4B42" w:rsidRPr="005C0EA4" w:rsidRDefault="002D4B42" w:rsidP="00AB3169">
            <w:pPr>
              <w:pStyle w:val="Header"/>
              <w:tabs>
                <w:tab w:val="clear" w:pos="4153"/>
                <w:tab w:val="clear" w:pos="8306"/>
              </w:tabs>
              <w:contextualSpacing/>
              <w:jc w:val="both"/>
              <w:rPr>
                <w:rFonts w:ascii="Calibri" w:hAnsi="Calibri"/>
                <w:bCs/>
                <w:szCs w:val="22"/>
              </w:rPr>
            </w:pPr>
            <w:r w:rsidRPr="005C0EA4">
              <w:rPr>
                <w:rFonts w:ascii="Calibri" w:hAnsi="Calibri"/>
                <w:bCs/>
                <w:szCs w:val="22"/>
              </w:rPr>
              <w:t xml:space="preserve">As such it is considered that the proposed development would result in the introduction of an </w:t>
            </w:r>
            <w:r w:rsidR="005C0EA4" w:rsidRPr="005C0EA4">
              <w:rPr>
                <w:rFonts w:ascii="Calibri" w:hAnsi="Calibri"/>
                <w:bCs/>
                <w:szCs w:val="22"/>
              </w:rPr>
              <w:t xml:space="preserve">anomalous and discordant form of development that fails to respond positively to the inherent pattern and scale of adjacent </w:t>
            </w:r>
            <w:proofErr w:type="gramStart"/>
            <w:r w:rsidR="005C0EA4" w:rsidRPr="005C0EA4">
              <w:rPr>
                <w:rFonts w:ascii="Calibri" w:hAnsi="Calibri"/>
                <w:bCs/>
                <w:szCs w:val="22"/>
              </w:rPr>
              <w:t>built-form</w:t>
            </w:r>
            <w:proofErr w:type="gramEnd"/>
            <w:r w:rsidR="005C0EA4" w:rsidRPr="005C0EA4">
              <w:rPr>
                <w:rFonts w:ascii="Calibri" w:hAnsi="Calibri"/>
                <w:bCs/>
                <w:szCs w:val="22"/>
              </w:rPr>
              <w:t xml:space="preserve"> being of detriment to the character and visual amenities of the area.</w:t>
            </w:r>
          </w:p>
          <w:p w14:paraId="577EF4EB" w14:textId="0295B38D" w:rsidR="002D4B42" w:rsidRPr="00AB3169" w:rsidRDefault="002D4B42" w:rsidP="00AB3169">
            <w:pPr>
              <w:pStyle w:val="Header"/>
              <w:tabs>
                <w:tab w:val="clear" w:pos="4153"/>
                <w:tab w:val="clear" w:pos="8306"/>
              </w:tabs>
              <w:contextualSpacing/>
              <w:jc w:val="both"/>
              <w:rPr>
                <w:rFonts w:ascii="Calibri" w:hAnsi="Calibri"/>
                <w:b/>
                <w:szCs w:val="22"/>
              </w:rPr>
            </w:pPr>
          </w:p>
        </w:tc>
      </w:tr>
      <w:tr w:rsidR="006A71E6" w:rsidRPr="00D2449B" w14:paraId="2B152BCD"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30724F" w14:textId="77777777" w:rsidR="006A71E6" w:rsidRPr="006F1922" w:rsidRDefault="006A71E6" w:rsidP="006A71E6">
            <w:pPr>
              <w:contextualSpacing/>
              <w:jc w:val="both"/>
              <w:rPr>
                <w:rFonts w:ascii="Calibri" w:hAnsi="Calibri"/>
                <w:b/>
                <w:bCs/>
                <w:szCs w:val="22"/>
              </w:rPr>
            </w:pPr>
            <w:r w:rsidRPr="006F1922">
              <w:rPr>
                <w:rFonts w:ascii="Calibri" w:hAnsi="Calibri"/>
                <w:b/>
                <w:bCs/>
                <w:szCs w:val="22"/>
              </w:rPr>
              <w:t>Observations/Consideration of Matters Raised/Conclusion:</w:t>
            </w:r>
          </w:p>
          <w:p w14:paraId="5B9E0D0D" w14:textId="77777777" w:rsidR="006A71E6" w:rsidRPr="006F1922" w:rsidRDefault="006A71E6" w:rsidP="006A71E6">
            <w:pPr>
              <w:contextualSpacing/>
              <w:rPr>
                <w:rFonts w:ascii="Calibri" w:hAnsi="Calibri"/>
                <w:bCs/>
                <w:szCs w:val="22"/>
              </w:rPr>
            </w:pPr>
          </w:p>
          <w:p w14:paraId="59678915" w14:textId="23A3D522" w:rsidR="006A71E6" w:rsidRPr="006F1922" w:rsidRDefault="006A71E6" w:rsidP="006A71E6">
            <w:pPr>
              <w:pStyle w:val="Header"/>
              <w:tabs>
                <w:tab w:val="clear" w:pos="4153"/>
                <w:tab w:val="clear" w:pos="8306"/>
              </w:tabs>
              <w:contextualSpacing/>
              <w:jc w:val="both"/>
              <w:rPr>
                <w:rFonts w:ascii="Calibri" w:hAnsi="Calibri"/>
                <w:bCs/>
                <w:szCs w:val="22"/>
              </w:rPr>
            </w:pPr>
            <w:r w:rsidRPr="006F1922">
              <w:rPr>
                <w:rFonts w:ascii="Calibri" w:hAnsi="Calibri"/>
                <w:bCs/>
                <w:szCs w:val="22"/>
              </w:rPr>
              <w:t xml:space="preserve">It is for the above reasons and having regard to all material considerations and matters raised that the application </w:t>
            </w:r>
            <w:r w:rsidR="006F1922" w:rsidRPr="006F1922">
              <w:rPr>
                <w:rFonts w:ascii="Calibri" w:hAnsi="Calibri"/>
                <w:bCs/>
                <w:szCs w:val="22"/>
              </w:rPr>
              <w:t xml:space="preserve">is </w:t>
            </w:r>
            <w:r w:rsidRPr="006F1922">
              <w:rPr>
                <w:rFonts w:ascii="Calibri" w:hAnsi="Calibri"/>
                <w:bCs/>
                <w:szCs w:val="22"/>
              </w:rPr>
              <w:t>recommended for refusal.</w:t>
            </w:r>
          </w:p>
          <w:p w14:paraId="7402D0E7" w14:textId="77777777" w:rsidR="006A71E6" w:rsidRPr="00B37C5D" w:rsidRDefault="006A71E6" w:rsidP="006A71E6">
            <w:pPr>
              <w:pStyle w:val="Header"/>
              <w:tabs>
                <w:tab w:val="clear" w:pos="4153"/>
                <w:tab w:val="clear" w:pos="8306"/>
              </w:tabs>
              <w:contextualSpacing/>
              <w:jc w:val="both"/>
              <w:rPr>
                <w:rFonts w:ascii="Calibri" w:hAnsi="Calibri"/>
                <w:b/>
                <w:color w:val="FF0000"/>
                <w:szCs w:val="22"/>
              </w:rPr>
            </w:pPr>
          </w:p>
        </w:tc>
      </w:tr>
      <w:tr w:rsidR="006A71E6" w:rsidRPr="00D2449B" w14:paraId="4AEEA3EB" w14:textId="77777777" w:rsidTr="000A7CF7">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3E10F1" w14:textId="77777777" w:rsidR="006A71E6" w:rsidRPr="00D2449B" w:rsidRDefault="006A71E6" w:rsidP="006A71E6">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1CD39A" w14:textId="77777777" w:rsidR="006A71E6" w:rsidRPr="00B37C5D" w:rsidRDefault="006A71E6" w:rsidP="006A71E6">
            <w:pPr>
              <w:rPr>
                <w:rFonts w:ascii="Calibri" w:hAnsi="Calibri"/>
                <w:bCs/>
                <w:szCs w:val="22"/>
              </w:rPr>
            </w:pPr>
            <w:r w:rsidRPr="00B37C5D">
              <w:rPr>
                <w:rFonts w:asciiTheme="minorHAnsi" w:hAnsiTheme="minorHAnsi"/>
                <w:bCs/>
                <w:szCs w:val="22"/>
              </w:rPr>
              <w:t>That permission in principle be refused for the following reason(s)</w:t>
            </w:r>
          </w:p>
        </w:tc>
      </w:tr>
      <w:tr w:rsidR="006A71E6" w:rsidRPr="00D2449B" w14:paraId="3535C1FB"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135AA5" w14:textId="77777777" w:rsidR="006A71E6" w:rsidRDefault="006A71E6" w:rsidP="006A71E6">
            <w:pPr>
              <w:jc w:val="center"/>
              <w:rPr>
                <w:rFonts w:asciiTheme="minorHAnsi" w:hAnsiTheme="minorHAnsi"/>
                <w:b/>
                <w:bCs/>
                <w:szCs w:val="22"/>
              </w:rPr>
            </w:pPr>
          </w:p>
          <w:p w14:paraId="4189317A" w14:textId="77777777" w:rsidR="006A71E6" w:rsidRPr="000A7CF7" w:rsidRDefault="006A71E6" w:rsidP="006A71E6">
            <w:pPr>
              <w:jc w:val="center"/>
              <w:rPr>
                <w:rFonts w:asciiTheme="minorHAnsi" w:hAnsiTheme="minorHAnsi"/>
                <w:b/>
                <w:bCs/>
                <w:szCs w:val="22"/>
              </w:rPr>
            </w:pPr>
            <w:r w:rsidRPr="000A7CF7">
              <w:rPr>
                <w:rFonts w:asciiTheme="minorHAnsi" w:hAnsiTheme="minorHAnsi"/>
                <w:b/>
                <w:bCs/>
                <w:szCs w:val="22"/>
              </w:rPr>
              <w:t>01</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3BDE60" w14:textId="77777777" w:rsidR="006A71E6" w:rsidRPr="009A5D79" w:rsidRDefault="006A71E6" w:rsidP="006A71E6">
            <w:pPr>
              <w:jc w:val="both"/>
              <w:rPr>
                <w:rFonts w:asciiTheme="minorHAnsi" w:hAnsiTheme="minorHAnsi"/>
                <w:bCs/>
                <w:szCs w:val="22"/>
              </w:rPr>
            </w:pPr>
          </w:p>
          <w:p w14:paraId="2A77CF8C" w14:textId="7B84C263" w:rsidR="002844AC" w:rsidRPr="009A5D79" w:rsidRDefault="006A71E6" w:rsidP="006A71E6">
            <w:pPr>
              <w:jc w:val="both"/>
              <w:rPr>
                <w:rFonts w:asciiTheme="minorHAnsi" w:hAnsiTheme="minorHAnsi"/>
                <w:bCs/>
                <w:szCs w:val="22"/>
              </w:rPr>
            </w:pPr>
            <w:r w:rsidRPr="009A5D79">
              <w:rPr>
                <w:rFonts w:asciiTheme="minorHAnsi" w:hAnsiTheme="minorHAnsi"/>
                <w:bCs/>
                <w:szCs w:val="22"/>
              </w:rPr>
              <w:t>The proposal is considered contrary to Polic</w:t>
            </w:r>
            <w:r w:rsidR="00B37C5D" w:rsidRPr="009A5D79">
              <w:rPr>
                <w:rFonts w:asciiTheme="minorHAnsi" w:hAnsiTheme="minorHAnsi"/>
                <w:bCs/>
                <w:szCs w:val="22"/>
              </w:rPr>
              <w:t>y</w:t>
            </w:r>
            <w:r w:rsidRPr="009A5D79">
              <w:rPr>
                <w:rFonts w:asciiTheme="minorHAnsi" w:hAnsiTheme="minorHAnsi"/>
                <w:bCs/>
                <w:szCs w:val="22"/>
              </w:rPr>
              <w:t xml:space="preserve"> DMG</w:t>
            </w:r>
            <w:r w:rsidR="00B37C5D" w:rsidRPr="009A5D79">
              <w:rPr>
                <w:rFonts w:asciiTheme="minorHAnsi" w:hAnsiTheme="minorHAnsi"/>
                <w:bCs/>
                <w:szCs w:val="22"/>
              </w:rPr>
              <w:t>1</w:t>
            </w:r>
            <w:r w:rsidRPr="009A5D79">
              <w:rPr>
                <w:rFonts w:asciiTheme="minorHAnsi" w:hAnsiTheme="minorHAnsi"/>
                <w:bCs/>
                <w:szCs w:val="22"/>
              </w:rPr>
              <w:t xml:space="preserve"> of the </w:t>
            </w:r>
            <w:proofErr w:type="spellStart"/>
            <w:r w:rsidRPr="009A5D79">
              <w:rPr>
                <w:rFonts w:asciiTheme="minorHAnsi" w:hAnsiTheme="minorHAnsi"/>
                <w:bCs/>
                <w:szCs w:val="22"/>
              </w:rPr>
              <w:t>Ribble</w:t>
            </w:r>
            <w:proofErr w:type="spellEnd"/>
            <w:r w:rsidRPr="009A5D79">
              <w:rPr>
                <w:rFonts w:asciiTheme="minorHAnsi" w:hAnsiTheme="minorHAnsi"/>
                <w:bCs/>
                <w:szCs w:val="22"/>
              </w:rPr>
              <w:t xml:space="preserve"> Valley Core Strategy in that </w:t>
            </w:r>
            <w:r w:rsidR="002844AC" w:rsidRPr="009A5D79">
              <w:rPr>
                <w:rFonts w:asciiTheme="minorHAnsi" w:hAnsiTheme="minorHAnsi"/>
                <w:bCs/>
                <w:szCs w:val="22"/>
              </w:rPr>
              <w:t xml:space="preserve">the proximity, </w:t>
            </w:r>
            <w:proofErr w:type="gramStart"/>
            <w:r w:rsidR="002844AC" w:rsidRPr="009A5D79">
              <w:rPr>
                <w:rFonts w:asciiTheme="minorHAnsi" w:hAnsiTheme="minorHAnsi"/>
                <w:bCs/>
                <w:szCs w:val="22"/>
              </w:rPr>
              <w:t>scale</w:t>
            </w:r>
            <w:proofErr w:type="gramEnd"/>
            <w:r w:rsidR="002844AC" w:rsidRPr="009A5D79">
              <w:rPr>
                <w:rFonts w:asciiTheme="minorHAnsi" w:hAnsiTheme="minorHAnsi"/>
                <w:bCs/>
                <w:szCs w:val="22"/>
              </w:rPr>
              <w:t xml:space="preserve"> and orientation of ‘Building 2’ would significantly undermine and compromise the residential amenities of the occupiers of 115 </w:t>
            </w:r>
            <w:proofErr w:type="spellStart"/>
            <w:r w:rsidR="002844AC" w:rsidRPr="009A5D79">
              <w:rPr>
                <w:rFonts w:asciiTheme="minorHAnsi" w:hAnsiTheme="minorHAnsi"/>
                <w:bCs/>
                <w:szCs w:val="22"/>
              </w:rPr>
              <w:t>Kemple</w:t>
            </w:r>
            <w:proofErr w:type="spellEnd"/>
            <w:r w:rsidR="002844AC" w:rsidRPr="009A5D79">
              <w:rPr>
                <w:rFonts w:asciiTheme="minorHAnsi" w:hAnsiTheme="minorHAnsi"/>
                <w:bCs/>
                <w:szCs w:val="22"/>
              </w:rPr>
              <w:t xml:space="preserve"> View by virtue of a direct unsympathetic overbearing relationship.</w:t>
            </w:r>
          </w:p>
          <w:p w14:paraId="426EF18F" w14:textId="29842EF7" w:rsidR="006E4794" w:rsidRPr="009A5D79" w:rsidRDefault="006E4794" w:rsidP="002844AC">
            <w:pPr>
              <w:jc w:val="both"/>
              <w:rPr>
                <w:rFonts w:asciiTheme="minorHAnsi" w:hAnsiTheme="minorHAnsi"/>
                <w:bCs/>
                <w:szCs w:val="22"/>
              </w:rPr>
            </w:pPr>
          </w:p>
        </w:tc>
      </w:tr>
      <w:tr w:rsidR="006A71E6" w:rsidRPr="00D2449B" w14:paraId="60D8F318"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5F9B83" w14:textId="77777777" w:rsidR="006A71E6" w:rsidRDefault="006A71E6" w:rsidP="006A71E6">
            <w:pPr>
              <w:jc w:val="center"/>
              <w:rPr>
                <w:rFonts w:asciiTheme="minorHAnsi" w:hAnsiTheme="minorHAnsi"/>
                <w:b/>
                <w:bCs/>
                <w:szCs w:val="22"/>
              </w:rPr>
            </w:pPr>
          </w:p>
          <w:p w14:paraId="70DDEEEB" w14:textId="77777777" w:rsidR="006A71E6" w:rsidRPr="000A7CF7" w:rsidRDefault="006A71E6" w:rsidP="006A71E6">
            <w:pPr>
              <w:jc w:val="center"/>
              <w:rPr>
                <w:rFonts w:asciiTheme="minorHAnsi" w:hAnsiTheme="minorHAnsi"/>
                <w:b/>
                <w:bCs/>
                <w:szCs w:val="22"/>
              </w:rPr>
            </w:pPr>
            <w:r>
              <w:rPr>
                <w:rFonts w:asciiTheme="minorHAnsi" w:hAnsiTheme="minorHAnsi"/>
                <w:b/>
                <w:bCs/>
                <w:szCs w:val="22"/>
              </w:rPr>
              <w:t>02</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EAAEE" w14:textId="77777777" w:rsidR="006E4794" w:rsidRPr="009A5D79" w:rsidRDefault="006E4794" w:rsidP="006E4794">
            <w:pPr>
              <w:jc w:val="both"/>
              <w:rPr>
                <w:rFonts w:asciiTheme="minorHAnsi" w:hAnsiTheme="minorHAnsi"/>
                <w:bCs/>
                <w:szCs w:val="22"/>
              </w:rPr>
            </w:pPr>
          </w:p>
          <w:p w14:paraId="22D6D74A" w14:textId="329EAB08" w:rsidR="006E4794" w:rsidRPr="009A5D79" w:rsidRDefault="006E4794" w:rsidP="006E4794">
            <w:pPr>
              <w:jc w:val="both"/>
              <w:rPr>
                <w:rFonts w:asciiTheme="minorHAnsi" w:hAnsiTheme="minorHAnsi"/>
                <w:bCs/>
                <w:szCs w:val="22"/>
              </w:rPr>
            </w:pPr>
            <w:r w:rsidRPr="009A5D79">
              <w:rPr>
                <w:rFonts w:asciiTheme="minorHAnsi" w:hAnsiTheme="minorHAnsi"/>
                <w:bCs/>
                <w:szCs w:val="22"/>
              </w:rPr>
              <w:t xml:space="preserve">The proposal is considered contrary to Policy DMG1 of the </w:t>
            </w:r>
            <w:proofErr w:type="spellStart"/>
            <w:r w:rsidRPr="009A5D79">
              <w:rPr>
                <w:rFonts w:asciiTheme="minorHAnsi" w:hAnsiTheme="minorHAnsi"/>
                <w:bCs/>
                <w:szCs w:val="22"/>
              </w:rPr>
              <w:t>Ribble</w:t>
            </w:r>
            <w:proofErr w:type="spellEnd"/>
            <w:r w:rsidRPr="009A5D79">
              <w:rPr>
                <w:rFonts w:asciiTheme="minorHAnsi" w:hAnsiTheme="minorHAnsi"/>
                <w:bCs/>
                <w:szCs w:val="22"/>
              </w:rPr>
              <w:t xml:space="preserve"> Valley Core Strategy in that the proximity, </w:t>
            </w:r>
            <w:proofErr w:type="gramStart"/>
            <w:r w:rsidRPr="009A5D79">
              <w:rPr>
                <w:rFonts w:asciiTheme="minorHAnsi" w:hAnsiTheme="minorHAnsi"/>
                <w:bCs/>
                <w:szCs w:val="22"/>
              </w:rPr>
              <w:t>scale</w:t>
            </w:r>
            <w:proofErr w:type="gramEnd"/>
            <w:r w:rsidRPr="009A5D79">
              <w:rPr>
                <w:rFonts w:asciiTheme="minorHAnsi" w:hAnsiTheme="minorHAnsi"/>
                <w:bCs/>
                <w:szCs w:val="22"/>
              </w:rPr>
              <w:t xml:space="preserve"> and orientation of ‘Building 1’ would significantly undermine and compromise the residential amenities of the future occupiers of the housing development to the south-west by virtue of a significant overbearing relationship</w:t>
            </w:r>
            <w:r w:rsidR="00813D27" w:rsidRPr="009A5D79">
              <w:rPr>
                <w:rFonts w:asciiTheme="minorHAnsi" w:hAnsiTheme="minorHAnsi"/>
                <w:bCs/>
                <w:szCs w:val="22"/>
              </w:rPr>
              <w:t xml:space="preserve">, </w:t>
            </w:r>
            <w:r w:rsidRPr="009A5D79">
              <w:rPr>
                <w:rFonts w:asciiTheme="minorHAnsi" w:hAnsiTheme="minorHAnsi"/>
                <w:bCs/>
                <w:szCs w:val="22"/>
              </w:rPr>
              <w:t>exacerbated by the differing topographies of both that of the application site and the affected site.</w:t>
            </w:r>
          </w:p>
          <w:p w14:paraId="1781925F" w14:textId="77777777" w:rsidR="006A71E6" w:rsidRPr="009A5D79" w:rsidRDefault="006A71E6" w:rsidP="006A71E6">
            <w:pPr>
              <w:jc w:val="both"/>
              <w:rPr>
                <w:rFonts w:asciiTheme="minorHAnsi" w:hAnsiTheme="minorHAnsi"/>
                <w:bCs/>
                <w:szCs w:val="22"/>
              </w:rPr>
            </w:pPr>
          </w:p>
        </w:tc>
      </w:tr>
      <w:tr w:rsidR="006E4794" w:rsidRPr="00D2449B" w14:paraId="709527EF"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05D1B7" w14:textId="77777777" w:rsidR="00813D27" w:rsidRDefault="00813D27" w:rsidP="006A71E6">
            <w:pPr>
              <w:jc w:val="center"/>
              <w:rPr>
                <w:rFonts w:asciiTheme="minorHAnsi" w:hAnsiTheme="minorHAnsi"/>
                <w:b/>
                <w:bCs/>
                <w:szCs w:val="22"/>
              </w:rPr>
            </w:pPr>
          </w:p>
          <w:p w14:paraId="1AF13247" w14:textId="544FF8BA" w:rsidR="006E4794" w:rsidRDefault="00813D27" w:rsidP="006A71E6">
            <w:pPr>
              <w:jc w:val="center"/>
              <w:rPr>
                <w:rFonts w:asciiTheme="minorHAnsi" w:hAnsiTheme="minorHAnsi"/>
                <w:b/>
                <w:bCs/>
                <w:szCs w:val="22"/>
              </w:rPr>
            </w:pPr>
            <w:r>
              <w:rPr>
                <w:rFonts w:asciiTheme="minorHAnsi" w:hAnsiTheme="minorHAnsi"/>
                <w:b/>
                <w:bCs/>
                <w:szCs w:val="22"/>
              </w:rPr>
              <w:t>03</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BBCE7A" w14:textId="77777777" w:rsidR="006E4794" w:rsidRPr="009A5D79" w:rsidRDefault="006E4794" w:rsidP="00813D27">
            <w:pPr>
              <w:jc w:val="both"/>
              <w:rPr>
                <w:rFonts w:asciiTheme="minorHAnsi" w:hAnsiTheme="minorHAnsi"/>
                <w:bCs/>
                <w:szCs w:val="22"/>
              </w:rPr>
            </w:pPr>
          </w:p>
          <w:p w14:paraId="02ECDFBD" w14:textId="4367A6F0" w:rsidR="00813D27" w:rsidRPr="009A5D79" w:rsidRDefault="00813D27" w:rsidP="00813D27">
            <w:pPr>
              <w:jc w:val="both"/>
              <w:rPr>
                <w:rFonts w:asciiTheme="minorHAnsi" w:hAnsiTheme="minorHAnsi"/>
                <w:bCs/>
                <w:szCs w:val="22"/>
              </w:rPr>
            </w:pPr>
            <w:r w:rsidRPr="009A5D79">
              <w:rPr>
                <w:rFonts w:asciiTheme="minorHAnsi" w:hAnsiTheme="minorHAnsi"/>
                <w:bCs/>
                <w:szCs w:val="22"/>
              </w:rPr>
              <w:t xml:space="preserve">The proposal is considered contrary to Policy DMG1 of the </w:t>
            </w:r>
            <w:proofErr w:type="spellStart"/>
            <w:r w:rsidRPr="009A5D79">
              <w:rPr>
                <w:rFonts w:asciiTheme="minorHAnsi" w:hAnsiTheme="minorHAnsi"/>
                <w:bCs/>
                <w:szCs w:val="22"/>
              </w:rPr>
              <w:t>Ribble</w:t>
            </w:r>
            <w:proofErr w:type="spellEnd"/>
            <w:r w:rsidRPr="009A5D79">
              <w:rPr>
                <w:rFonts w:asciiTheme="minorHAnsi" w:hAnsiTheme="minorHAnsi"/>
                <w:bCs/>
                <w:szCs w:val="22"/>
              </w:rPr>
              <w:t xml:space="preserve"> Valley Core Strategy insofar that the proposed inter-relationship between both dwellings, in particular the relationship of </w:t>
            </w:r>
            <w:r w:rsidRPr="009A5D79">
              <w:rPr>
                <w:rFonts w:asciiTheme="minorHAnsi" w:hAnsiTheme="minorHAnsi"/>
                <w:bCs/>
                <w:szCs w:val="22"/>
              </w:rPr>
              <w:lastRenderedPageBreak/>
              <w:t xml:space="preserve">the south-westerly </w:t>
            </w:r>
            <w:r w:rsidR="009A5D79" w:rsidRPr="009A5D79">
              <w:rPr>
                <w:rFonts w:asciiTheme="minorHAnsi" w:hAnsiTheme="minorHAnsi"/>
                <w:bCs/>
                <w:szCs w:val="22"/>
              </w:rPr>
              <w:t xml:space="preserve">facing </w:t>
            </w:r>
            <w:r w:rsidRPr="009A5D79">
              <w:rPr>
                <w:rFonts w:asciiTheme="minorHAnsi" w:hAnsiTheme="minorHAnsi"/>
                <w:bCs/>
                <w:szCs w:val="22"/>
              </w:rPr>
              <w:t>first-floor windows of ‘Building 2’, is likely to result in direct-</w:t>
            </w:r>
            <w:r w:rsidR="00FB7FA4" w:rsidRPr="009A5D79">
              <w:rPr>
                <w:rFonts w:asciiTheme="minorHAnsi" w:hAnsiTheme="minorHAnsi"/>
                <w:bCs/>
                <w:szCs w:val="22"/>
              </w:rPr>
              <w:t>overlooking</w:t>
            </w:r>
            <w:r w:rsidRPr="009A5D79">
              <w:rPr>
                <w:rFonts w:asciiTheme="minorHAnsi" w:hAnsiTheme="minorHAnsi"/>
                <w:bCs/>
                <w:szCs w:val="22"/>
              </w:rPr>
              <w:t xml:space="preserve"> of </w:t>
            </w:r>
            <w:r w:rsidR="00FB7FA4" w:rsidRPr="009A5D79">
              <w:rPr>
                <w:rFonts w:asciiTheme="minorHAnsi" w:hAnsiTheme="minorHAnsi"/>
                <w:bCs/>
                <w:szCs w:val="22"/>
              </w:rPr>
              <w:t>both habitable rooms and the private curtilage area of ‘Building 1 ‘ to a degree that would significantly undermine the sense of privacy enjoyed by future occupiers of the dwelling.</w:t>
            </w:r>
          </w:p>
          <w:p w14:paraId="32227FFF" w14:textId="6F2CAB7D" w:rsidR="00813D27" w:rsidRPr="009A5D79" w:rsidRDefault="00813D27" w:rsidP="00813D27">
            <w:pPr>
              <w:jc w:val="both"/>
              <w:rPr>
                <w:rFonts w:asciiTheme="minorHAnsi" w:hAnsiTheme="minorHAnsi"/>
                <w:bCs/>
                <w:szCs w:val="22"/>
              </w:rPr>
            </w:pPr>
          </w:p>
        </w:tc>
      </w:tr>
      <w:tr w:rsidR="00A70FB8" w:rsidRPr="00D2449B" w14:paraId="5EB167BE"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23EFE1" w14:textId="77777777" w:rsidR="00A70FB8" w:rsidRDefault="00A70FB8" w:rsidP="006A71E6">
            <w:pPr>
              <w:jc w:val="center"/>
              <w:rPr>
                <w:rFonts w:asciiTheme="minorHAnsi" w:hAnsiTheme="minorHAnsi"/>
                <w:b/>
                <w:bCs/>
                <w:szCs w:val="22"/>
              </w:rPr>
            </w:pPr>
          </w:p>
          <w:p w14:paraId="261C515B" w14:textId="22538FDA" w:rsidR="00A70FB8" w:rsidRDefault="00A70FB8" w:rsidP="006A71E6">
            <w:pPr>
              <w:jc w:val="center"/>
              <w:rPr>
                <w:rFonts w:asciiTheme="minorHAnsi" w:hAnsiTheme="minorHAnsi"/>
                <w:b/>
                <w:bCs/>
                <w:szCs w:val="22"/>
              </w:rPr>
            </w:pPr>
            <w:r>
              <w:rPr>
                <w:rFonts w:asciiTheme="minorHAnsi" w:hAnsiTheme="minorHAnsi"/>
                <w:b/>
                <w:bCs/>
                <w:szCs w:val="22"/>
              </w:rPr>
              <w:t>04</w:t>
            </w:r>
          </w:p>
          <w:p w14:paraId="2CDD51C8" w14:textId="0941385F" w:rsidR="00A70FB8" w:rsidRDefault="00A70FB8" w:rsidP="006A71E6">
            <w:pPr>
              <w:jc w:val="center"/>
              <w:rPr>
                <w:rFonts w:asciiTheme="minorHAnsi" w:hAnsiTheme="minorHAnsi"/>
                <w:b/>
                <w:bCs/>
                <w:szCs w:val="22"/>
              </w:rPr>
            </w:pP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F76F2E" w14:textId="77777777" w:rsidR="00A70FB8" w:rsidRDefault="00A70FB8" w:rsidP="00813D27">
            <w:pPr>
              <w:jc w:val="both"/>
              <w:rPr>
                <w:rFonts w:asciiTheme="minorHAnsi" w:hAnsiTheme="minorHAnsi"/>
                <w:bCs/>
                <w:szCs w:val="22"/>
              </w:rPr>
            </w:pPr>
          </w:p>
          <w:p w14:paraId="3E5757F6" w14:textId="0A056AE3" w:rsidR="005C0EA4" w:rsidRPr="005C0EA4" w:rsidRDefault="005C0EA4" w:rsidP="005C0EA4">
            <w:pPr>
              <w:pStyle w:val="Header"/>
              <w:tabs>
                <w:tab w:val="clear" w:pos="4153"/>
                <w:tab w:val="clear" w:pos="8306"/>
              </w:tabs>
              <w:contextualSpacing/>
              <w:jc w:val="both"/>
              <w:rPr>
                <w:rFonts w:ascii="Calibri" w:hAnsi="Calibri"/>
                <w:bCs/>
                <w:szCs w:val="22"/>
              </w:rPr>
            </w:pPr>
            <w:r w:rsidRPr="009A5D79">
              <w:rPr>
                <w:rFonts w:asciiTheme="minorHAnsi" w:hAnsiTheme="minorHAnsi"/>
                <w:bCs/>
                <w:szCs w:val="22"/>
              </w:rPr>
              <w:t xml:space="preserve">The proposal is considered contrary to Policy DMG1 of the </w:t>
            </w:r>
            <w:proofErr w:type="spellStart"/>
            <w:r w:rsidRPr="009A5D79">
              <w:rPr>
                <w:rFonts w:asciiTheme="minorHAnsi" w:hAnsiTheme="minorHAnsi"/>
                <w:bCs/>
                <w:szCs w:val="22"/>
              </w:rPr>
              <w:t>Ribble</w:t>
            </w:r>
            <w:proofErr w:type="spellEnd"/>
            <w:r w:rsidRPr="009A5D79">
              <w:rPr>
                <w:rFonts w:asciiTheme="minorHAnsi" w:hAnsiTheme="minorHAnsi"/>
                <w:bCs/>
                <w:szCs w:val="22"/>
              </w:rPr>
              <w:t xml:space="preserve"> Valley Core Strategy in</w:t>
            </w:r>
            <w:r>
              <w:rPr>
                <w:rFonts w:asciiTheme="minorHAnsi" w:hAnsiTheme="minorHAnsi"/>
                <w:bCs/>
                <w:szCs w:val="22"/>
              </w:rPr>
              <w:t xml:space="preserve">sofar that approval of the proposal would </w:t>
            </w:r>
            <w:r w:rsidRPr="005C0EA4">
              <w:rPr>
                <w:rFonts w:ascii="Calibri" w:hAnsi="Calibri"/>
                <w:bCs/>
                <w:szCs w:val="22"/>
              </w:rPr>
              <w:t xml:space="preserve">result in the introduction of an anomalous and discordant form of development that fails to respond positively to the inherent pattern and scale of adjacent </w:t>
            </w:r>
            <w:proofErr w:type="gramStart"/>
            <w:r w:rsidRPr="005C0EA4">
              <w:rPr>
                <w:rFonts w:ascii="Calibri" w:hAnsi="Calibri"/>
                <w:bCs/>
                <w:szCs w:val="22"/>
              </w:rPr>
              <w:t>built-form</w:t>
            </w:r>
            <w:proofErr w:type="gramEnd"/>
            <w:r w:rsidRPr="005C0EA4">
              <w:rPr>
                <w:rFonts w:ascii="Calibri" w:hAnsi="Calibri"/>
                <w:bCs/>
                <w:szCs w:val="22"/>
              </w:rPr>
              <w:t xml:space="preserve"> being of detriment to the character and visual amenities of the area.</w:t>
            </w:r>
          </w:p>
          <w:p w14:paraId="4197269F" w14:textId="4C1E8C41" w:rsidR="005C0EA4" w:rsidRPr="009A5D79" w:rsidRDefault="005C0EA4" w:rsidP="00813D27">
            <w:pPr>
              <w:jc w:val="both"/>
              <w:rPr>
                <w:rFonts w:asciiTheme="minorHAnsi" w:hAnsiTheme="minorHAnsi"/>
                <w:bCs/>
                <w:szCs w:val="22"/>
              </w:rPr>
            </w:pPr>
          </w:p>
        </w:tc>
      </w:tr>
    </w:tbl>
    <w:p w14:paraId="7DF2BC7A" w14:textId="77777777" w:rsidR="00ED0066" w:rsidRPr="00D2449B" w:rsidRDefault="00ED0066">
      <w:pPr>
        <w:rPr>
          <w:rFonts w:ascii="Calibri" w:hAnsi="Calibri"/>
          <w:szCs w:val="22"/>
        </w:rPr>
      </w:pPr>
    </w:p>
    <w:sectPr w:rsidR="00ED0066"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E1C8" w14:textId="77777777" w:rsidR="001D070A" w:rsidRDefault="001D070A" w:rsidP="006D0B5F">
      <w:r>
        <w:separator/>
      </w:r>
    </w:p>
  </w:endnote>
  <w:endnote w:type="continuationSeparator" w:id="0">
    <w:p w14:paraId="0F594B73" w14:textId="77777777" w:rsidR="001D070A" w:rsidRDefault="001D070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AB2D" w14:textId="77777777" w:rsidR="001D070A" w:rsidRDefault="001D070A" w:rsidP="006D0B5F">
      <w:r>
        <w:separator/>
      </w:r>
    </w:p>
  </w:footnote>
  <w:footnote w:type="continuationSeparator" w:id="0">
    <w:p w14:paraId="306943F2" w14:textId="77777777" w:rsidR="001D070A" w:rsidRDefault="001D070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A78DC"/>
    <w:multiLevelType w:val="hybridMultilevel"/>
    <w:tmpl w:val="E490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430F70"/>
    <w:multiLevelType w:val="hybridMultilevel"/>
    <w:tmpl w:val="6D028830"/>
    <w:lvl w:ilvl="0" w:tplc="CAE06E1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D37FAA"/>
    <w:multiLevelType w:val="hybridMultilevel"/>
    <w:tmpl w:val="F6F0047C"/>
    <w:lvl w:ilvl="0" w:tplc="49CA4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D50763"/>
    <w:multiLevelType w:val="hybridMultilevel"/>
    <w:tmpl w:val="04FC9700"/>
    <w:lvl w:ilvl="0" w:tplc="49CA4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1A0145"/>
    <w:multiLevelType w:val="hybridMultilevel"/>
    <w:tmpl w:val="B67C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7B76"/>
    <w:rsid w:val="00070340"/>
    <w:rsid w:val="000824B1"/>
    <w:rsid w:val="000A7CF7"/>
    <w:rsid w:val="000B5CB5"/>
    <w:rsid w:val="000E2E86"/>
    <w:rsid w:val="00123BF9"/>
    <w:rsid w:val="00130035"/>
    <w:rsid w:val="001679AA"/>
    <w:rsid w:val="00175F87"/>
    <w:rsid w:val="001A1EEC"/>
    <w:rsid w:val="001D070A"/>
    <w:rsid w:val="001D4F7A"/>
    <w:rsid w:val="00226591"/>
    <w:rsid w:val="00250879"/>
    <w:rsid w:val="00260E7F"/>
    <w:rsid w:val="002844AC"/>
    <w:rsid w:val="00284F42"/>
    <w:rsid w:val="0029334A"/>
    <w:rsid w:val="002A01CF"/>
    <w:rsid w:val="002A56EC"/>
    <w:rsid w:val="002C6277"/>
    <w:rsid w:val="002D4B42"/>
    <w:rsid w:val="002D6B08"/>
    <w:rsid w:val="002E35BD"/>
    <w:rsid w:val="002E656B"/>
    <w:rsid w:val="002F2580"/>
    <w:rsid w:val="0030140F"/>
    <w:rsid w:val="00321B6E"/>
    <w:rsid w:val="003E6680"/>
    <w:rsid w:val="0042243E"/>
    <w:rsid w:val="00424D3B"/>
    <w:rsid w:val="00440CB6"/>
    <w:rsid w:val="004823B3"/>
    <w:rsid w:val="004936A6"/>
    <w:rsid w:val="004947BB"/>
    <w:rsid w:val="004A5EA9"/>
    <w:rsid w:val="004B4AF5"/>
    <w:rsid w:val="004C2434"/>
    <w:rsid w:val="004F0649"/>
    <w:rsid w:val="00510FA2"/>
    <w:rsid w:val="0052466F"/>
    <w:rsid w:val="005362E5"/>
    <w:rsid w:val="005542F8"/>
    <w:rsid w:val="00556ECD"/>
    <w:rsid w:val="005C0EA4"/>
    <w:rsid w:val="005E1C6C"/>
    <w:rsid w:val="005E65DF"/>
    <w:rsid w:val="006271AC"/>
    <w:rsid w:val="006368B8"/>
    <w:rsid w:val="00692B60"/>
    <w:rsid w:val="006A71AD"/>
    <w:rsid w:val="006A71E6"/>
    <w:rsid w:val="006C2BFA"/>
    <w:rsid w:val="006D0B5F"/>
    <w:rsid w:val="006E2794"/>
    <w:rsid w:val="006E4794"/>
    <w:rsid w:val="006F1922"/>
    <w:rsid w:val="0070054B"/>
    <w:rsid w:val="00771251"/>
    <w:rsid w:val="00776AE2"/>
    <w:rsid w:val="007B12D6"/>
    <w:rsid w:val="007C791C"/>
    <w:rsid w:val="007C7C3B"/>
    <w:rsid w:val="007D7DF4"/>
    <w:rsid w:val="007E0D23"/>
    <w:rsid w:val="007E2138"/>
    <w:rsid w:val="00807784"/>
    <w:rsid w:val="00811771"/>
    <w:rsid w:val="00813D27"/>
    <w:rsid w:val="008542DE"/>
    <w:rsid w:val="008A28C8"/>
    <w:rsid w:val="008F5E1F"/>
    <w:rsid w:val="008F6009"/>
    <w:rsid w:val="009112A6"/>
    <w:rsid w:val="009951BF"/>
    <w:rsid w:val="009A5D79"/>
    <w:rsid w:val="00A42E82"/>
    <w:rsid w:val="00A579BB"/>
    <w:rsid w:val="00A57D5E"/>
    <w:rsid w:val="00A63D55"/>
    <w:rsid w:val="00A70FB8"/>
    <w:rsid w:val="00A9273C"/>
    <w:rsid w:val="00A95D89"/>
    <w:rsid w:val="00AB3169"/>
    <w:rsid w:val="00AB5AE9"/>
    <w:rsid w:val="00B12FA1"/>
    <w:rsid w:val="00B37C5D"/>
    <w:rsid w:val="00B4022E"/>
    <w:rsid w:val="00B825AF"/>
    <w:rsid w:val="00B93EB5"/>
    <w:rsid w:val="00BD3F03"/>
    <w:rsid w:val="00C0704D"/>
    <w:rsid w:val="00C12CEB"/>
    <w:rsid w:val="00C2499B"/>
    <w:rsid w:val="00C25722"/>
    <w:rsid w:val="00C441FA"/>
    <w:rsid w:val="00C51883"/>
    <w:rsid w:val="00C57565"/>
    <w:rsid w:val="00C615FF"/>
    <w:rsid w:val="00C618DB"/>
    <w:rsid w:val="00C64985"/>
    <w:rsid w:val="00CF37C8"/>
    <w:rsid w:val="00CF58E9"/>
    <w:rsid w:val="00D11007"/>
    <w:rsid w:val="00D20448"/>
    <w:rsid w:val="00D2449B"/>
    <w:rsid w:val="00D31FAA"/>
    <w:rsid w:val="00D54E67"/>
    <w:rsid w:val="00D6390E"/>
    <w:rsid w:val="00D869F4"/>
    <w:rsid w:val="00DD62F6"/>
    <w:rsid w:val="00DE1D56"/>
    <w:rsid w:val="00E46243"/>
    <w:rsid w:val="00E66534"/>
    <w:rsid w:val="00E72F6C"/>
    <w:rsid w:val="00EA09F9"/>
    <w:rsid w:val="00EC23C7"/>
    <w:rsid w:val="00ED0066"/>
    <w:rsid w:val="00ED00B7"/>
    <w:rsid w:val="00EF0C24"/>
    <w:rsid w:val="00EF44E6"/>
    <w:rsid w:val="00F50C11"/>
    <w:rsid w:val="00FA22FF"/>
    <w:rsid w:val="00FB2098"/>
    <w:rsid w:val="00FB7FA4"/>
    <w:rsid w:val="00FD6AE3"/>
    <w:rsid w:val="00FE6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077B"/>
  <w15:docId w15:val="{1B17C999-773A-464A-958A-02292F27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22241">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1C1B1-E054-4625-972C-8F5E8639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2022-01-28T16:33:00Z</dcterms:created>
  <dcterms:modified xsi:type="dcterms:W3CDTF">2022-01-28T16:33:00Z</dcterms:modified>
</cp:coreProperties>
</file>