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4A5EA9" w:rsidRPr="00D2449B" w14:paraId="452B3EB6"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DC1C02"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4852E80" w14:textId="77777777" w:rsidTr="00A2016F">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11989F"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8D0B2"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0B1AB2"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0C1D4B"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CC9F30"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3BF38"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CB8576"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CBC99A"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01C23B" w14:textId="77777777" w:rsidR="004936A6" w:rsidRPr="00D2449B" w:rsidRDefault="004936A6" w:rsidP="00D2449B">
            <w:pPr>
              <w:jc w:val="center"/>
              <w:rPr>
                <w:rFonts w:ascii="Calibri" w:hAnsi="Calibri"/>
                <w:b/>
                <w:szCs w:val="22"/>
              </w:rPr>
            </w:pPr>
          </w:p>
        </w:tc>
      </w:tr>
      <w:tr w:rsidR="004A5EA9" w:rsidRPr="00D2449B" w14:paraId="6063FE22" w14:textId="77777777" w:rsidTr="00A2016F">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55888B" w14:textId="77777777" w:rsidR="004A5EA9" w:rsidRPr="00D2449B" w:rsidRDefault="004A5EA9" w:rsidP="004A5EA9">
            <w:pPr>
              <w:jc w:val="center"/>
              <w:rPr>
                <w:rFonts w:ascii="Calibri" w:hAnsi="Calibri"/>
                <w:b/>
                <w:szCs w:val="22"/>
              </w:rPr>
            </w:pPr>
          </w:p>
        </w:tc>
      </w:tr>
      <w:tr w:rsidR="004A5EA9" w:rsidRPr="00D2449B" w14:paraId="3FDD2877" w14:textId="77777777"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193CAF"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39F9B7" w14:textId="49ED7E1E" w:rsidR="004A5EA9" w:rsidRPr="00250879" w:rsidRDefault="004A5EA9" w:rsidP="006009BB">
            <w:pPr>
              <w:rPr>
                <w:rFonts w:ascii="Calibri" w:hAnsi="Calibri"/>
                <w:color w:val="548DD4" w:themeColor="text2" w:themeTint="99"/>
                <w:szCs w:val="22"/>
              </w:rPr>
            </w:pPr>
            <w:r w:rsidRPr="002C6277">
              <w:rPr>
                <w:rFonts w:ascii="Calibri" w:hAnsi="Calibri"/>
                <w:szCs w:val="22"/>
              </w:rPr>
              <w:t>3/20</w:t>
            </w:r>
            <w:r w:rsidR="002B1D07">
              <w:rPr>
                <w:rFonts w:ascii="Calibri" w:hAnsi="Calibri"/>
                <w:szCs w:val="22"/>
              </w:rPr>
              <w:t>2</w:t>
            </w:r>
            <w:r w:rsidR="00742406">
              <w:rPr>
                <w:rFonts w:ascii="Calibri" w:hAnsi="Calibri"/>
                <w:szCs w:val="22"/>
              </w:rPr>
              <w:t>2</w:t>
            </w:r>
            <w:r w:rsidR="00C0704D">
              <w:rPr>
                <w:rFonts w:ascii="Calibri" w:hAnsi="Calibri"/>
                <w:szCs w:val="22"/>
              </w:rPr>
              <w:t>/</w:t>
            </w:r>
            <w:r w:rsidR="009F0288">
              <w:rPr>
                <w:rFonts w:ascii="Calibri" w:hAnsi="Calibri"/>
                <w:szCs w:val="22"/>
              </w:rPr>
              <w:t>00</w:t>
            </w:r>
            <w:r w:rsidR="00742406">
              <w:rPr>
                <w:rFonts w:ascii="Calibri" w:hAnsi="Calibri"/>
                <w:szCs w:val="22"/>
              </w:rPr>
              <w:t>97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2DA9F0"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6B5766E8" wp14:editId="1313C69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0151F5A1" w14:textId="77777777"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6633A0"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74529" w14:textId="77777777" w:rsidR="004A5EA9" w:rsidRPr="00C0704D" w:rsidRDefault="00C93E5E"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850D09" w14:textId="77777777" w:rsidR="004A5EA9" w:rsidRPr="00D2449B" w:rsidRDefault="004A5EA9">
            <w:pPr>
              <w:rPr>
                <w:rFonts w:ascii="Calibri" w:hAnsi="Calibri"/>
                <w:szCs w:val="22"/>
              </w:rPr>
            </w:pPr>
          </w:p>
        </w:tc>
      </w:tr>
      <w:tr w:rsidR="004A5EA9" w:rsidRPr="00D2449B" w14:paraId="2DD09A0A" w14:textId="77777777" w:rsidTr="00A2016F">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48CF92"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4FE2B7" w14:textId="77777777" w:rsidR="004A5EA9" w:rsidRPr="00250879" w:rsidRDefault="00A2016F" w:rsidP="00811771">
            <w:pPr>
              <w:rPr>
                <w:rFonts w:ascii="Calibri" w:hAnsi="Calibri"/>
                <w:color w:val="548DD4" w:themeColor="text2" w:themeTint="99"/>
                <w:szCs w:val="22"/>
              </w:rPr>
            </w:pPr>
            <w:r w:rsidRPr="00A2016F">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B96125" w14:textId="77777777" w:rsidR="004A5EA9" w:rsidRPr="00D2449B" w:rsidRDefault="004A5EA9">
            <w:pPr>
              <w:rPr>
                <w:rFonts w:ascii="Calibri" w:hAnsi="Calibri"/>
                <w:szCs w:val="22"/>
              </w:rPr>
            </w:pPr>
          </w:p>
        </w:tc>
      </w:tr>
      <w:tr w:rsidR="004A5EA9" w:rsidRPr="00D2449B" w14:paraId="709630B3" w14:textId="77777777" w:rsidTr="00A2016F">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B2440E"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E99F6E"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7B411C4"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D7390A"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02DE94A1"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1A83F0"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447237" w14:textId="75B9617C" w:rsidR="004A5EA9" w:rsidRPr="002C6277" w:rsidRDefault="00742406" w:rsidP="00C93E5E">
            <w:pPr>
              <w:jc w:val="both"/>
              <w:rPr>
                <w:rFonts w:ascii="Calibri" w:hAnsi="Calibri"/>
                <w:szCs w:val="22"/>
              </w:rPr>
            </w:pPr>
            <w:r w:rsidRPr="00742406">
              <w:rPr>
                <w:rFonts w:ascii="Calibri" w:hAnsi="Calibri"/>
                <w:szCs w:val="22"/>
              </w:rPr>
              <w:t>Application to establish lawful extension of domestic curtilage to the rear.</w:t>
            </w:r>
          </w:p>
        </w:tc>
      </w:tr>
      <w:tr w:rsidR="002A01CF" w:rsidRPr="00D2449B" w14:paraId="4DDA8E99"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FF8A680"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185750" w14:textId="6C8D8574" w:rsidR="002A01CF" w:rsidRPr="00742406" w:rsidRDefault="00742406" w:rsidP="00A42E82">
            <w:pPr>
              <w:rPr>
                <w:rFonts w:ascii="Calibri" w:hAnsi="Calibri"/>
                <w:b/>
                <w:bCs/>
                <w:szCs w:val="22"/>
              </w:rPr>
            </w:pPr>
            <w:r w:rsidRPr="00742406">
              <w:rPr>
                <w:rStyle w:val="Strong"/>
                <w:rFonts w:ascii="Helvetica" w:hAnsi="Helvetica" w:cs="Helvetica"/>
                <w:b w:val="0"/>
                <w:bCs w:val="0"/>
                <w:color w:val="333333"/>
                <w:sz w:val="20"/>
                <w:bdr w:val="none" w:sz="0" w:space="0" w:color="auto" w:frame="1"/>
                <w:shd w:val="clear" w:color="auto" w:fill="FFFFFF"/>
              </w:rPr>
              <w:t>Calderdale 7 Portfield Bar Whalley BB7 9DL</w:t>
            </w:r>
          </w:p>
        </w:tc>
      </w:tr>
      <w:tr w:rsidR="00A95D89" w:rsidRPr="00D2449B" w14:paraId="3626B21C"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9D6B35"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C7ED3C4"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8BBE8E"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1A1404"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5B1F0436"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8ED8C6" w14:textId="77777777" w:rsidR="002A01CF" w:rsidRPr="00D2449B" w:rsidRDefault="00A2016F">
            <w:pPr>
              <w:rPr>
                <w:rFonts w:ascii="Calibri" w:hAnsi="Calibri"/>
                <w:b/>
                <w:szCs w:val="22"/>
              </w:rPr>
            </w:pPr>
            <w:r>
              <w:rPr>
                <w:rFonts w:ascii="Calibri" w:hAnsi="Calibri"/>
                <w:b/>
                <w:szCs w:val="22"/>
              </w:rPr>
              <w:t>N/A</w:t>
            </w:r>
          </w:p>
        </w:tc>
      </w:tr>
      <w:tr w:rsidR="00C618DB" w:rsidRPr="00D2449B" w14:paraId="7D26D025"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FF1751E" w14:textId="77777777" w:rsidR="00C618DB" w:rsidRPr="00D2449B" w:rsidRDefault="00C618DB">
            <w:pPr>
              <w:rPr>
                <w:rFonts w:ascii="Calibri" w:hAnsi="Calibri"/>
                <w:bCs/>
                <w:szCs w:val="22"/>
              </w:rPr>
            </w:pPr>
          </w:p>
        </w:tc>
      </w:tr>
      <w:tr w:rsidR="00C618DB" w:rsidRPr="00D2449B" w14:paraId="4EAFCA14"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0C09E2"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9E4196A"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39A76AC"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E8418C" w14:textId="77777777" w:rsidR="002A01CF" w:rsidRPr="00D2449B" w:rsidRDefault="00A2016F">
            <w:pPr>
              <w:rPr>
                <w:rFonts w:ascii="Calibri" w:hAnsi="Calibri"/>
                <w:b/>
                <w:szCs w:val="22"/>
              </w:rPr>
            </w:pPr>
            <w:r>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27815D" w14:textId="77777777" w:rsidR="002A01CF" w:rsidRPr="00D2449B" w:rsidRDefault="002A01CF">
            <w:pPr>
              <w:rPr>
                <w:rFonts w:ascii="Calibri" w:hAnsi="Calibri"/>
                <w:b/>
                <w:szCs w:val="22"/>
              </w:rPr>
            </w:pPr>
          </w:p>
        </w:tc>
      </w:tr>
      <w:tr w:rsidR="00C0704D" w:rsidRPr="00D2449B" w14:paraId="489CC679"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76C91" w14:textId="77777777" w:rsidR="00C0704D" w:rsidRPr="00C0704D" w:rsidRDefault="00A2016F" w:rsidP="00D74711">
            <w:pPr>
              <w:rPr>
                <w:rFonts w:ascii="Calibri" w:hAnsi="Calibri"/>
                <w:szCs w:val="22"/>
              </w:rPr>
            </w:pPr>
            <w:r>
              <w:rPr>
                <w:rFonts w:ascii="Calibri" w:hAnsi="Calibri"/>
                <w:szCs w:val="22"/>
              </w:rPr>
              <w:t>N/A</w:t>
            </w:r>
          </w:p>
        </w:tc>
      </w:tr>
      <w:tr w:rsidR="00C0704D" w:rsidRPr="00D2449B" w14:paraId="16FE7303" w14:textId="77777777" w:rsidTr="00A2016F">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76FAF4"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864B2B"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17DAE9BF"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A8EEB05" w14:textId="77777777" w:rsidR="00C0704D" w:rsidRPr="00C0704D" w:rsidRDefault="00A2016F" w:rsidP="00692B60">
            <w:pPr>
              <w:rPr>
                <w:rFonts w:ascii="Calibri" w:hAnsi="Calibri"/>
                <w:szCs w:val="22"/>
              </w:rPr>
            </w:pPr>
            <w:r>
              <w:rPr>
                <w:rFonts w:ascii="Calibri" w:hAnsi="Calibri"/>
                <w:szCs w:val="22"/>
              </w:rPr>
              <w:t>N/A</w:t>
            </w:r>
          </w:p>
        </w:tc>
      </w:tr>
      <w:tr w:rsidR="00C0704D" w:rsidRPr="00D2449B" w14:paraId="4EF1808A"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4461070" w14:textId="77777777" w:rsidR="00C0704D" w:rsidRPr="00D2449B" w:rsidRDefault="00C0704D">
            <w:pPr>
              <w:rPr>
                <w:rFonts w:ascii="Calibri" w:hAnsi="Calibri"/>
                <w:color w:val="FF0000"/>
                <w:szCs w:val="22"/>
              </w:rPr>
            </w:pPr>
          </w:p>
        </w:tc>
      </w:tr>
      <w:tr w:rsidR="00C0704D" w:rsidRPr="00D2449B" w14:paraId="361D7D6D"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DCFE88"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0D098C1B"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18628" w14:textId="77777777" w:rsidR="00C0704D" w:rsidRDefault="00C0704D" w:rsidP="00C0704D">
            <w:pPr>
              <w:rPr>
                <w:rFonts w:ascii="Calibri" w:hAnsi="Calibri"/>
                <w:b/>
                <w:szCs w:val="22"/>
              </w:rPr>
            </w:pPr>
          </w:p>
          <w:p w14:paraId="4C6471EA" w14:textId="77777777" w:rsidR="00A2016F" w:rsidRDefault="00A2016F" w:rsidP="00A2016F">
            <w:pPr>
              <w:rPr>
                <w:rFonts w:ascii="Calibri" w:hAnsi="Calibri"/>
                <w:szCs w:val="22"/>
              </w:rPr>
            </w:pPr>
            <w:r w:rsidRPr="00A2016F">
              <w:rPr>
                <w:rFonts w:ascii="Calibri" w:hAnsi="Calibri"/>
                <w:szCs w:val="22"/>
              </w:rPr>
              <w:t>Sec</w:t>
            </w:r>
            <w:r>
              <w:rPr>
                <w:rFonts w:ascii="Calibri" w:hAnsi="Calibri"/>
                <w:szCs w:val="22"/>
              </w:rPr>
              <w:t xml:space="preserve">tion </w:t>
            </w:r>
            <w:r w:rsidR="00386DA0">
              <w:rPr>
                <w:rFonts w:ascii="Calibri" w:hAnsi="Calibri"/>
                <w:szCs w:val="22"/>
              </w:rPr>
              <w:t xml:space="preserve">171(B) </w:t>
            </w:r>
            <w:r w:rsidRPr="00A2016F">
              <w:rPr>
                <w:rFonts w:ascii="Calibri" w:hAnsi="Calibri"/>
                <w:szCs w:val="22"/>
              </w:rPr>
              <w:t>of the Tow</w:t>
            </w:r>
            <w:r>
              <w:rPr>
                <w:rFonts w:ascii="Calibri" w:hAnsi="Calibri"/>
                <w:szCs w:val="22"/>
              </w:rPr>
              <w:t>n and Country Planning Act 1990.</w:t>
            </w:r>
          </w:p>
          <w:p w14:paraId="0AC04451" w14:textId="77777777" w:rsidR="00A2016F" w:rsidRPr="00D2449B" w:rsidRDefault="00A2016F" w:rsidP="00742406">
            <w:pPr>
              <w:rPr>
                <w:rFonts w:ascii="Calibri" w:hAnsi="Calibri"/>
                <w:b/>
                <w:szCs w:val="22"/>
              </w:rPr>
            </w:pPr>
          </w:p>
        </w:tc>
      </w:tr>
      <w:tr w:rsidR="00C0704D" w:rsidRPr="00D2449B" w14:paraId="279EC57F" w14:textId="77777777" w:rsidTr="00A2016F">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508F85" w14:textId="77777777" w:rsidR="00C0704D" w:rsidRPr="006A71AD" w:rsidRDefault="00C0704D" w:rsidP="006A71AD">
            <w:pPr>
              <w:pStyle w:val="PLANNING"/>
              <w:rPr>
                <w:rFonts w:ascii="Calibri" w:hAnsi="Calibri"/>
                <w:b/>
                <w:bCs/>
                <w:szCs w:val="22"/>
              </w:rPr>
            </w:pPr>
          </w:p>
        </w:tc>
      </w:tr>
      <w:tr w:rsidR="00C0704D" w:rsidRPr="00D2449B" w14:paraId="7E6F1C30"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0B6D5C"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0EC2B77C"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995F5E"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1EC4B6D" w14:textId="77777777" w:rsidR="00C0704D" w:rsidRDefault="00C0704D" w:rsidP="00440CB6">
            <w:pPr>
              <w:pStyle w:val="Header"/>
              <w:tabs>
                <w:tab w:val="clear" w:pos="4153"/>
                <w:tab w:val="clear" w:pos="8306"/>
              </w:tabs>
              <w:jc w:val="both"/>
              <w:rPr>
                <w:rFonts w:ascii="Calibri" w:hAnsi="Calibri"/>
                <w:b/>
                <w:szCs w:val="22"/>
              </w:rPr>
            </w:pPr>
          </w:p>
          <w:p w14:paraId="011669DF" w14:textId="274920CD" w:rsidR="00A2016F" w:rsidRDefault="00A2016F" w:rsidP="00A2016F">
            <w:pPr>
              <w:pStyle w:val="Header"/>
              <w:tabs>
                <w:tab w:val="clear" w:pos="4153"/>
                <w:tab w:val="clear" w:pos="8306"/>
              </w:tabs>
              <w:jc w:val="both"/>
              <w:rPr>
                <w:rStyle w:val="Strong"/>
                <w:rFonts w:ascii="Helvetica" w:hAnsi="Helvetica" w:cs="Helvetica"/>
                <w:b w:val="0"/>
                <w:bCs w:val="0"/>
                <w:color w:val="333333"/>
                <w:sz w:val="20"/>
                <w:bdr w:val="none" w:sz="0" w:space="0" w:color="auto" w:frame="1"/>
                <w:shd w:val="clear" w:color="auto" w:fill="FFFFFF"/>
              </w:rPr>
            </w:pPr>
            <w:r w:rsidRPr="005740EB">
              <w:rPr>
                <w:rFonts w:ascii="Calibri" w:hAnsi="Calibri"/>
                <w:szCs w:val="22"/>
              </w:rPr>
              <w:t xml:space="preserve">The application seeks </w:t>
            </w:r>
            <w:r w:rsidR="005740EB" w:rsidRPr="005740EB">
              <w:rPr>
                <w:rFonts w:ascii="Calibri" w:hAnsi="Calibri"/>
                <w:szCs w:val="22"/>
              </w:rPr>
              <w:t xml:space="preserve">to </w:t>
            </w:r>
            <w:r w:rsidR="002B1D07">
              <w:rPr>
                <w:rFonts w:ascii="Calibri" w:hAnsi="Calibri"/>
                <w:szCs w:val="22"/>
              </w:rPr>
              <w:t>establish the lawful use of a</w:t>
            </w:r>
            <w:r w:rsidR="000B5176">
              <w:rPr>
                <w:rFonts w:ascii="Calibri" w:hAnsi="Calibri"/>
                <w:szCs w:val="22"/>
              </w:rPr>
              <w:t>n area of land associated with ‘</w:t>
            </w:r>
            <w:r w:rsidR="000B5176" w:rsidRPr="00742406">
              <w:rPr>
                <w:rStyle w:val="Strong"/>
                <w:rFonts w:ascii="Helvetica" w:hAnsi="Helvetica" w:cs="Helvetica"/>
                <w:b w:val="0"/>
                <w:bCs w:val="0"/>
                <w:color w:val="333333"/>
                <w:sz w:val="20"/>
                <w:bdr w:val="none" w:sz="0" w:space="0" w:color="auto" w:frame="1"/>
                <w:shd w:val="clear" w:color="auto" w:fill="FFFFFF"/>
              </w:rPr>
              <w:t>Calderdale</w:t>
            </w:r>
            <w:r w:rsidR="000B5176">
              <w:rPr>
                <w:rStyle w:val="Strong"/>
                <w:rFonts w:ascii="Helvetica" w:hAnsi="Helvetica" w:cs="Helvetica"/>
                <w:b w:val="0"/>
                <w:bCs w:val="0"/>
                <w:color w:val="333333"/>
                <w:sz w:val="20"/>
                <w:bdr w:val="none" w:sz="0" w:space="0" w:color="auto" w:frame="1"/>
                <w:shd w:val="clear" w:color="auto" w:fill="FFFFFF"/>
              </w:rPr>
              <w:t>’</w:t>
            </w:r>
            <w:r w:rsidR="000B5176" w:rsidRPr="00742406">
              <w:rPr>
                <w:rStyle w:val="Strong"/>
                <w:rFonts w:ascii="Helvetica" w:hAnsi="Helvetica" w:cs="Helvetica"/>
                <w:b w:val="0"/>
                <w:bCs w:val="0"/>
                <w:color w:val="333333"/>
                <w:sz w:val="20"/>
                <w:bdr w:val="none" w:sz="0" w:space="0" w:color="auto" w:frame="1"/>
                <w:shd w:val="clear" w:color="auto" w:fill="FFFFFF"/>
              </w:rPr>
              <w:t xml:space="preserve"> 7 Portfield Bar</w:t>
            </w:r>
            <w:r w:rsidR="000B5176">
              <w:rPr>
                <w:rStyle w:val="Strong"/>
                <w:rFonts w:ascii="Helvetica" w:hAnsi="Helvetica" w:cs="Helvetica"/>
                <w:b w:val="0"/>
                <w:bCs w:val="0"/>
                <w:color w:val="333333"/>
                <w:sz w:val="20"/>
                <w:bdr w:val="none" w:sz="0" w:space="0" w:color="auto" w:frame="1"/>
                <w:shd w:val="clear" w:color="auto" w:fill="FFFFFF"/>
              </w:rPr>
              <w:t xml:space="preserve">, </w:t>
            </w:r>
            <w:r w:rsidR="000B5176" w:rsidRPr="00742406">
              <w:rPr>
                <w:rStyle w:val="Strong"/>
                <w:rFonts w:ascii="Helvetica" w:hAnsi="Helvetica" w:cs="Helvetica"/>
                <w:b w:val="0"/>
                <w:bCs w:val="0"/>
                <w:color w:val="333333"/>
                <w:sz w:val="20"/>
                <w:bdr w:val="none" w:sz="0" w:space="0" w:color="auto" w:frame="1"/>
                <w:shd w:val="clear" w:color="auto" w:fill="FFFFFF"/>
              </w:rPr>
              <w:t>Whalley</w:t>
            </w:r>
            <w:r w:rsidR="000B5176">
              <w:rPr>
                <w:rStyle w:val="Strong"/>
                <w:rFonts w:ascii="Helvetica" w:hAnsi="Helvetica" w:cs="Helvetica"/>
                <w:b w:val="0"/>
                <w:bCs w:val="0"/>
                <w:color w:val="333333"/>
                <w:sz w:val="20"/>
                <w:bdr w:val="none" w:sz="0" w:space="0" w:color="auto" w:frame="1"/>
                <w:shd w:val="clear" w:color="auto" w:fill="FFFFFF"/>
              </w:rPr>
              <w:t xml:space="preserve"> </w:t>
            </w:r>
            <w:r w:rsidR="000B5176" w:rsidRPr="000B5176">
              <w:rPr>
                <w:rStyle w:val="Strong"/>
                <w:rFonts w:ascii="Helvetica" w:hAnsi="Helvetica" w:cs="Helvetica"/>
                <w:b w:val="0"/>
                <w:bCs w:val="0"/>
                <w:color w:val="333333"/>
                <w:sz w:val="20"/>
                <w:bdr w:val="none" w:sz="0" w:space="0" w:color="auto" w:frame="1"/>
                <w:shd w:val="clear" w:color="auto" w:fill="FFFFFF"/>
              </w:rPr>
              <w:t>as that of private residential garden area.</w:t>
            </w:r>
          </w:p>
          <w:p w14:paraId="53E8383F" w14:textId="77777777" w:rsidR="00A2016F" w:rsidRPr="00D54E67" w:rsidRDefault="00A2016F" w:rsidP="002F2580">
            <w:pPr>
              <w:rPr>
                <w:rFonts w:ascii="Calibri" w:hAnsi="Calibri"/>
                <w:szCs w:val="22"/>
              </w:rPr>
            </w:pPr>
          </w:p>
        </w:tc>
      </w:tr>
      <w:tr w:rsidR="00C0704D" w:rsidRPr="00D2449B" w14:paraId="523A5690" w14:textId="77777777" w:rsidTr="00A2016F">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05D2E2"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7D7802D6" w14:textId="77777777" w:rsidR="00C0704D" w:rsidRDefault="00C0704D" w:rsidP="00EA09F9">
            <w:pPr>
              <w:contextualSpacing/>
              <w:jc w:val="both"/>
              <w:rPr>
                <w:rFonts w:ascii="Calibri" w:hAnsi="Calibri"/>
                <w:b/>
                <w:bCs/>
                <w:szCs w:val="22"/>
              </w:rPr>
            </w:pPr>
          </w:p>
          <w:p w14:paraId="0011CAAD" w14:textId="77777777" w:rsidR="00A2016F" w:rsidRPr="00B0194F" w:rsidRDefault="00A2016F" w:rsidP="00EA09F9">
            <w:pPr>
              <w:contextualSpacing/>
              <w:jc w:val="both"/>
              <w:rPr>
                <w:rFonts w:ascii="Calibri" w:hAnsi="Calibri"/>
                <w:bCs/>
                <w:szCs w:val="22"/>
              </w:rPr>
            </w:pPr>
            <w:r w:rsidRPr="00B0194F">
              <w:rPr>
                <w:rFonts w:ascii="Calibri" w:hAnsi="Calibri"/>
                <w:bCs/>
                <w:szCs w:val="22"/>
              </w:rPr>
              <w:t xml:space="preserve">Section </w:t>
            </w:r>
            <w:r w:rsidR="00386DA0">
              <w:rPr>
                <w:rFonts w:ascii="Calibri" w:hAnsi="Calibri"/>
                <w:bCs/>
                <w:szCs w:val="22"/>
              </w:rPr>
              <w:t>171(B)</w:t>
            </w:r>
            <w:r w:rsidRPr="00B0194F">
              <w:rPr>
                <w:rFonts w:ascii="Calibri" w:hAnsi="Calibri"/>
                <w:bCs/>
                <w:szCs w:val="22"/>
              </w:rPr>
              <w:t xml:space="preserve"> of The Act </w:t>
            </w:r>
            <w:r w:rsidR="00386DA0">
              <w:rPr>
                <w:rFonts w:ascii="Calibri" w:hAnsi="Calibri"/>
                <w:bCs/>
                <w:szCs w:val="22"/>
              </w:rPr>
              <w:t xml:space="preserve">provides timescales whereby unauthorised development becomes immune from enforcement action and as such becomes lawful </w:t>
            </w:r>
            <w:r w:rsidRPr="00B0194F">
              <w:rPr>
                <w:rFonts w:ascii="Calibri" w:hAnsi="Calibri"/>
                <w:bCs/>
                <w:szCs w:val="22"/>
              </w:rPr>
              <w:t>as follows:</w:t>
            </w:r>
          </w:p>
          <w:p w14:paraId="4598F6EF" w14:textId="77777777" w:rsidR="00A2016F" w:rsidRPr="00B0194F" w:rsidRDefault="00A2016F" w:rsidP="00A2016F">
            <w:pPr>
              <w:contextualSpacing/>
              <w:jc w:val="both"/>
              <w:rPr>
                <w:rFonts w:ascii="Calibri" w:hAnsi="Calibri"/>
                <w:bCs/>
                <w:szCs w:val="22"/>
              </w:rPr>
            </w:pPr>
          </w:p>
          <w:p w14:paraId="18460F7C"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Where there has been a breach of planning control consisting in the carrying out without planning permission of building, engineering, mining or other operations in, on, over or under land, no enforcement action may be taken after the end of the period of four years beginning with the date on which the operations were substantially completed.</w:t>
            </w:r>
          </w:p>
          <w:p w14:paraId="52CCD54C" w14:textId="77777777" w:rsidR="00386DA0" w:rsidRPr="00386DA0" w:rsidRDefault="00386DA0" w:rsidP="00386DA0">
            <w:pPr>
              <w:pStyle w:val="ListParagraph"/>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p>
          <w:p w14:paraId="171FA8DE"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lastRenderedPageBreak/>
              <w:t>Where there has been a breach of planning control consisting in the change of use of any building to use as a single dwellinghouse, no enforcement action may be taken after the end of the period of four years beginning with the date of the breach.</w:t>
            </w:r>
          </w:p>
          <w:p w14:paraId="349E0179" w14:textId="77777777" w:rsidR="00386DA0" w:rsidRPr="00386DA0" w:rsidRDefault="00386DA0" w:rsidP="00386DA0">
            <w:pPr>
              <w:pStyle w:val="ListParagraph"/>
              <w:rPr>
                <w:rFonts w:ascii="Calibri" w:hAnsi="Calibri" w:cs="Arial"/>
                <w:i/>
                <w:color w:val="000000"/>
                <w:szCs w:val="22"/>
                <w:lang w:val="en" w:eastAsia="en-GB"/>
              </w:rPr>
            </w:pPr>
          </w:p>
          <w:p w14:paraId="2CAB5AF8"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In the case of any other breach of planning control, no enforcement action may be taken after the end of the period of ten years beginning with the date of the breach.</w:t>
            </w:r>
          </w:p>
          <w:p w14:paraId="44CDB808" w14:textId="77777777" w:rsidR="00386DA0" w:rsidRPr="00386DA0" w:rsidRDefault="00386DA0" w:rsidP="00386DA0">
            <w:pPr>
              <w:pStyle w:val="ListParagraph"/>
              <w:rPr>
                <w:rFonts w:ascii="Calibri" w:hAnsi="Calibri" w:cs="Arial"/>
                <w:i/>
                <w:color w:val="000000"/>
                <w:szCs w:val="22"/>
                <w:lang w:val="en" w:eastAsia="en-GB"/>
              </w:rPr>
            </w:pPr>
          </w:p>
          <w:p w14:paraId="2319DFE1" w14:textId="77777777" w:rsidR="00386DA0" w:rsidRPr="00386DA0" w:rsidRDefault="00386DA0" w:rsidP="00386DA0">
            <w:pPr>
              <w:pStyle w:val="ListParagraph"/>
              <w:numPr>
                <w:ilvl w:val="0"/>
                <w:numId w:val="2"/>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preceding subsections do not prevent—</w:t>
            </w:r>
          </w:p>
          <w:p w14:paraId="32AE6D77" w14:textId="77777777" w:rsidR="00386DA0" w:rsidRPr="00386DA0" w:rsidRDefault="00386DA0" w:rsidP="00386DA0">
            <w:pPr>
              <w:pStyle w:val="ListParagraph"/>
              <w:rPr>
                <w:rFonts w:ascii="Calibri" w:hAnsi="Calibri" w:cs="Arial"/>
                <w:i/>
                <w:color w:val="000000"/>
                <w:szCs w:val="22"/>
                <w:lang w:val="en" w:eastAsia="en-GB"/>
              </w:rPr>
            </w:pPr>
          </w:p>
          <w:p w14:paraId="68AA46F2" w14:textId="77777777" w:rsidR="00386DA0" w:rsidRPr="00386DA0" w:rsidRDefault="00386DA0" w:rsidP="00386DA0">
            <w:pPr>
              <w:pStyle w:val="ListParagraph"/>
              <w:numPr>
                <w:ilvl w:val="0"/>
                <w:numId w:val="3"/>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the service of a breach of condition notice in respect of any breach of planning control if an enforcement notice in respect of the breach is in effect; or</w:t>
            </w:r>
          </w:p>
          <w:p w14:paraId="67708E26" w14:textId="77777777" w:rsidR="00386DA0" w:rsidRPr="00386DA0" w:rsidRDefault="00386DA0" w:rsidP="00386DA0">
            <w:pPr>
              <w:pStyle w:val="ListParagraph"/>
              <w:numPr>
                <w:ilvl w:val="0"/>
                <w:numId w:val="3"/>
              </w:numPr>
              <w:shd w:val="clear" w:color="auto" w:fill="FFFFFF"/>
              <w:overflowPunct/>
              <w:autoSpaceDE/>
              <w:autoSpaceDN/>
              <w:adjustRightInd/>
              <w:spacing w:after="120" w:line="360" w:lineRule="atLeast"/>
              <w:jc w:val="both"/>
              <w:textAlignment w:val="auto"/>
              <w:rPr>
                <w:rFonts w:ascii="Calibri" w:hAnsi="Calibri" w:cs="Arial"/>
                <w:i/>
                <w:color w:val="000000"/>
                <w:szCs w:val="22"/>
                <w:lang w:val="en" w:eastAsia="en-GB"/>
              </w:rPr>
            </w:pPr>
            <w:r w:rsidRPr="00386DA0">
              <w:rPr>
                <w:rFonts w:ascii="Calibri" w:hAnsi="Calibri" w:cs="Arial"/>
                <w:i/>
                <w:color w:val="000000"/>
                <w:szCs w:val="22"/>
                <w:lang w:val="en" w:eastAsia="en-GB"/>
              </w:rPr>
              <w:t>taking further enforcement action in respect of any breach of planning control if, during the period of four years ending with that action being taken, the local planning authority have taken or purported to take enforcement action in respect of that breach.</w:t>
            </w:r>
          </w:p>
          <w:p w14:paraId="640A38A5" w14:textId="77777777" w:rsidR="00386DA0" w:rsidRDefault="00386DA0" w:rsidP="00DD62F6">
            <w:pPr>
              <w:contextualSpacing/>
              <w:rPr>
                <w:rFonts w:ascii="Calibri" w:hAnsi="Calibri"/>
                <w:b/>
                <w:bCs/>
                <w:szCs w:val="22"/>
              </w:rPr>
            </w:pPr>
          </w:p>
          <w:p w14:paraId="772C00E8" w14:textId="34F5502B" w:rsidR="00794E7A" w:rsidRPr="000B5176" w:rsidRDefault="003C4F57" w:rsidP="00522198">
            <w:pPr>
              <w:contextualSpacing/>
              <w:jc w:val="both"/>
              <w:rPr>
                <w:rFonts w:ascii="Calibri" w:hAnsi="Calibri"/>
                <w:bCs/>
                <w:szCs w:val="22"/>
              </w:rPr>
            </w:pPr>
            <w:r w:rsidRPr="000B5176">
              <w:rPr>
                <w:rFonts w:ascii="Calibri" w:hAnsi="Calibri"/>
                <w:bCs/>
                <w:szCs w:val="22"/>
              </w:rPr>
              <w:t xml:space="preserve">The applicant has submitted supporting information </w:t>
            </w:r>
            <w:r w:rsidR="00530E27" w:rsidRPr="000B5176">
              <w:rPr>
                <w:rFonts w:ascii="Calibri" w:hAnsi="Calibri"/>
                <w:bCs/>
                <w:szCs w:val="22"/>
              </w:rPr>
              <w:t xml:space="preserve">to support the claim </w:t>
            </w:r>
            <w:r w:rsidR="000B5176" w:rsidRPr="000B5176">
              <w:rPr>
                <w:rFonts w:ascii="Calibri" w:hAnsi="Calibri"/>
                <w:bCs/>
                <w:szCs w:val="22"/>
              </w:rPr>
              <w:t>that the are of land, as indicated on the submitted location plan, has been utilised as private garden area for a period in excess of 10 years.</w:t>
            </w:r>
            <w:r w:rsidR="00794E7A" w:rsidRPr="000B5176">
              <w:rPr>
                <w:rFonts w:ascii="Calibri" w:hAnsi="Calibri"/>
                <w:bCs/>
                <w:szCs w:val="22"/>
              </w:rPr>
              <w:t xml:space="preserve">  </w:t>
            </w:r>
          </w:p>
          <w:p w14:paraId="6E2BC4DB" w14:textId="77777777" w:rsidR="00794E7A" w:rsidRPr="000C1119" w:rsidRDefault="00794E7A" w:rsidP="00522198">
            <w:pPr>
              <w:contextualSpacing/>
              <w:jc w:val="both"/>
              <w:rPr>
                <w:rFonts w:ascii="Calibri" w:hAnsi="Calibri"/>
                <w:bCs/>
                <w:color w:val="FF0000"/>
                <w:szCs w:val="22"/>
              </w:rPr>
            </w:pPr>
          </w:p>
          <w:p w14:paraId="202BFA13" w14:textId="77777777" w:rsidR="00EC3D16" w:rsidRPr="000B5176" w:rsidRDefault="00794E7A" w:rsidP="00522198">
            <w:pPr>
              <w:contextualSpacing/>
              <w:jc w:val="both"/>
              <w:rPr>
                <w:rFonts w:ascii="Calibri" w:hAnsi="Calibri"/>
                <w:bCs/>
                <w:szCs w:val="22"/>
              </w:rPr>
            </w:pPr>
            <w:r w:rsidRPr="000B5176">
              <w:rPr>
                <w:rFonts w:ascii="Calibri" w:hAnsi="Calibri"/>
                <w:bCs/>
                <w:szCs w:val="22"/>
              </w:rPr>
              <w:t xml:space="preserve">The submitted information </w:t>
            </w:r>
            <w:r w:rsidR="009F0288" w:rsidRPr="000B5176">
              <w:rPr>
                <w:rFonts w:ascii="Calibri" w:hAnsi="Calibri"/>
                <w:bCs/>
                <w:szCs w:val="22"/>
              </w:rPr>
              <w:t>can be summarised as follows:</w:t>
            </w:r>
          </w:p>
          <w:p w14:paraId="52256FC3" w14:textId="77777777" w:rsidR="00794E7A" w:rsidRPr="000C1119" w:rsidRDefault="00794E7A" w:rsidP="00522198">
            <w:pPr>
              <w:contextualSpacing/>
              <w:jc w:val="both"/>
              <w:rPr>
                <w:rFonts w:ascii="Calibri" w:hAnsi="Calibri"/>
                <w:bCs/>
                <w:color w:val="FF0000"/>
                <w:szCs w:val="22"/>
              </w:rPr>
            </w:pPr>
          </w:p>
          <w:p w14:paraId="013D62E9" w14:textId="06246D39" w:rsidR="00794E7A" w:rsidRPr="00802362" w:rsidRDefault="000B5176" w:rsidP="00794E7A">
            <w:pPr>
              <w:pStyle w:val="ListParagraph"/>
              <w:numPr>
                <w:ilvl w:val="0"/>
                <w:numId w:val="4"/>
              </w:numPr>
              <w:jc w:val="both"/>
              <w:rPr>
                <w:rFonts w:ascii="Calibri" w:hAnsi="Calibri"/>
                <w:bCs/>
                <w:szCs w:val="22"/>
              </w:rPr>
            </w:pPr>
            <w:r w:rsidRPr="00802362">
              <w:rPr>
                <w:rFonts w:ascii="Calibri" w:hAnsi="Calibri"/>
                <w:bCs/>
                <w:szCs w:val="22"/>
              </w:rPr>
              <w:t>Historic photographs of the garden area dating back to 2007 and 2010</w:t>
            </w:r>
          </w:p>
          <w:p w14:paraId="7EF3E60E" w14:textId="3327DB14" w:rsidR="000B5176" w:rsidRPr="00802362" w:rsidRDefault="000B5176" w:rsidP="00794E7A">
            <w:pPr>
              <w:pStyle w:val="ListParagraph"/>
              <w:numPr>
                <w:ilvl w:val="0"/>
                <w:numId w:val="4"/>
              </w:numPr>
              <w:jc w:val="both"/>
              <w:rPr>
                <w:rFonts w:ascii="Calibri" w:hAnsi="Calibri"/>
                <w:bCs/>
                <w:szCs w:val="22"/>
              </w:rPr>
            </w:pPr>
            <w:r w:rsidRPr="00802362">
              <w:rPr>
                <w:rFonts w:ascii="Calibri" w:hAnsi="Calibri"/>
                <w:bCs/>
                <w:szCs w:val="22"/>
              </w:rPr>
              <w:t xml:space="preserve">Historic aerial photography </w:t>
            </w:r>
            <w:r w:rsidR="00802362" w:rsidRPr="00802362">
              <w:rPr>
                <w:rFonts w:ascii="Calibri" w:hAnsi="Calibri"/>
                <w:bCs/>
                <w:szCs w:val="22"/>
              </w:rPr>
              <w:t>demonstrating garden use dating back to 2011</w:t>
            </w:r>
          </w:p>
          <w:p w14:paraId="0C980194" w14:textId="77777777" w:rsidR="002B1D07" w:rsidRDefault="002B1D07" w:rsidP="00522198">
            <w:pPr>
              <w:contextualSpacing/>
              <w:jc w:val="both"/>
              <w:rPr>
                <w:rFonts w:ascii="Calibri" w:hAnsi="Calibri"/>
                <w:bCs/>
                <w:szCs w:val="22"/>
              </w:rPr>
            </w:pPr>
          </w:p>
          <w:p w14:paraId="3E81467C" w14:textId="0AEF3EFB" w:rsidR="00EC3D16" w:rsidRPr="000B5176" w:rsidRDefault="00EC3D16" w:rsidP="00522198">
            <w:pPr>
              <w:contextualSpacing/>
              <w:jc w:val="both"/>
              <w:rPr>
                <w:rFonts w:ascii="Calibri" w:hAnsi="Calibri"/>
                <w:bCs/>
                <w:szCs w:val="22"/>
              </w:rPr>
            </w:pPr>
            <w:r w:rsidRPr="000B5176">
              <w:rPr>
                <w:rFonts w:ascii="Calibri" w:hAnsi="Calibri"/>
                <w:bCs/>
                <w:szCs w:val="22"/>
              </w:rPr>
              <w:t>Taking into account the submitted supporting information and i</w:t>
            </w:r>
            <w:r w:rsidR="0070061A" w:rsidRPr="000B5176">
              <w:rPr>
                <w:rFonts w:ascii="Calibri" w:hAnsi="Calibri"/>
                <w:bCs/>
                <w:szCs w:val="22"/>
              </w:rPr>
              <w:t xml:space="preserve">n the absence of any other evidence to suggest otherwise, it is considered that the </w:t>
            </w:r>
            <w:r w:rsidR="000B5176" w:rsidRPr="000B5176">
              <w:rPr>
                <w:rFonts w:ascii="Calibri" w:hAnsi="Calibri"/>
                <w:bCs/>
                <w:szCs w:val="22"/>
              </w:rPr>
              <w:t xml:space="preserve">land has been used as private residential garden area, </w:t>
            </w:r>
            <w:r w:rsidR="000B5176" w:rsidRPr="000B5176">
              <w:rPr>
                <w:rFonts w:ascii="Calibri" w:hAnsi="Calibri"/>
                <w:szCs w:val="22"/>
              </w:rPr>
              <w:t>in association with ‘Calderdale’ 7 Portfield Bar BB7 9DL, for a period in excess of ten years.</w:t>
            </w:r>
          </w:p>
          <w:p w14:paraId="4E84A853" w14:textId="77777777" w:rsidR="008B7CD9" w:rsidRDefault="008B7CD9" w:rsidP="000B5176">
            <w:pPr>
              <w:jc w:val="both"/>
              <w:rPr>
                <w:rFonts w:ascii="Calibri" w:hAnsi="Calibri"/>
                <w:b/>
                <w:szCs w:val="22"/>
              </w:rPr>
            </w:pPr>
          </w:p>
        </w:tc>
      </w:tr>
      <w:tr w:rsidR="00C0704D" w:rsidRPr="00D2449B" w14:paraId="46E861EE" w14:textId="77777777" w:rsidTr="00A2016F">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17A70F"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70AEA2" w14:textId="77777777" w:rsidR="00C0704D" w:rsidRPr="00D2449B" w:rsidRDefault="00522198" w:rsidP="00CD2CEF">
            <w:pPr>
              <w:rPr>
                <w:rFonts w:ascii="Calibri" w:hAnsi="Calibri"/>
                <w:bCs/>
                <w:szCs w:val="22"/>
              </w:rPr>
            </w:pPr>
            <w:r w:rsidRPr="00522198">
              <w:rPr>
                <w:rFonts w:asciiTheme="minorHAnsi" w:hAnsiTheme="minorHAnsi"/>
                <w:bCs/>
                <w:szCs w:val="22"/>
              </w:rPr>
              <w:t>Approve Certificate of Lawfulness</w:t>
            </w:r>
          </w:p>
        </w:tc>
      </w:tr>
    </w:tbl>
    <w:p w14:paraId="5C01C293" w14:textId="77777777" w:rsidR="001E36FF" w:rsidRDefault="001E36FF">
      <w:pPr>
        <w:rPr>
          <w:rFonts w:ascii="Calibri" w:hAnsi="Calibri"/>
          <w:szCs w:val="22"/>
        </w:rPr>
      </w:pPr>
    </w:p>
    <w:p w14:paraId="4A925672" w14:textId="77777777" w:rsidR="00E92E57" w:rsidRDefault="00E92E57">
      <w:pPr>
        <w:rPr>
          <w:rFonts w:ascii="Calibri" w:hAnsi="Calibri"/>
          <w:szCs w:val="22"/>
        </w:rPr>
      </w:pPr>
    </w:p>
    <w:p w14:paraId="6B0B3378" w14:textId="77777777" w:rsidR="00E92E57" w:rsidRDefault="00E92E57" w:rsidP="00E92E57">
      <w:pPr>
        <w:rPr>
          <w:rFonts w:ascii="Calibri" w:hAnsi="Calibri"/>
          <w:szCs w:val="22"/>
        </w:rPr>
      </w:pPr>
    </w:p>
    <w:p w14:paraId="27C27D8E" w14:textId="532D5823" w:rsidR="0031197A" w:rsidRPr="00E92E57" w:rsidRDefault="00E92E57" w:rsidP="00E92E57">
      <w:pPr>
        <w:tabs>
          <w:tab w:val="left" w:pos="1965"/>
        </w:tabs>
        <w:rPr>
          <w:rFonts w:ascii="Calibri" w:hAnsi="Calibri"/>
          <w:szCs w:val="22"/>
        </w:rPr>
      </w:pPr>
      <w:r w:rsidRPr="00E92E57">
        <w:rPr>
          <w:rFonts w:ascii="Calibri" w:hAnsi="Calibri"/>
          <w:szCs w:val="22"/>
        </w:rPr>
        <w:t xml:space="preserve">On the basis of the evidence provided it is considered that the </w:t>
      </w:r>
      <w:r w:rsidR="000B5176">
        <w:rPr>
          <w:rFonts w:ascii="Calibri" w:hAnsi="Calibri"/>
          <w:szCs w:val="22"/>
        </w:rPr>
        <w:t xml:space="preserve">area of land coloured green on the submitted site plan (LoC Application - Sword) has </w:t>
      </w:r>
      <w:r>
        <w:rPr>
          <w:rFonts w:ascii="Calibri" w:hAnsi="Calibri"/>
          <w:szCs w:val="22"/>
        </w:rPr>
        <w:t xml:space="preserve">been used </w:t>
      </w:r>
      <w:r w:rsidR="000B5176">
        <w:rPr>
          <w:rFonts w:ascii="Calibri" w:hAnsi="Calibri"/>
          <w:szCs w:val="22"/>
        </w:rPr>
        <w:t xml:space="preserve">as residential curtilage in association with ‘Calderdale’ 7 Portfield Bar BB7 9DL, </w:t>
      </w:r>
      <w:r w:rsidRPr="00E92E57">
        <w:rPr>
          <w:rFonts w:ascii="Calibri" w:hAnsi="Calibri"/>
          <w:szCs w:val="22"/>
        </w:rPr>
        <w:t>for a period greater than 10 years and as such is considered lawful by virtue of section (3) of 171(B) of the Town and Country Planning Act 1990.</w:t>
      </w:r>
    </w:p>
    <w:sectPr w:rsidR="0031197A" w:rsidRPr="00E92E57"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0768" w14:textId="77777777" w:rsidR="006D0B5F" w:rsidRDefault="006D0B5F" w:rsidP="006D0B5F">
      <w:r>
        <w:separator/>
      </w:r>
    </w:p>
  </w:endnote>
  <w:endnote w:type="continuationSeparator" w:id="0">
    <w:p w14:paraId="029CB7A4"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A547" w14:textId="77777777" w:rsidR="006D0B5F" w:rsidRDefault="006D0B5F" w:rsidP="006D0B5F">
      <w:r>
        <w:separator/>
      </w:r>
    </w:p>
  </w:footnote>
  <w:footnote w:type="continuationSeparator" w:id="0">
    <w:p w14:paraId="71CF67EE"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83CDF"/>
    <w:multiLevelType w:val="hybridMultilevel"/>
    <w:tmpl w:val="1070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E6D41"/>
    <w:multiLevelType w:val="hybridMultilevel"/>
    <w:tmpl w:val="582CF37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30243F5"/>
    <w:multiLevelType w:val="hybridMultilevel"/>
    <w:tmpl w:val="B2FE4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14B2"/>
    <w:rsid w:val="000B5176"/>
    <w:rsid w:val="000B5CB5"/>
    <w:rsid w:val="000C1119"/>
    <w:rsid w:val="00130035"/>
    <w:rsid w:val="001D4F7A"/>
    <w:rsid w:val="001E36FF"/>
    <w:rsid w:val="00250879"/>
    <w:rsid w:val="0029334A"/>
    <w:rsid w:val="002A01CF"/>
    <w:rsid w:val="002B1D07"/>
    <w:rsid w:val="002C6277"/>
    <w:rsid w:val="002F2580"/>
    <w:rsid w:val="00321B6E"/>
    <w:rsid w:val="00386DA0"/>
    <w:rsid w:val="003C4F57"/>
    <w:rsid w:val="00440CB6"/>
    <w:rsid w:val="004936A6"/>
    <w:rsid w:val="004947BB"/>
    <w:rsid w:val="004A5EA9"/>
    <w:rsid w:val="004C2434"/>
    <w:rsid w:val="004F0649"/>
    <w:rsid w:val="00510FA2"/>
    <w:rsid w:val="00522198"/>
    <w:rsid w:val="00530E27"/>
    <w:rsid w:val="00556ECD"/>
    <w:rsid w:val="005740EB"/>
    <w:rsid w:val="005D24D1"/>
    <w:rsid w:val="005E1C6C"/>
    <w:rsid w:val="005E65DF"/>
    <w:rsid w:val="006009BB"/>
    <w:rsid w:val="00632AC4"/>
    <w:rsid w:val="00692B60"/>
    <w:rsid w:val="006A71AD"/>
    <w:rsid w:val="006C2BFA"/>
    <w:rsid w:val="006D0B5F"/>
    <w:rsid w:val="0070054B"/>
    <w:rsid w:val="0070061A"/>
    <w:rsid w:val="007047B4"/>
    <w:rsid w:val="00742406"/>
    <w:rsid w:val="00773121"/>
    <w:rsid w:val="00776AE2"/>
    <w:rsid w:val="00794E7A"/>
    <w:rsid w:val="007C791C"/>
    <w:rsid w:val="007D7DF4"/>
    <w:rsid w:val="007E0D23"/>
    <w:rsid w:val="00802362"/>
    <w:rsid w:val="00811771"/>
    <w:rsid w:val="008542DE"/>
    <w:rsid w:val="008A28C8"/>
    <w:rsid w:val="008B7CD9"/>
    <w:rsid w:val="00945A38"/>
    <w:rsid w:val="00951B88"/>
    <w:rsid w:val="00980E2F"/>
    <w:rsid w:val="009F0288"/>
    <w:rsid w:val="00A2016F"/>
    <w:rsid w:val="00A42E82"/>
    <w:rsid w:val="00A579BB"/>
    <w:rsid w:val="00A63D55"/>
    <w:rsid w:val="00A95D89"/>
    <w:rsid w:val="00B0194F"/>
    <w:rsid w:val="00B93EB5"/>
    <w:rsid w:val="00B97F76"/>
    <w:rsid w:val="00BD3F03"/>
    <w:rsid w:val="00BF5A43"/>
    <w:rsid w:val="00C0704D"/>
    <w:rsid w:val="00C25722"/>
    <w:rsid w:val="00C618DB"/>
    <w:rsid w:val="00C93E5E"/>
    <w:rsid w:val="00D11007"/>
    <w:rsid w:val="00D2449B"/>
    <w:rsid w:val="00D54E67"/>
    <w:rsid w:val="00DD62F6"/>
    <w:rsid w:val="00E46243"/>
    <w:rsid w:val="00E66534"/>
    <w:rsid w:val="00E72F6C"/>
    <w:rsid w:val="00E92E57"/>
    <w:rsid w:val="00EA09F9"/>
    <w:rsid w:val="00EC23C7"/>
    <w:rsid w:val="00EC3D16"/>
    <w:rsid w:val="00ED00B7"/>
    <w:rsid w:val="00EF0AD7"/>
    <w:rsid w:val="00EF0E3C"/>
    <w:rsid w:val="00EF44E6"/>
    <w:rsid w:val="00F266A2"/>
    <w:rsid w:val="00F62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B22CD"/>
  <w15:docId w15:val="{D99D479D-DFF6-4BDF-BE9A-6B1172A6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legclearfix2">
    <w:name w:val="legclearfix2"/>
    <w:basedOn w:val="Normal"/>
    <w:rsid w:val="00A2016F"/>
    <w:pPr>
      <w:shd w:val="clear" w:color="auto" w:fill="FFFFFF"/>
      <w:overflowPunct/>
      <w:autoSpaceDE/>
      <w:autoSpaceDN/>
      <w:adjustRightInd/>
      <w:spacing w:after="120" w:line="360" w:lineRule="atLeast"/>
      <w:textAlignment w:val="auto"/>
    </w:pPr>
    <w:rPr>
      <w:rFonts w:ascii="Times New Roman" w:hAnsi="Times New Roman"/>
      <w:color w:val="000000"/>
      <w:sz w:val="19"/>
      <w:szCs w:val="19"/>
      <w:lang w:eastAsia="en-GB"/>
    </w:rPr>
  </w:style>
  <w:style w:type="character" w:customStyle="1" w:styleId="legds2">
    <w:name w:val="legds2"/>
    <w:basedOn w:val="DefaultParagraphFont"/>
    <w:rsid w:val="00A2016F"/>
    <w:rPr>
      <w:vanish w:val="0"/>
      <w:webHidden w:val="0"/>
      <w:specVanish w:val="0"/>
    </w:rPr>
  </w:style>
  <w:style w:type="character" w:customStyle="1" w:styleId="legterm">
    <w:name w:val="legterm"/>
    <w:basedOn w:val="DefaultParagraphFont"/>
    <w:rsid w:val="00A2016F"/>
  </w:style>
  <w:style w:type="character" w:customStyle="1" w:styleId="legchangedelimiter2">
    <w:name w:val="legchangedelimiter2"/>
    <w:basedOn w:val="DefaultParagraphFont"/>
    <w:rsid w:val="00A2016F"/>
    <w:rPr>
      <w:b/>
      <w:bCs/>
      <w:i w:val="0"/>
      <w:iCs w:val="0"/>
      <w:color w:val="000000"/>
      <w:sz w:val="34"/>
      <w:szCs w:val="34"/>
    </w:rPr>
  </w:style>
  <w:style w:type="character" w:customStyle="1" w:styleId="legaddition5">
    <w:name w:val="legaddition5"/>
    <w:basedOn w:val="DefaultParagraphFont"/>
    <w:rsid w:val="00A2016F"/>
  </w:style>
  <w:style w:type="character" w:styleId="Strong">
    <w:name w:val="Strong"/>
    <w:basedOn w:val="DefaultParagraphFont"/>
    <w:uiPriority w:val="22"/>
    <w:qFormat/>
    <w:rsid w:val="00742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9251">
      <w:bodyDiv w:val="1"/>
      <w:marLeft w:val="0"/>
      <w:marRight w:val="0"/>
      <w:marTop w:val="0"/>
      <w:marBottom w:val="0"/>
      <w:divBdr>
        <w:top w:val="none" w:sz="0" w:space="0" w:color="auto"/>
        <w:left w:val="none" w:sz="0" w:space="0" w:color="auto"/>
        <w:bottom w:val="none" w:sz="0" w:space="0" w:color="auto"/>
        <w:right w:val="none" w:sz="0" w:space="0" w:color="auto"/>
      </w:divBdr>
      <w:divsChild>
        <w:div w:id="1974559138">
          <w:marLeft w:val="0"/>
          <w:marRight w:val="0"/>
          <w:marTop w:val="0"/>
          <w:marBottom w:val="0"/>
          <w:divBdr>
            <w:top w:val="none" w:sz="0" w:space="0" w:color="auto"/>
            <w:left w:val="none" w:sz="0" w:space="0" w:color="auto"/>
            <w:bottom w:val="none" w:sz="0" w:space="0" w:color="auto"/>
            <w:right w:val="none" w:sz="0" w:space="0" w:color="auto"/>
          </w:divBdr>
          <w:divsChild>
            <w:div w:id="557669789">
              <w:marLeft w:val="0"/>
              <w:marRight w:val="0"/>
              <w:marTop w:val="0"/>
              <w:marBottom w:val="0"/>
              <w:divBdr>
                <w:top w:val="single" w:sz="2" w:space="0" w:color="FFFFFF"/>
                <w:left w:val="single" w:sz="6" w:space="0" w:color="FFFFFF"/>
                <w:bottom w:val="single" w:sz="6" w:space="0" w:color="FFFFFF"/>
                <w:right w:val="single" w:sz="6" w:space="0" w:color="FFFFFF"/>
              </w:divBdr>
              <w:divsChild>
                <w:div w:id="1662614738">
                  <w:marLeft w:val="0"/>
                  <w:marRight w:val="0"/>
                  <w:marTop w:val="0"/>
                  <w:marBottom w:val="0"/>
                  <w:divBdr>
                    <w:top w:val="single" w:sz="6" w:space="1" w:color="D3D3D3"/>
                    <w:left w:val="none" w:sz="0" w:space="0" w:color="auto"/>
                    <w:bottom w:val="none" w:sz="0" w:space="0" w:color="auto"/>
                    <w:right w:val="none" w:sz="0" w:space="0" w:color="auto"/>
                  </w:divBdr>
                  <w:divsChild>
                    <w:div w:id="929237656">
                      <w:marLeft w:val="0"/>
                      <w:marRight w:val="0"/>
                      <w:marTop w:val="0"/>
                      <w:marBottom w:val="0"/>
                      <w:divBdr>
                        <w:top w:val="none" w:sz="0" w:space="0" w:color="auto"/>
                        <w:left w:val="none" w:sz="0" w:space="0" w:color="auto"/>
                        <w:bottom w:val="none" w:sz="0" w:space="0" w:color="auto"/>
                        <w:right w:val="none" w:sz="0" w:space="0" w:color="auto"/>
                      </w:divBdr>
                      <w:divsChild>
                        <w:div w:id="19366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601144">
      <w:bodyDiv w:val="1"/>
      <w:marLeft w:val="0"/>
      <w:marRight w:val="0"/>
      <w:marTop w:val="0"/>
      <w:marBottom w:val="0"/>
      <w:divBdr>
        <w:top w:val="none" w:sz="0" w:space="0" w:color="auto"/>
        <w:left w:val="none" w:sz="0" w:space="0" w:color="auto"/>
        <w:bottom w:val="none" w:sz="0" w:space="0" w:color="auto"/>
        <w:right w:val="none" w:sz="0" w:space="0" w:color="auto"/>
      </w:divBdr>
      <w:divsChild>
        <w:div w:id="1524049581">
          <w:marLeft w:val="0"/>
          <w:marRight w:val="0"/>
          <w:marTop w:val="0"/>
          <w:marBottom w:val="0"/>
          <w:divBdr>
            <w:top w:val="none" w:sz="0" w:space="0" w:color="auto"/>
            <w:left w:val="none" w:sz="0" w:space="0" w:color="auto"/>
            <w:bottom w:val="none" w:sz="0" w:space="0" w:color="auto"/>
            <w:right w:val="none" w:sz="0" w:space="0" w:color="auto"/>
          </w:divBdr>
          <w:divsChild>
            <w:div w:id="876702373">
              <w:marLeft w:val="0"/>
              <w:marRight w:val="0"/>
              <w:marTop w:val="0"/>
              <w:marBottom w:val="0"/>
              <w:divBdr>
                <w:top w:val="single" w:sz="2" w:space="0" w:color="FFFFFF"/>
                <w:left w:val="single" w:sz="6" w:space="0" w:color="FFFFFF"/>
                <w:bottom w:val="single" w:sz="6" w:space="0" w:color="FFFFFF"/>
                <w:right w:val="single" w:sz="6" w:space="0" w:color="FFFFFF"/>
              </w:divBdr>
              <w:divsChild>
                <w:div w:id="1299651040">
                  <w:marLeft w:val="0"/>
                  <w:marRight w:val="0"/>
                  <w:marTop w:val="0"/>
                  <w:marBottom w:val="0"/>
                  <w:divBdr>
                    <w:top w:val="single" w:sz="6" w:space="1" w:color="D3D3D3"/>
                    <w:left w:val="none" w:sz="0" w:space="0" w:color="auto"/>
                    <w:bottom w:val="none" w:sz="0" w:space="0" w:color="auto"/>
                    <w:right w:val="none" w:sz="0" w:space="0" w:color="auto"/>
                  </w:divBdr>
                  <w:divsChild>
                    <w:div w:id="2054112089">
                      <w:marLeft w:val="0"/>
                      <w:marRight w:val="0"/>
                      <w:marTop w:val="0"/>
                      <w:marBottom w:val="0"/>
                      <w:divBdr>
                        <w:top w:val="none" w:sz="0" w:space="0" w:color="auto"/>
                        <w:left w:val="none" w:sz="0" w:space="0" w:color="auto"/>
                        <w:bottom w:val="none" w:sz="0" w:space="0" w:color="auto"/>
                        <w:right w:val="none" w:sz="0" w:space="0" w:color="auto"/>
                      </w:divBdr>
                      <w:divsChild>
                        <w:div w:id="2472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3C27-04E3-4A20-AAD0-0E3007C0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2022-02-15T14:33:00Z</cp:lastPrinted>
  <dcterms:created xsi:type="dcterms:W3CDTF">2022-02-15T14:36:00Z</dcterms:created>
  <dcterms:modified xsi:type="dcterms:W3CDTF">2022-02-15T14:36:00Z</dcterms:modified>
</cp:coreProperties>
</file>