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31"/>
      </w:tblGrid>
      <w:tr w:rsidR="004A5EA9" w:rsidRPr="00D2449B" w14:paraId="230E00AF" w14:textId="77777777" w:rsidTr="00D80CA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D80CA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5BECD767" w:rsidR="00B1590F" w:rsidRPr="0078277B" w:rsidRDefault="0078277B" w:rsidP="00D2449B">
            <w:pPr>
              <w:jc w:val="center"/>
              <w:rPr>
                <w:rFonts w:ascii="Calibri" w:hAnsi="Calibri"/>
                <w:bCs/>
                <w:szCs w:val="22"/>
              </w:rPr>
            </w:pPr>
            <w:r w:rsidRPr="0078277B">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59F99087" w:rsidR="00B1590F" w:rsidRPr="0078277B" w:rsidRDefault="00D179AB" w:rsidP="00D2449B">
            <w:pPr>
              <w:jc w:val="center"/>
              <w:rPr>
                <w:rFonts w:ascii="Calibri" w:hAnsi="Calibri"/>
                <w:bCs/>
                <w:szCs w:val="22"/>
              </w:rPr>
            </w:pPr>
            <w:r>
              <w:rPr>
                <w:rFonts w:ascii="Calibri" w:hAnsi="Calibri"/>
                <w:bCs/>
                <w:szCs w:val="22"/>
              </w:rPr>
              <w:t>30</w:t>
            </w:r>
            <w:r w:rsidR="0078277B" w:rsidRPr="0078277B">
              <w:rPr>
                <w:rFonts w:ascii="Calibri" w:hAnsi="Calibri"/>
                <w:bCs/>
                <w:szCs w:val="22"/>
              </w:rPr>
              <w:t>.8.22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BF9710B" w:rsidR="00B1590F" w:rsidRPr="00D2449B" w:rsidRDefault="008B4670" w:rsidP="00D2449B">
            <w:pPr>
              <w:jc w:val="center"/>
              <w:rPr>
                <w:rFonts w:ascii="Calibri" w:hAnsi="Calibri"/>
                <w:b/>
                <w:szCs w:val="22"/>
              </w:rPr>
            </w:pPr>
            <w:r>
              <w:rPr>
                <w:rFonts w:ascii="Calibri" w:hAnsi="Calibri"/>
                <w:b/>
                <w:szCs w:val="22"/>
              </w:rPr>
              <w:t>NH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AC13009" w:rsidR="00B1590F" w:rsidRPr="00D2449B" w:rsidRDefault="008B4670" w:rsidP="00D2449B">
            <w:pPr>
              <w:jc w:val="center"/>
              <w:rPr>
                <w:rFonts w:ascii="Calibri" w:hAnsi="Calibri"/>
                <w:b/>
                <w:szCs w:val="22"/>
              </w:rPr>
            </w:pPr>
            <w:r>
              <w:rPr>
                <w:rFonts w:ascii="Calibri" w:hAnsi="Calibri"/>
                <w:b/>
                <w:szCs w:val="22"/>
              </w:rPr>
              <w:t>30.08.22</w:t>
            </w:r>
          </w:p>
        </w:tc>
      </w:tr>
      <w:tr w:rsidR="004A5EA9" w:rsidRPr="00D2449B" w14:paraId="2094A164" w14:textId="77777777" w:rsidTr="00D80CA6">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80CA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4DDAFF2" w:rsidR="004A5EA9" w:rsidRPr="0078277B" w:rsidRDefault="004A5EA9" w:rsidP="008542DE">
            <w:pPr>
              <w:rPr>
                <w:rFonts w:ascii="Calibri" w:hAnsi="Calibri"/>
                <w:szCs w:val="22"/>
              </w:rPr>
            </w:pPr>
            <w:r w:rsidRPr="0078277B">
              <w:rPr>
                <w:rFonts w:ascii="Calibri" w:hAnsi="Calibri"/>
                <w:szCs w:val="22"/>
              </w:rPr>
              <w:t>20</w:t>
            </w:r>
            <w:r w:rsidR="0078277B" w:rsidRPr="0078277B">
              <w:rPr>
                <w:rFonts w:ascii="Calibri" w:hAnsi="Calibri"/>
                <w:szCs w:val="22"/>
              </w:rPr>
              <w:t>22</w:t>
            </w:r>
            <w:r w:rsidR="00C0704D" w:rsidRPr="0078277B">
              <w:rPr>
                <w:rFonts w:ascii="Calibri" w:hAnsi="Calibri"/>
                <w:szCs w:val="22"/>
              </w:rPr>
              <w:t>/</w:t>
            </w:r>
            <w:r w:rsidR="0078277B" w:rsidRPr="0078277B">
              <w:rPr>
                <w:rFonts w:ascii="Calibri" w:hAnsi="Calibri"/>
                <w:szCs w:val="22"/>
              </w:rPr>
              <w:t>0148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D80CA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F57D521" w:rsidR="004A5EA9" w:rsidRPr="0078277B" w:rsidRDefault="0078277B" w:rsidP="002C6277">
            <w:pPr>
              <w:rPr>
                <w:rFonts w:ascii="Calibri" w:hAnsi="Calibri"/>
                <w:szCs w:val="22"/>
              </w:rPr>
            </w:pPr>
            <w:r w:rsidRPr="0078277B">
              <w:rPr>
                <w:rFonts w:ascii="Calibri" w:hAnsi="Calibri"/>
                <w:szCs w:val="22"/>
              </w:rPr>
              <w:t>09</w:t>
            </w:r>
            <w:r w:rsidR="0046548C" w:rsidRPr="0078277B">
              <w:rPr>
                <w:rFonts w:ascii="Calibri" w:hAnsi="Calibri"/>
                <w:szCs w:val="22"/>
              </w:rPr>
              <w:t>/</w:t>
            </w:r>
            <w:r w:rsidRPr="0078277B">
              <w:rPr>
                <w:rFonts w:ascii="Calibri" w:hAnsi="Calibri"/>
                <w:szCs w:val="22"/>
              </w:rPr>
              <w:t>06</w:t>
            </w:r>
            <w:r w:rsidR="0046548C" w:rsidRPr="0078277B">
              <w:rPr>
                <w:rFonts w:ascii="Calibri" w:hAnsi="Calibri"/>
                <w:szCs w:val="22"/>
              </w:rPr>
              <w:t>/</w:t>
            </w:r>
            <w:r w:rsidRPr="0078277B">
              <w:rPr>
                <w:rFonts w:ascii="Calibri" w:hAnsi="Calibri"/>
                <w:szCs w:val="22"/>
              </w:rPr>
              <w:t>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D80CA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05C5BF9" w:rsidR="004A5EA9" w:rsidRPr="0078277B" w:rsidRDefault="0078277B" w:rsidP="00811771">
            <w:pPr>
              <w:rPr>
                <w:rFonts w:ascii="Calibri" w:hAnsi="Calibri"/>
                <w:szCs w:val="22"/>
              </w:rPr>
            </w:pPr>
            <w:r w:rsidRPr="0078277B">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80CA6">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D80CA6">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80CA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59C3C52" w:rsidR="004A5EA9" w:rsidRPr="002C6277" w:rsidRDefault="00D80CA6">
            <w:pPr>
              <w:rPr>
                <w:rFonts w:ascii="Calibri" w:hAnsi="Calibri"/>
                <w:szCs w:val="22"/>
              </w:rPr>
            </w:pPr>
            <w:r w:rsidRPr="00D80CA6">
              <w:rPr>
                <w:rFonts w:ascii="Calibri" w:hAnsi="Calibri"/>
                <w:szCs w:val="22"/>
              </w:rPr>
              <w:t>Change of use and extension of the Black Horse Inn to 6 residential dwellings and associated landscaping and parking</w:t>
            </w:r>
          </w:p>
        </w:tc>
      </w:tr>
      <w:tr w:rsidR="002A01CF" w:rsidRPr="00D2449B" w14:paraId="52988241" w14:textId="77777777" w:rsidTr="00D80CA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017EC9F" w:rsidR="002A01CF" w:rsidRPr="002C6277" w:rsidRDefault="00D80CA6" w:rsidP="00A42E82">
            <w:pPr>
              <w:rPr>
                <w:rFonts w:ascii="Calibri" w:hAnsi="Calibri"/>
                <w:szCs w:val="22"/>
              </w:rPr>
            </w:pPr>
            <w:r w:rsidRPr="00D80CA6">
              <w:rPr>
                <w:rFonts w:ascii="Calibri" w:hAnsi="Calibri"/>
                <w:szCs w:val="22"/>
              </w:rPr>
              <w:t>Black Horse Inn Pimlico Road Clitheroe BB7 4PZ</w:t>
            </w:r>
          </w:p>
        </w:tc>
      </w:tr>
      <w:tr w:rsidR="00A95D89" w:rsidRPr="00D2449B" w14:paraId="3FB99B2E" w14:textId="77777777" w:rsidTr="00D80CA6">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80CA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80CA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A4FC13" w14:textId="66E94BC5" w:rsidR="002A01CF" w:rsidRPr="00D80CA6" w:rsidRDefault="00D80CA6">
            <w:pPr>
              <w:rPr>
                <w:rFonts w:ascii="Calibri" w:hAnsi="Calibri"/>
                <w:bCs/>
                <w:szCs w:val="22"/>
              </w:rPr>
            </w:pPr>
            <w:r w:rsidRPr="00D80CA6">
              <w:rPr>
                <w:rFonts w:ascii="Calibri" w:hAnsi="Calibri"/>
                <w:bCs/>
                <w:szCs w:val="22"/>
              </w:rPr>
              <w:t>Clitheroe Town Council have objected to the proposal stating the following:</w:t>
            </w:r>
          </w:p>
          <w:p w14:paraId="69B0503B" w14:textId="77777777" w:rsidR="00D80CA6" w:rsidRPr="00D80CA6" w:rsidRDefault="00D80CA6">
            <w:pPr>
              <w:rPr>
                <w:rFonts w:ascii="Calibri" w:hAnsi="Calibri"/>
                <w:bCs/>
                <w:szCs w:val="22"/>
              </w:rPr>
            </w:pPr>
          </w:p>
          <w:p w14:paraId="3E1A1B2C" w14:textId="10610CAA" w:rsidR="00D80CA6" w:rsidRPr="00D80CA6" w:rsidRDefault="00D80CA6" w:rsidP="00D80CA6">
            <w:pPr>
              <w:rPr>
                <w:rFonts w:ascii="Calibri" w:hAnsi="Calibri"/>
                <w:bCs/>
                <w:i/>
                <w:iCs/>
                <w:szCs w:val="22"/>
              </w:rPr>
            </w:pPr>
            <w:r w:rsidRPr="00D80CA6">
              <w:rPr>
                <w:rFonts w:ascii="Calibri" w:hAnsi="Calibri"/>
                <w:bCs/>
                <w:i/>
                <w:iCs/>
                <w:szCs w:val="22"/>
              </w:rPr>
              <w:t xml:space="preserve">The Town Council wishes to object to this application on the grounds of over-intensity of development, potential parking issues and concerns regarding highway safety. </w:t>
            </w:r>
          </w:p>
        </w:tc>
      </w:tr>
      <w:tr w:rsidR="00C618DB" w:rsidRPr="00D2449B" w14:paraId="639E958B" w14:textId="77777777" w:rsidTr="00D80CA6">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80CA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80CA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D80CA6" w:rsidRPr="00D2449B" w14:paraId="6A1BF425" w14:textId="77777777" w:rsidTr="00A45B3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44BD38" w14:textId="5935FCD9" w:rsidR="00D80CA6" w:rsidRPr="00D2449B" w:rsidRDefault="00D80CA6" w:rsidP="00D80CA6">
            <w:pPr>
              <w:rPr>
                <w:rFonts w:ascii="Calibri" w:hAnsi="Calibri"/>
                <w:b/>
                <w:szCs w:val="22"/>
              </w:rPr>
            </w:pPr>
            <w:r>
              <w:rPr>
                <w:rFonts w:ascii="Calibri" w:hAnsi="Calibri"/>
                <w:szCs w:val="22"/>
              </w:rPr>
              <w:t>LCC Highways have raised no objection to the proposal subject to the imposition of conditions.</w:t>
            </w:r>
          </w:p>
        </w:tc>
      </w:tr>
      <w:tr w:rsidR="00D80CA6" w:rsidRPr="00D2449B" w14:paraId="7FEDAC5B" w14:textId="77777777" w:rsidTr="00D80CA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0BD0E7" w14:textId="0ED25A67" w:rsidR="00D80CA6" w:rsidRPr="00D2449B" w:rsidRDefault="00D80CA6" w:rsidP="00D80CA6">
            <w:pPr>
              <w:rPr>
                <w:rFonts w:ascii="Calibri" w:hAnsi="Calibri"/>
                <w:b/>
                <w:szCs w:val="22"/>
              </w:rPr>
            </w:pPr>
            <w:r>
              <w:rPr>
                <w:rFonts w:ascii="Calibri" w:hAnsi="Calibri"/>
                <w:b/>
                <w:szCs w:val="22"/>
              </w:rPr>
              <w:t xml:space="preserve">United </w:t>
            </w:r>
            <w:r w:rsidR="000168EB">
              <w:rPr>
                <w:rFonts w:ascii="Calibri" w:hAnsi="Calibri"/>
                <w:b/>
                <w:szCs w:val="22"/>
              </w:rPr>
              <w:t>U</w:t>
            </w:r>
            <w:r>
              <w:rPr>
                <w:rFonts w:ascii="Calibri" w:hAnsi="Calibri"/>
                <w:b/>
                <w:szCs w:val="22"/>
              </w:rPr>
              <w:t>tilities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5A1BEA" w14:textId="77777777" w:rsidR="00D80CA6" w:rsidRPr="00D2449B" w:rsidRDefault="00D80CA6" w:rsidP="00D80CA6">
            <w:pPr>
              <w:rPr>
                <w:rFonts w:ascii="Calibri" w:hAnsi="Calibri"/>
                <w:b/>
                <w:szCs w:val="22"/>
              </w:rPr>
            </w:pPr>
          </w:p>
        </w:tc>
      </w:tr>
      <w:tr w:rsidR="000168EB" w:rsidRPr="00D2449B" w14:paraId="16BEE2CD" w14:textId="77777777" w:rsidTr="00014EE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8CC719" w14:textId="44F332A0" w:rsidR="000168EB" w:rsidRPr="00D2449B" w:rsidRDefault="000168EB" w:rsidP="00D80CA6">
            <w:pPr>
              <w:rPr>
                <w:rFonts w:ascii="Calibri" w:hAnsi="Calibri"/>
                <w:b/>
                <w:szCs w:val="22"/>
              </w:rPr>
            </w:pPr>
            <w:r>
              <w:rPr>
                <w:rFonts w:ascii="Calibri" w:hAnsi="Calibri"/>
                <w:szCs w:val="22"/>
              </w:rPr>
              <w:t>No objections subject to the imposition of conditions</w:t>
            </w:r>
          </w:p>
        </w:tc>
      </w:tr>
      <w:tr w:rsidR="000168EB" w:rsidRPr="00D2449B" w14:paraId="33E05AE5" w14:textId="77777777" w:rsidTr="00D80CA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035C2C" w14:textId="7E1623DE" w:rsidR="000168EB" w:rsidRDefault="000168EB" w:rsidP="00D80CA6">
            <w:pPr>
              <w:rPr>
                <w:rFonts w:ascii="Calibri" w:hAnsi="Calibri"/>
                <w:b/>
                <w:szCs w:val="22"/>
              </w:rPr>
            </w:pPr>
            <w:r>
              <w:rPr>
                <w:rFonts w:ascii="Calibri" w:hAnsi="Calibri"/>
                <w:b/>
                <w:szCs w:val="22"/>
              </w:rPr>
              <w:t>LCC Archaeology</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F3B7D6" w14:textId="77777777" w:rsidR="000168EB" w:rsidRPr="00D2449B" w:rsidRDefault="000168EB" w:rsidP="00D80CA6">
            <w:pPr>
              <w:rPr>
                <w:rFonts w:ascii="Calibri" w:hAnsi="Calibri"/>
                <w:b/>
                <w:szCs w:val="22"/>
              </w:rPr>
            </w:pPr>
          </w:p>
        </w:tc>
      </w:tr>
      <w:tr w:rsidR="00D80CA6" w:rsidRPr="00D2449B" w14:paraId="62663AAF" w14:textId="77777777" w:rsidTr="00D80CA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2EBECE3F" w:rsidR="00D80CA6" w:rsidRPr="00C0704D" w:rsidRDefault="000168EB" w:rsidP="00D80CA6">
            <w:pPr>
              <w:rPr>
                <w:rFonts w:ascii="Calibri" w:hAnsi="Calibri"/>
                <w:szCs w:val="22"/>
              </w:rPr>
            </w:pPr>
            <w:r>
              <w:rPr>
                <w:rFonts w:ascii="Calibri" w:hAnsi="Calibri"/>
                <w:szCs w:val="22"/>
              </w:rPr>
              <w:t>No objections subject to the impositions of conditions relating to building recording.</w:t>
            </w:r>
          </w:p>
        </w:tc>
      </w:tr>
      <w:tr w:rsidR="00D80CA6" w:rsidRPr="00D2449B" w14:paraId="29EBDA1F" w14:textId="77777777" w:rsidTr="00D80CA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D80CA6" w:rsidRPr="00C0704D" w:rsidRDefault="00D80CA6" w:rsidP="00D80CA6">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D80CA6" w:rsidRPr="00C0704D" w:rsidRDefault="00D80CA6" w:rsidP="00D80CA6">
            <w:pPr>
              <w:rPr>
                <w:rFonts w:ascii="Calibri" w:hAnsi="Calibri"/>
                <w:b/>
                <w:szCs w:val="22"/>
              </w:rPr>
            </w:pPr>
            <w:r w:rsidRPr="00C0704D">
              <w:rPr>
                <w:rFonts w:ascii="Calibri" w:hAnsi="Calibri"/>
                <w:b/>
                <w:szCs w:val="22"/>
              </w:rPr>
              <w:t>Additional Representations.</w:t>
            </w:r>
          </w:p>
        </w:tc>
      </w:tr>
      <w:tr w:rsidR="00D80CA6" w:rsidRPr="00D2449B" w14:paraId="3999C1CA" w14:textId="77777777" w:rsidTr="00D80CA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D91724" w14:textId="400FFA33" w:rsidR="000168EB" w:rsidRDefault="000168EB" w:rsidP="00D80CA6">
            <w:pPr>
              <w:rPr>
                <w:rFonts w:ascii="Calibri" w:hAnsi="Calibri"/>
                <w:szCs w:val="22"/>
              </w:rPr>
            </w:pPr>
            <w:r>
              <w:rPr>
                <w:rFonts w:ascii="Calibri" w:hAnsi="Calibri"/>
                <w:szCs w:val="22"/>
              </w:rPr>
              <w:t>On letter of representation has been received objecting on the following grounds:</w:t>
            </w:r>
          </w:p>
          <w:p w14:paraId="23EADC69" w14:textId="04167493" w:rsidR="000168EB" w:rsidRDefault="000168EB" w:rsidP="00D80CA6">
            <w:pPr>
              <w:rPr>
                <w:rFonts w:ascii="Calibri" w:hAnsi="Calibri"/>
                <w:szCs w:val="22"/>
              </w:rPr>
            </w:pPr>
          </w:p>
          <w:p w14:paraId="6C82E95E" w14:textId="2E2AF8C5" w:rsidR="000168EB" w:rsidRDefault="000168EB" w:rsidP="000168EB">
            <w:pPr>
              <w:pStyle w:val="ListParagraph"/>
              <w:numPr>
                <w:ilvl w:val="0"/>
                <w:numId w:val="2"/>
              </w:numPr>
              <w:rPr>
                <w:rFonts w:ascii="Calibri" w:hAnsi="Calibri"/>
                <w:szCs w:val="22"/>
              </w:rPr>
            </w:pPr>
            <w:r>
              <w:rPr>
                <w:rFonts w:ascii="Calibri" w:hAnsi="Calibri"/>
                <w:szCs w:val="22"/>
              </w:rPr>
              <w:t>Impact upon highway safety</w:t>
            </w:r>
          </w:p>
          <w:p w14:paraId="4575E64A" w14:textId="6C7F0C88" w:rsidR="000168EB" w:rsidRPr="000168EB" w:rsidRDefault="000168EB" w:rsidP="000168EB">
            <w:pPr>
              <w:pStyle w:val="ListParagraph"/>
              <w:numPr>
                <w:ilvl w:val="0"/>
                <w:numId w:val="2"/>
              </w:numPr>
              <w:rPr>
                <w:rFonts w:ascii="Calibri" w:hAnsi="Calibri"/>
                <w:szCs w:val="22"/>
              </w:rPr>
            </w:pPr>
            <w:r>
              <w:rPr>
                <w:rFonts w:ascii="Calibri" w:hAnsi="Calibri"/>
                <w:szCs w:val="22"/>
              </w:rPr>
              <w:t>Area should be a conservation area</w:t>
            </w:r>
          </w:p>
          <w:p w14:paraId="7F9C63D2" w14:textId="77777777" w:rsidR="000168EB" w:rsidRDefault="000168EB" w:rsidP="00D80CA6">
            <w:pPr>
              <w:rPr>
                <w:rFonts w:ascii="Calibri" w:hAnsi="Calibri"/>
                <w:szCs w:val="22"/>
              </w:rPr>
            </w:pPr>
          </w:p>
          <w:p w14:paraId="3B781C53" w14:textId="00595EF4" w:rsidR="00D80CA6" w:rsidRDefault="000168EB" w:rsidP="00D80CA6">
            <w:pPr>
              <w:rPr>
                <w:rFonts w:ascii="Calibri" w:hAnsi="Calibri"/>
                <w:szCs w:val="22"/>
              </w:rPr>
            </w:pPr>
            <w:r>
              <w:rPr>
                <w:rFonts w:ascii="Calibri" w:hAnsi="Calibri"/>
                <w:szCs w:val="22"/>
              </w:rPr>
              <w:t>Clitheroe Civic Society have offered the following observations:</w:t>
            </w:r>
          </w:p>
          <w:p w14:paraId="74861636" w14:textId="77777777" w:rsidR="000168EB" w:rsidRDefault="000168EB" w:rsidP="00D80CA6">
            <w:pPr>
              <w:rPr>
                <w:rFonts w:ascii="Calibri" w:hAnsi="Calibri"/>
                <w:szCs w:val="22"/>
              </w:rPr>
            </w:pPr>
          </w:p>
          <w:p w14:paraId="2CED3814" w14:textId="3C23E3F4" w:rsidR="000168EB" w:rsidRPr="000168EB" w:rsidRDefault="000168EB" w:rsidP="005C318F">
            <w:pPr>
              <w:jc w:val="both"/>
              <w:rPr>
                <w:rFonts w:ascii="Calibri" w:hAnsi="Calibri"/>
                <w:i/>
                <w:iCs/>
                <w:szCs w:val="22"/>
              </w:rPr>
            </w:pPr>
            <w:r w:rsidRPr="000168EB">
              <w:rPr>
                <w:rFonts w:ascii="Calibri" w:hAnsi="Calibri"/>
                <w:i/>
                <w:iCs/>
                <w:szCs w:val="22"/>
              </w:rPr>
              <w:t>The proposed elevations for the two new cottages to be built on to the Black Horse show that extensive white render is the chosen finish for these properties. This is completely at odds with the setting of Pimlico Village and all properties there today have traditional limestone finishes.</w:t>
            </w:r>
          </w:p>
          <w:p w14:paraId="47ECE0CE" w14:textId="77777777" w:rsidR="000168EB" w:rsidRPr="000168EB" w:rsidRDefault="000168EB" w:rsidP="005C318F">
            <w:pPr>
              <w:jc w:val="both"/>
              <w:rPr>
                <w:rFonts w:ascii="Calibri" w:hAnsi="Calibri"/>
                <w:i/>
                <w:iCs/>
                <w:szCs w:val="22"/>
              </w:rPr>
            </w:pPr>
          </w:p>
          <w:p w14:paraId="238D183B" w14:textId="60A94EDE" w:rsidR="000168EB" w:rsidRPr="000168EB" w:rsidRDefault="000168EB" w:rsidP="005C318F">
            <w:pPr>
              <w:jc w:val="both"/>
              <w:rPr>
                <w:rFonts w:ascii="Calibri" w:hAnsi="Calibri"/>
                <w:i/>
                <w:iCs/>
                <w:szCs w:val="22"/>
              </w:rPr>
            </w:pPr>
            <w:r w:rsidRPr="000168EB">
              <w:rPr>
                <w:rFonts w:ascii="Calibri" w:hAnsi="Calibri"/>
                <w:i/>
                <w:iCs/>
                <w:szCs w:val="22"/>
              </w:rPr>
              <w:t xml:space="preserve">Use of white render instead of a traditional stone finish will not be conducive to the street scene in this location. Given the historic nature of the properties at Pimlico Village, any development should respect the materials already used. The two new cottages do not do this. </w:t>
            </w:r>
          </w:p>
          <w:p w14:paraId="7294AC6E" w14:textId="77777777" w:rsidR="000168EB" w:rsidRPr="000168EB" w:rsidRDefault="000168EB" w:rsidP="005C318F">
            <w:pPr>
              <w:jc w:val="both"/>
              <w:rPr>
                <w:rFonts w:ascii="Calibri" w:hAnsi="Calibri"/>
                <w:i/>
                <w:iCs/>
                <w:szCs w:val="22"/>
              </w:rPr>
            </w:pPr>
          </w:p>
          <w:p w14:paraId="7C641DF7" w14:textId="7C2D2BEF" w:rsidR="000168EB" w:rsidRPr="000168EB" w:rsidRDefault="000168EB" w:rsidP="005C318F">
            <w:pPr>
              <w:jc w:val="both"/>
              <w:rPr>
                <w:rFonts w:ascii="Calibri" w:hAnsi="Calibri"/>
                <w:i/>
                <w:iCs/>
                <w:szCs w:val="22"/>
              </w:rPr>
            </w:pPr>
            <w:r w:rsidRPr="000168EB">
              <w:rPr>
                <w:rFonts w:ascii="Calibri" w:hAnsi="Calibri"/>
                <w:i/>
                <w:iCs/>
                <w:szCs w:val="22"/>
              </w:rPr>
              <w:t xml:space="preserve">Use of white render is also notorious for staining even if sufficient eaves depth is delivered. The use of white render for these properties (particularly to the front/side elevations) is incongruous and should be re-thought before this application is approved. Even render coatings that promise many years of service still stain in westerly locations due to the higher levels of humidity and algal growth - this is still the case even where manufacturers promise algae free finishes - our damp climate is not suitable </w:t>
            </w:r>
            <w:r w:rsidRPr="000168EB">
              <w:rPr>
                <w:rFonts w:ascii="Calibri" w:hAnsi="Calibri"/>
                <w:i/>
                <w:iCs/>
                <w:szCs w:val="22"/>
              </w:rPr>
              <w:lastRenderedPageBreak/>
              <w:t>especially where the finish would face a prominent location and entry point into the town. The proposed finishes would be detrimental to the character and setting of the row that makes up Pimlico Village.  As the dimensions of the cottages look to respect the dimensions and traditional nature of the row, so should the finish.</w:t>
            </w:r>
          </w:p>
          <w:p w14:paraId="581BB273" w14:textId="2A32DD64" w:rsidR="000168EB" w:rsidRPr="00C0704D" w:rsidRDefault="000168EB" w:rsidP="000168EB">
            <w:pPr>
              <w:rPr>
                <w:rFonts w:ascii="Calibri" w:hAnsi="Calibri"/>
                <w:szCs w:val="22"/>
              </w:rPr>
            </w:pPr>
          </w:p>
        </w:tc>
      </w:tr>
      <w:tr w:rsidR="00D80CA6" w:rsidRPr="00D2449B" w14:paraId="1CDFA4C3" w14:textId="77777777" w:rsidTr="00D80CA6">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D80CA6" w:rsidRPr="00D2449B" w:rsidRDefault="00D80CA6" w:rsidP="00D80CA6">
            <w:pPr>
              <w:rPr>
                <w:rFonts w:ascii="Calibri" w:hAnsi="Calibri"/>
                <w:color w:val="FF0000"/>
                <w:szCs w:val="22"/>
              </w:rPr>
            </w:pPr>
          </w:p>
        </w:tc>
      </w:tr>
      <w:tr w:rsidR="00D80CA6" w:rsidRPr="00D2449B" w14:paraId="55EAB664" w14:textId="77777777" w:rsidTr="00D80CA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D80CA6" w:rsidRPr="00D2449B" w:rsidRDefault="00D80CA6" w:rsidP="00D80CA6">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D80CA6" w:rsidRPr="00D2449B" w14:paraId="421609D9" w14:textId="77777777" w:rsidTr="00D80CA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D80CA6" w:rsidRPr="00D2449B" w:rsidRDefault="00D80CA6" w:rsidP="00D80CA6">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D80CA6" w:rsidRDefault="00D80CA6" w:rsidP="00D80CA6">
            <w:pPr>
              <w:rPr>
                <w:rFonts w:ascii="Calibri" w:hAnsi="Calibri"/>
                <w:b/>
                <w:szCs w:val="22"/>
              </w:rPr>
            </w:pPr>
          </w:p>
          <w:p w14:paraId="1B7A7E15" w14:textId="77777777" w:rsidR="005C318F" w:rsidRPr="005C318F" w:rsidRDefault="005C318F" w:rsidP="005C318F">
            <w:pPr>
              <w:pStyle w:val="PLANNING"/>
              <w:rPr>
                <w:rFonts w:ascii="Calibri" w:hAnsi="Calibri"/>
                <w:szCs w:val="22"/>
              </w:rPr>
            </w:pPr>
            <w:r w:rsidRPr="005C318F">
              <w:rPr>
                <w:rFonts w:ascii="Calibri" w:hAnsi="Calibri"/>
                <w:szCs w:val="22"/>
              </w:rPr>
              <w:t>Key Statement DS1 – Development Strategy</w:t>
            </w:r>
          </w:p>
          <w:p w14:paraId="4543A8EC" w14:textId="77777777" w:rsidR="005C318F" w:rsidRPr="005C318F" w:rsidRDefault="005C318F" w:rsidP="005C318F">
            <w:pPr>
              <w:pStyle w:val="PLANNING"/>
              <w:rPr>
                <w:rFonts w:ascii="Calibri" w:hAnsi="Calibri"/>
                <w:szCs w:val="22"/>
              </w:rPr>
            </w:pPr>
            <w:r w:rsidRPr="005C318F">
              <w:rPr>
                <w:rFonts w:ascii="Calibri" w:hAnsi="Calibri"/>
                <w:szCs w:val="22"/>
              </w:rPr>
              <w:t>Key Statement DS2 – Sustainable Development</w:t>
            </w:r>
          </w:p>
          <w:p w14:paraId="4FB42F8A" w14:textId="77777777" w:rsidR="005C318F" w:rsidRPr="005C318F" w:rsidRDefault="005C318F" w:rsidP="005C318F">
            <w:pPr>
              <w:pStyle w:val="PLANNING"/>
              <w:rPr>
                <w:rFonts w:ascii="Calibri" w:hAnsi="Calibri"/>
                <w:szCs w:val="22"/>
              </w:rPr>
            </w:pPr>
            <w:r w:rsidRPr="005C318F">
              <w:rPr>
                <w:rFonts w:ascii="Calibri" w:hAnsi="Calibri"/>
                <w:szCs w:val="22"/>
              </w:rPr>
              <w:t>Key Statement H1 – Housing Provision</w:t>
            </w:r>
          </w:p>
          <w:p w14:paraId="4E9097C0" w14:textId="77777777" w:rsidR="005C318F" w:rsidRPr="005C318F" w:rsidRDefault="005C318F" w:rsidP="005C318F">
            <w:pPr>
              <w:pStyle w:val="PLANNING"/>
              <w:rPr>
                <w:rFonts w:ascii="Calibri" w:hAnsi="Calibri"/>
                <w:szCs w:val="22"/>
              </w:rPr>
            </w:pPr>
            <w:r w:rsidRPr="005C318F">
              <w:rPr>
                <w:rFonts w:ascii="Calibri" w:hAnsi="Calibri"/>
                <w:szCs w:val="22"/>
              </w:rPr>
              <w:t>Key Statement H2 – Housing Balance</w:t>
            </w:r>
          </w:p>
          <w:p w14:paraId="1C1A79B1" w14:textId="35457FD1" w:rsidR="005C318F" w:rsidRDefault="005C318F" w:rsidP="005C318F">
            <w:pPr>
              <w:pStyle w:val="PLANNING"/>
              <w:rPr>
                <w:rFonts w:ascii="Calibri" w:hAnsi="Calibri"/>
                <w:szCs w:val="22"/>
              </w:rPr>
            </w:pPr>
            <w:r w:rsidRPr="005C318F">
              <w:rPr>
                <w:rFonts w:ascii="Calibri" w:hAnsi="Calibri"/>
                <w:szCs w:val="22"/>
              </w:rPr>
              <w:t>Key Statement EC2 – Development of Retail, Shops and Community Facilities and Services</w:t>
            </w:r>
          </w:p>
          <w:p w14:paraId="464542B4" w14:textId="77777777" w:rsidR="005C318F" w:rsidRPr="005C318F" w:rsidRDefault="005C318F" w:rsidP="005C318F">
            <w:pPr>
              <w:pStyle w:val="PLANNING"/>
              <w:rPr>
                <w:rFonts w:ascii="Calibri" w:hAnsi="Calibri"/>
                <w:szCs w:val="22"/>
              </w:rPr>
            </w:pPr>
          </w:p>
          <w:p w14:paraId="3EBB4614" w14:textId="77777777" w:rsidR="005C318F" w:rsidRPr="005C318F" w:rsidRDefault="005C318F" w:rsidP="005C318F">
            <w:pPr>
              <w:pStyle w:val="PLANNING"/>
              <w:rPr>
                <w:rFonts w:ascii="Calibri" w:hAnsi="Calibri"/>
                <w:szCs w:val="22"/>
              </w:rPr>
            </w:pPr>
            <w:r w:rsidRPr="005C318F">
              <w:rPr>
                <w:rFonts w:ascii="Calibri" w:hAnsi="Calibri"/>
                <w:szCs w:val="22"/>
              </w:rPr>
              <w:t>Policy DMG1 – General Considerations</w:t>
            </w:r>
          </w:p>
          <w:p w14:paraId="317C51BF" w14:textId="77777777" w:rsidR="005C318F" w:rsidRPr="005C318F" w:rsidRDefault="005C318F" w:rsidP="005C318F">
            <w:pPr>
              <w:pStyle w:val="PLANNING"/>
              <w:rPr>
                <w:rFonts w:ascii="Calibri" w:hAnsi="Calibri"/>
                <w:szCs w:val="22"/>
              </w:rPr>
            </w:pPr>
            <w:r w:rsidRPr="005C318F">
              <w:rPr>
                <w:rFonts w:ascii="Calibri" w:hAnsi="Calibri"/>
                <w:szCs w:val="22"/>
              </w:rPr>
              <w:t>Policy DMG2 – Strategic Considerations</w:t>
            </w:r>
          </w:p>
          <w:p w14:paraId="0958D61F" w14:textId="77777777" w:rsidR="005C318F" w:rsidRPr="005C318F" w:rsidRDefault="005C318F" w:rsidP="005C318F">
            <w:pPr>
              <w:pStyle w:val="PLANNING"/>
              <w:rPr>
                <w:rFonts w:ascii="Calibri" w:hAnsi="Calibri"/>
                <w:szCs w:val="22"/>
              </w:rPr>
            </w:pPr>
            <w:r w:rsidRPr="005C318F">
              <w:rPr>
                <w:rFonts w:ascii="Calibri" w:hAnsi="Calibri"/>
                <w:szCs w:val="22"/>
              </w:rPr>
              <w:t>Policy DMG3 – Transport and Mobility</w:t>
            </w:r>
          </w:p>
          <w:p w14:paraId="301B0C8C" w14:textId="77777777" w:rsidR="005C318F" w:rsidRPr="005C318F" w:rsidRDefault="005C318F" w:rsidP="005C318F">
            <w:pPr>
              <w:pStyle w:val="PLANNING"/>
              <w:rPr>
                <w:rFonts w:ascii="Calibri" w:hAnsi="Calibri"/>
                <w:szCs w:val="22"/>
              </w:rPr>
            </w:pPr>
            <w:r w:rsidRPr="005C318F">
              <w:rPr>
                <w:rFonts w:ascii="Calibri" w:hAnsi="Calibri"/>
                <w:szCs w:val="22"/>
              </w:rPr>
              <w:t>Policy DME1 – Protecting Trees and Woodlands</w:t>
            </w:r>
          </w:p>
          <w:p w14:paraId="18BD33EC" w14:textId="77777777" w:rsidR="005C318F" w:rsidRPr="005C318F" w:rsidRDefault="005C318F" w:rsidP="005C318F">
            <w:pPr>
              <w:pStyle w:val="PLANNING"/>
              <w:rPr>
                <w:rFonts w:ascii="Calibri" w:hAnsi="Calibri"/>
                <w:szCs w:val="22"/>
              </w:rPr>
            </w:pPr>
            <w:r w:rsidRPr="005C318F">
              <w:rPr>
                <w:rFonts w:ascii="Calibri" w:hAnsi="Calibri"/>
                <w:szCs w:val="22"/>
              </w:rPr>
              <w:t>Policy DME3 – Site and Species Protection and Conservation</w:t>
            </w:r>
          </w:p>
          <w:p w14:paraId="2D7DAF24" w14:textId="77777777" w:rsidR="005C318F" w:rsidRPr="005C318F" w:rsidRDefault="005C318F" w:rsidP="005C318F">
            <w:pPr>
              <w:pStyle w:val="PLANNING"/>
              <w:rPr>
                <w:rFonts w:ascii="Calibri" w:hAnsi="Calibri"/>
                <w:szCs w:val="22"/>
              </w:rPr>
            </w:pPr>
            <w:r w:rsidRPr="005C318F">
              <w:rPr>
                <w:rFonts w:ascii="Calibri" w:hAnsi="Calibri"/>
                <w:szCs w:val="22"/>
              </w:rPr>
              <w:t>Policy DMH5 – Footpaths and Bridleways</w:t>
            </w:r>
          </w:p>
          <w:p w14:paraId="1360EE56" w14:textId="6A1CBBB2" w:rsidR="00D80CA6" w:rsidRDefault="005C318F" w:rsidP="005C318F">
            <w:pPr>
              <w:pStyle w:val="PLANNING"/>
              <w:rPr>
                <w:rFonts w:ascii="Calibri" w:hAnsi="Calibri"/>
                <w:szCs w:val="22"/>
              </w:rPr>
            </w:pPr>
            <w:r w:rsidRPr="005C318F">
              <w:rPr>
                <w:rFonts w:ascii="Calibri" w:hAnsi="Calibri"/>
                <w:szCs w:val="22"/>
              </w:rPr>
              <w:t>Policy DMB1 – Supporting Business Growth and the Local Economy</w:t>
            </w:r>
          </w:p>
          <w:p w14:paraId="6B59805E" w14:textId="77777777" w:rsidR="005C318F" w:rsidRDefault="005C318F" w:rsidP="005C318F">
            <w:pPr>
              <w:pStyle w:val="PLANNING"/>
              <w:rPr>
                <w:rFonts w:ascii="Calibri" w:hAnsi="Calibri"/>
                <w:szCs w:val="22"/>
              </w:rPr>
            </w:pPr>
          </w:p>
          <w:p w14:paraId="08A423E0" w14:textId="77777777" w:rsidR="00D80CA6" w:rsidRPr="00C618DB" w:rsidRDefault="00D80CA6" w:rsidP="00D80CA6">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D80CA6" w:rsidRDefault="00D80CA6" w:rsidP="00D80CA6">
            <w:pPr>
              <w:rPr>
                <w:rFonts w:ascii="Calibri" w:hAnsi="Calibri"/>
                <w:szCs w:val="22"/>
              </w:rPr>
            </w:pPr>
            <w:r w:rsidRPr="00C618DB">
              <w:rPr>
                <w:rFonts w:ascii="Calibri" w:hAnsi="Calibri"/>
                <w:szCs w:val="22"/>
              </w:rPr>
              <w:t>National Planning Policy Framework (NPPF)</w:t>
            </w:r>
          </w:p>
          <w:p w14:paraId="6C4C318E" w14:textId="77777777" w:rsidR="00D80CA6" w:rsidRPr="00D2449B" w:rsidRDefault="00D80CA6" w:rsidP="00D80CA6">
            <w:pPr>
              <w:rPr>
                <w:rFonts w:ascii="Calibri" w:hAnsi="Calibri"/>
                <w:b/>
                <w:szCs w:val="22"/>
              </w:rPr>
            </w:pPr>
          </w:p>
        </w:tc>
      </w:tr>
      <w:tr w:rsidR="00D80CA6" w:rsidRPr="00D2449B" w14:paraId="08181FD6" w14:textId="77777777" w:rsidTr="00D80CA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D80CA6" w:rsidRPr="006A71AD" w:rsidRDefault="00D80CA6" w:rsidP="00D80CA6">
            <w:pPr>
              <w:pStyle w:val="PLANNING"/>
              <w:rPr>
                <w:rFonts w:ascii="Calibri" w:hAnsi="Calibri"/>
                <w:b/>
                <w:bCs/>
                <w:szCs w:val="22"/>
              </w:rPr>
            </w:pPr>
            <w:r w:rsidRPr="006A71AD">
              <w:rPr>
                <w:rFonts w:ascii="Calibri" w:hAnsi="Calibri"/>
                <w:b/>
                <w:bCs/>
                <w:szCs w:val="22"/>
              </w:rPr>
              <w:t>Relevant Planning History:</w:t>
            </w:r>
          </w:p>
          <w:p w14:paraId="1D356246" w14:textId="012A2C85" w:rsidR="00D80CA6" w:rsidRDefault="00D80CA6" w:rsidP="00D80CA6">
            <w:pPr>
              <w:pStyle w:val="PLANNING"/>
              <w:rPr>
                <w:rFonts w:ascii="Calibri" w:hAnsi="Calibri"/>
                <w:b/>
                <w:bCs/>
                <w:szCs w:val="22"/>
              </w:rPr>
            </w:pPr>
          </w:p>
          <w:p w14:paraId="49FA9134" w14:textId="7CD6E141" w:rsidR="003C30D1" w:rsidRDefault="003C30D1" w:rsidP="00D80CA6">
            <w:pPr>
              <w:pStyle w:val="PLANNING"/>
              <w:rPr>
                <w:rFonts w:ascii="Calibri" w:hAnsi="Calibri"/>
                <w:b/>
                <w:bCs/>
                <w:szCs w:val="22"/>
              </w:rPr>
            </w:pPr>
            <w:r>
              <w:rPr>
                <w:rFonts w:ascii="Calibri" w:hAnsi="Calibri"/>
                <w:b/>
                <w:bCs/>
                <w:szCs w:val="22"/>
              </w:rPr>
              <w:t>3/2020/0367:</w:t>
            </w:r>
          </w:p>
          <w:p w14:paraId="5A8C7CC3" w14:textId="20734A7A" w:rsidR="003C30D1" w:rsidRPr="003C30D1" w:rsidRDefault="003C30D1" w:rsidP="00D80CA6">
            <w:pPr>
              <w:pStyle w:val="PLANNING"/>
              <w:rPr>
                <w:rFonts w:ascii="Calibri" w:hAnsi="Calibri"/>
                <w:szCs w:val="22"/>
              </w:rPr>
            </w:pPr>
            <w:r w:rsidRPr="003C30D1">
              <w:rPr>
                <w:rFonts w:ascii="Calibri" w:hAnsi="Calibri"/>
                <w:szCs w:val="22"/>
              </w:rPr>
              <w:t>Change of use and extension of the Black Horse Inn to residential dwellings and associated landscaping and parking.  (Refused – Appeal Dismissed)</w:t>
            </w:r>
          </w:p>
          <w:p w14:paraId="4558DE18" w14:textId="77777777" w:rsidR="003C30D1" w:rsidRDefault="003C30D1" w:rsidP="00D80CA6">
            <w:pPr>
              <w:pStyle w:val="PLANNING"/>
              <w:rPr>
                <w:rFonts w:ascii="Calibri" w:hAnsi="Calibri"/>
                <w:b/>
                <w:bCs/>
                <w:szCs w:val="22"/>
              </w:rPr>
            </w:pPr>
          </w:p>
          <w:p w14:paraId="3CFB06F9" w14:textId="77777777" w:rsidR="005C318F" w:rsidRPr="003C30D1" w:rsidRDefault="005C318F" w:rsidP="005C318F">
            <w:pPr>
              <w:pStyle w:val="PLANNING"/>
              <w:rPr>
                <w:rFonts w:ascii="Calibri" w:hAnsi="Calibri"/>
                <w:b/>
                <w:bCs/>
                <w:szCs w:val="22"/>
              </w:rPr>
            </w:pPr>
            <w:r w:rsidRPr="003C30D1">
              <w:rPr>
                <w:rFonts w:ascii="Calibri" w:hAnsi="Calibri"/>
                <w:b/>
                <w:bCs/>
                <w:szCs w:val="22"/>
              </w:rPr>
              <w:t>3/2020/0054:</w:t>
            </w:r>
          </w:p>
          <w:p w14:paraId="22EDE6F6" w14:textId="35992F72" w:rsidR="005C318F" w:rsidRPr="003C30D1" w:rsidRDefault="005C318F" w:rsidP="005C318F">
            <w:pPr>
              <w:pStyle w:val="PLANNING"/>
              <w:rPr>
                <w:rFonts w:ascii="Calibri" w:hAnsi="Calibri"/>
                <w:szCs w:val="22"/>
              </w:rPr>
            </w:pPr>
            <w:r w:rsidRPr="003C30D1">
              <w:rPr>
                <w:rFonts w:ascii="Calibri" w:hAnsi="Calibri"/>
                <w:szCs w:val="22"/>
              </w:rPr>
              <w:t>Change of use and extension of the Black Horse Inn to six residential dwellings and associated landscaping and parking. (Resubmission of 3/2018/0919). (Approved with conditions)</w:t>
            </w:r>
          </w:p>
          <w:p w14:paraId="1BC21E19" w14:textId="77777777" w:rsidR="005C318F" w:rsidRPr="003C30D1" w:rsidRDefault="005C318F" w:rsidP="005C318F">
            <w:pPr>
              <w:pStyle w:val="PLANNING"/>
              <w:rPr>
                <w:rFonts w:ascii="Calibri" w:hAnsi="Calibri"/>
                <w:szCs w:val="22"/>
              </w:rPr>
            </w:pPr>
          </w:p>
          <w:p w14:paraId="0C7885D0" w14:textId="77777777" w:rsidR="005C318F" w:rsidRPr="003C30D1" w:rsidRDefault="005C318F" w:rsidP="005C318F">
            <w:pPr>
              <w:pStyle w:val="PLANNING"/>
              <w:rPr>
                <w:rFonts w:ascii="Calibri" w:hAnsi="Calibri"/>
                <w:b/>
                <w:bCs/>
                <w:szCs w:val="22"/>
              </w:rPr>
            </w:pPr>
            <w:r w:rsidRPr="003C30D1">
              <w:rPr>
                <w:rFonts w:ascii="Calibri" w:hAnsi="Calibri"/>
                <w:b/>
                <w:bCs/>
                <w:szCs w:val="22"/>
              </w:rPr>
              <w:t>3/2020/0022:</w:t>
            </w:r>
          </w:p>
          <w:p w14:paraId="5E6C198F" w14:textId="50BE00C1" w:rsidR="005C318F" w:rsidRPr="003C30D1" w:rsidRDefault="005C318F" w:rsidP="005C318F">
            <w:pPr>
              <w:pStyle w:val="PLANNING"/>
              <w:rPr>
                <w:rFonts w:ascii="Calibri" w:hAnsi="Calibri"/>
                <w:szCs w:val="22"/>
              </w:rPr>
            </w:pPr>
            <w:r w:rsidRPr="003C30D1">
              <w:rPr>
                <w:rFonts w:ascii="Calibri" w:hAnsi="Calibri"/>
                <w:szCs w:val="22"/>
              </w:rPr>
              <w:t xml:space="preserve"> Erection of two pairs semi-detached houses within the curtilage of The Black Horse Inn, including associated parking &amp; landscaping.  Resubmission of planning application 3/2019/0472. (Approved with conditions)</w:t>
            </w:r>
          </w:p>
          <w:p w14:paraId="242FCBE0" w14:textId="77777777" w:rsidR="005C318F" w:rsidRPr="003C30D1" w:rsidRDefault="005C318F" w:rsidP="005C318F">
            <w:pPr>
              <w:pStyle w:val="PLANNING"/>
              <w:rPr>
                <w:rFonts w:ascii="Calibri" w:hAnsi="Calibri"/>
                <w:szCs w:val="22"/>
              </w:rPr>
            </w:pPr>
          </w:p>
          <w:p w14:paraId="269CEFDD" w14:textId="77777777" w:rsidR="005C318F" w:rsidRPr="003C30D1" w:rsidRDefault="005C318F" w:rsidP="005C318F">
            <w:pPr>
              <w:pStyle w:val="PLANNING"/>
              <w:rPr>
                <w:rFonts w:ascii="Calibri" w:hAnsi="Calibri"/>
                <w:b/>
                <w:bCs/>
                <w:szCs w:val="22"/>
              </w:rPr>
            </w:pPr>
            <w:r w:rsidRPr="003C30D1">
              <w:rPr>
                <w:rFonts w:ascii="Calibri" w:hAnsi="Calibri"/>
                <w:b/>
                <w:bCs/>
                <w:szCs w:val="22"/>
              </w:rPr>
              <w:t>3/2019/0472:</w:t>
            </w:r>
          </w:p>
          <w:p w14:paraId="741D73CA" w14:textId="2D5C0539" w:rsidR="005C318F" w:rsidRPr="003C30D1" w:rsidRDefault="005C318F" w:rsidP="005C318F">
            <w:pPr>
              <w:pStyle w:val="PLANNING"/>
              <w:rPr>
                <w:rFonts w:ascii="Calibri" w:hAnsi="Calibri"/>
                <w:szCs w:val="22"/>
              </w:rPr>
            </w:pPr>
            <w:r w:rsidRPr="003C30D1">
              <w:rPr>
                <w:rFonts w:ascii="Calibri" w:hAnsi="Calibri"/>
                <w:szCs w:val="22"/>
              </w:rPr>
              <w:t>Erection of two pairs of semi-detached houses with rooms in the roof space. (Approved with conditions)</w:t>
            </w:r>
          </w:p>
          <w:p w14:paraId="28F006D1" w14:textId="77777777" w:rsidR="005C318F" w:rsidRPr="003C30D1" w:rsidRDefault="005C318F" w:rsidP="005C318F">
            <w:pPr>
              <w:pStyle w:val="PLANNING"/>
              <w:rPr>
                <w:rFonts w:ascii="Calibri" w:hAnsi="Calibri"/>
                <w:szCs w:val="22"/>
              </w:rPr>
            </w:pPr>
          </w:p>
          <w:p w14:paraId="5C4D838A" w14:textId="77777777" w:rsidR="005C318F" w:rsidRPr="003C30D1" w:rsidRDefault="005C318F" w:rsidP="005C318F">
            <w:pPr>
              <w:pStyle w:val="PLANNING"/>
              <w:rPr>
                <w:rFonts w:ascii="Calibri" w:hAnsi="Calibri"/>
                <w:b/>
                <w:bCs/>
                <w:szCs w:val="22"/>
              </w:rPr>
            </w:pPr>
            <w:r w:rsidRPr="003C30D1">
              <w:rPr>
                <w:rFonts w:ascii="Calibri" w:hAnsi="Calibri"/>
                <w:b/>
                <w:bCs/>
                <w:szCs w:val="22"/>
              </w:rPr>
              <w:t>3/2018/0919:</w:t>
            </w:r>
          </w:p>
          <w:p w14:paraId="1B425246" w14:textId="6EB74F97" w:rsidR="005C318F" w:rsidRPr="003C30D1" w:rsidRDefault="005C318F" w:rsidP="005C318F">
            <w:pPr>
              <w:pStyle w:val="PLANNING"/>
              <w:rPr>
                <w:rFonts w:ascii="Calibri" w:hAnsi="Calibri"/>
                <w:szCs w:val="22"/>
              </w:rPr>
            </w:pPr>
            <w:r w:rsidRPr="003C30D1">
              <w:rPr>
                <w:rFonts w:ascii="Calibri" w:hAnsi="Calibri"/>
                <w:szCs w:val="22"/>
              </w:rPr>
              <w:t>Conversion of former public house to form four apartments and erection of four new-build apartments and associated parking.  (Refused)</w:t>
            </w:r>
          </w:p>
          <w:p w14:paraId="5A5B12CE" w14:textId="77777777" w:rsidR="005C318F" w:rsidRPr="003C30D1" w:rsidRDefault="005C318F" w:rsidP="005C318F">
            <w:pPr>
              <w:pStyle w:val="PLANNING"/>
              <w:rPr>
                <w:rFonts w:ascii="Calibri" w:hAnsi="Calibri"/>
                <w:szCs w:val="22"/>
              </w:rPr>
            </w:pPr>
          </w:p>
          <w:p w14:paraId="5601944F" w14:textId="77777777" w:rsidR="005C318F" w:rsidRPr="003C30D1" w:rsidRDefault="005C318F" w:rsidP="005C318F">
            <w:pPr>
              <w:pStyle w:val="PLANNING"/>
              <w:rPr>
                <w:rFonts w:ascii="Calibri" w:hAnsi="Calibri"/>
                <w:b/>
                <w:bCs/>
                <w:szCs w:val="22"/>
              </w:rPr>
            </w:pPr>
            <w:r w:rsidRPr="003C30D1">
              <w:rPr>
                <w:rFonts w:ascii="Calibri" w:hAnsi="Calibri"/>
                <w:b/>
                <w:bCs/>
                <w:szCs w:val="22"/>
              </w:rPr>
              <w:t>3/2017/1030:</w:t>
            </w:r>
          </w:p>
          <w:p w14:paraId="72ED5EB2" w14:textId="39C1A9FC" w:rsidR="005C318F" w:rsidRPr="003C30D1" w:rsidRDefault="005C318F" w:rsidP="005C318F">
            <w:pPr>
              <w:pStyle w:val="PLANNING"/>
              <w:rPr>
                <w:rFonts w:ascii="Calibri" w:hAnsi="Calibri"/>
                <w:szCs w:val="22"/>
              </w:rPr>
            </w:pPr>
            <w:r w:rsidRPr="003C30D1">
              <w:rPr>
                <w:rFonts w:ascii="Calibri" w:hAnsi="Calibri"/>
                <w:szCs w:val="22"/>
              </w:rPr>
              <w:t>Erection of two pairs of semi-detached houses with rooms in the roof space and erection of two detached garages. (Refused)</w:t>
            </w:r>
          </w:p>
          <w:p w14:paraId="1756C828" w14:textId="77777777" w:rsidR="005C318F" w:rsidRPr="003C30D1" w:rsidRDefault="005C318F" w:rsidP="005C318F">
            <w:pPr>
              <w:pStyle w:val="PLANNING"/>
              <w:rPr>
                <w:rFonts w:ascii="Calibri" w:hAnsi="Calibri"/>
                <w:szCs w:val="22"/>
              </w:rPr>
            </w:pPr>
          </w:p>
          <w:p w14:paraId="016AAAB8" w14:textId="77777777" w:rsidR="005C318F" w:rsidRPr="003C30D1" w:rsidRDefault="005C318F" w:rsidP="005C318F">
            <w:pPr>
              <w:pStyle w:val="PLANNING"/>
              <w:rPr>
                <w:rFonts w:ascii="Calibri" w:hAnsi="Calibri"/>
                <w:b/>
                <w:bCs/>
                <w:szCs w:val="22"/>
              </w:rPr>
            </w:pPr>
            <w:r w:rsidRPr="003C30D1">
              <w:rPr>
                <w:rFonts w:ascii="Calibri" w:hAnsi="Calibri"/>
                <w:b/>
                <w:bCs/>
                <w:szCs w:val="22"/>
              </w:rPr>
              <w:t>3/2011/0169:</w:t>
            </w:r>
          </w:p>
          <w:p w14:paraId="774952D0" w14:textId="5D5ABD5D" w:rsidR="005C318F" w:rsidRPr="003C30D1" w:rsidRDefault="005C318F" w:rsidP="005C318F">
            <w:pPr>
              <w:pStyle w:val="PLANNING"/>
              <w:rPr>
                <w:rFonts w:ascii="Calibri" w:hAnsi="Calibri"/>
                <w:szCs w:val="22"/>
              </w:rPr>
            </w:pPr>
            <w:r w:rsidRPr="003C30D1">
              <w:rPr>
                <w:rFonts w:ascii="Calibri" w:hAnsi="Calibri"/>
                <w:szCs w:val="22"/>
              </w:rPr>
              <w:lastRenderedPageBreak/>
              <w:t>Proposed erection of a three-bedroom bungalow with and integral garage on land to the rear of the public house. (Approved with conditions)</w:t>
            </w:r>
          </w:p>
          <w:p w14:paraId="17147D50" w14:textId="1B19B3D1" w:rsidR="00D80CA6" w:rsidRPr="00D2449B" w:rsidRDefault="00D80CA6" w:rsidP="005C318F">
            <w:pPr>
              <w:pStyle w:val="PLANNING"/>
              <w:rPr>
                <w:rFonts w:ascii="Calibri" w:hAnsi="Calibri"/>
                <w:b/>
                <w:bCs/>
                <w:szCs w:val="22"/>
              </w:rPr>
            </w:pPr>
          </w:p>
        </w:tc>
      </w:tr>
      <w:tr w:rsidR="00D80CA6" w:rsidRPr="00D2449B" w14:paraId="6AAC3B0A" w14:textId="77777777" w:rsidTr="00D80CA6">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D80CA6" w:rsidRPr="006A71AD" w:rsidRDefault="00D80CA6" w:rsidP="00D80CA6">
            <w:pPr>
              <w:pStyle w:val="PLANNING"/>
              <w:rPr>
                <w:rFonts w:ascii="Calibri" w:hAnsi="Calibri"/>
                <w:b/>
                <w:bCs/>
                <w:szCs w:val="22"/>
              </w:rPr>
            </w:pPr>
          </w:p>
        </w:tc>
      </w:tr>
      <w:tr w:rsidR="00D80CA6" w:rsidRPr="00D2449B" w14:paraId="014E595D" w14:textId="77777777" w:rsidTr="00D80CA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D80CA6" w:rsidRPr="00D2449B" w:rsidRDefault="00D80CA6" w:rsidP="00D80CA6">
            <w:pPr>
              <w:rPr>
                <w:rFonts w:ascii="Calibri" w:hAnsi="Calibri"/>
                <w:b/>
                <w:szCs w:val="22"/>
              </w:rPr>
            </w:pPr>
            <w:r>
              <w:rPr>
                <w:rFonts w:ascii="Calibri" w:hAnsi="Calibri"/>
                <w:b/>
                <w:bCs/>
                <w:szCs w:val="22"/>
              </w:rPr>
              <w:t>ASSESSMENT OF PROPOSED DEVELOPMENT:</w:t>
            </w:r>
          </w:p>
        </w:tc>
      </w:tr>
      <w:tr w:rsidR="00D80CA6" w:rsidRPr="00D2449B" w14:paraId="7538C7A5" w14:textId="77777777" w:rsidTr="00D80CA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D80CA6" w:rsidRDefault="00D80CA6" w:rsidP="00D80CA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1DA46D46" w:rsidR="00D80CA6" w:rsidRDefault="00D80CA6" w:rsidP="00D80CA6">
            <w:pPr>
              <w:pStyle w:val="Header"/>
              <w:tabs>
                <w:tab w:val="clear" w:pos="4153"/>
                <w:tab w:val="clear" w:pos="8306"/>
              </w:tabs>
              <w:contextualSpacing/>
              <w:jc w:val="both"/>
              <w:rPr>
                <w:rFonts w:ascii="Calibri" w:hAnsi="Calibri"/>
                <w:bCs/>
                <w:szCs w:val="22"/>
              </w:rPr>
            </w:pPr>
          </w:p>
          <w:p w14:paraId="4011A5B7" w14:textId="5412548A" w:rsidR="00C6702A" w:rsidRDefault="00C6702A" w:rsidP="00D80CA6">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the former Black Horse Inn and associated land to rear (</w:t>
            </w:r>
            <w:r w:rsidR="00490655">
              <w:rPr>
                <w:rFonts w:ascii="Calibri" w:hAnsi="Calibri"/>
                <w:bCs/>
                <w:szCs w:val="22"/>
              </w:rPr>
              <w:t>east) and side (south).  The site is located within the defined settlement limits of Clitheroe, being located in an area that is largely characterised by residential development of mixed form and appearance save that for buildings and parking associated with Pimlico Industrial Area located to the west.</w:t>
            </w:r>
          </w:p>
          <w:p w14:paraId="5E420800" w14:textId="2639C7FC" w:rsidR="00490655" w:rsidRDefault="00490655" w:rsidP="00D80CA6">
            <w:pPr>
              <w:pStyle w:val="Header"/>
              <w:tabs>
                <w:tab w:val="clear" w:pos="4153"/>
                <w:tab w:val="clear" w:pos="8306"/>
              </w:tabs>
              <w:contextualSpacing/>
              <w:jc w:val="both"/>
              <w:rPr>
                <w:rFonts w:ascii="Calibri" w:hAnsi="Calibri"/>
                <w:bCs/>
                <w:szCs w:val="22"/>
              </w:rPr>
            </w:pPr>
          </w:p>
          <w:p w14:paraId="11B9DC2D" w14:textId="71B09155" w:rsidR="00490655" w:rsidRDefault="00490655" w:rsidP="00D80CA6">
            <w:pPr>
              <w:pStyle w:val="Header"/>
              <w:tabs>
                <w:tab w:val="clear" w:pos="4153"/>
                <w:tab w:val="clear" w:pos="8306"/>
              </w:tabs>
              <w:contextualSpacing/>
              <w:jc w:val="both"/>
              <w:rPr>
                <w:rFonts w:ascii="Calibri" w:hAnsi="Calibri"/>
                <w:bCs/>
                <w:szCs w:val="22"/>
              </w:rPr>
            </w:pPr>
            <w:r>
              <w:rPr>
                <w:rFonts w:ascii="Calibri" w:hAnsi="Calibri"/>
                <w:bCs/>
                <w:szCs w:val="22"/>
              </w:rPr>
              <w:t>The existing Inn forms part of an existing two-storey terrace of residential dwellings</w:t>
            </w:r>
            <w:r w:rsidR="00840610">
              <w:rPr>
                <w:rFonts w:ascii="Calibri" w:hAnsi="Calibri"/>
                <w:bCs/>
                <w:szCs w:val="22"/>
              </w:rPr>
              <w:t>, all of which are of a stone-faced construction to their primary elevations fronting Pimlico Road.</w:t>
            </w:r>
          </w:p>
          <w:p w14:paraId="62370E9F" w14:textId="3D94699E" w:rsidR="003C30D1" w:rsidRPr="006C2BFA" w:rsidRDefault="003C30D1" w:rsidP="00840610">
            <w:pPr>
              <w:pStyle w:val="Header"/>
              <w:tabs>
                <w:tab w:val="clear" w:pos="4153"/>
                <w:tab w:val="clear" w:pos="8306"/>
              </w:tabs>
              <w:contextualSpacing/>
              <w:jc w:val="both"/>
              <w:rPr>
                <w:rFonts w:ascii="Calibri" w:hAnsi="Calibri"/>
                <w:bCs/>
                <w:szCs w:val="22"/>
              </w:rPr>
            </w:pPr>
          </w:p>
        </w:tc>
      </w:tr>
      <w:tr w:rsidR="00D80CA6" w:rsidRPr="00D2449B" w14:paraId="408C6380" w14:textId="77777777" w:rsidTr="00D80CA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D80CA6" w:rsidRDefault="00D80CA6" w:rsidP="00D80CA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D80CA6" w:rsidRDefault="00D80CA6" w:rsidP="00D80CA6">
            <w:pPr>
              <w:pStyle w:val="Header"/>
              <w:tabs>
                <w:tab w:val="clear" w:pos="4153"/>
                <w:tab w:val="clear" w:pos="8306"/>
              </w:tabs>
              <w:jc w:val="both"/>
              <w:rPr>
                <w:rFonts w:ascii="Calibri" w:hAnsi="Calibri"/>
                <w:b/>
                <w:szCs w:val="22"/>
              </w:rPr>
            </w:pPr>
          </w:p>
          <w:p w14:paraId="484AAB6D" w14:textId="2ECB5C62" w:rsidR="00D80CA6" w:rsidRDefault="00840610" w:rsidP="00D80CA6">
            <w:pPr>
              <w:rPr>
                <w:rFonts w:ascii="Calibri" w:hAnsi="Calibri"/>
                <w:szCs w:val="22"/>
              </w:rPr>
            </w:pPr>
            <w:r>
              <w:rPr>
                <w:rFonts w:ascii="Calibri" w:hAnsi="Calibri"/>
                <w:szCs w:val="22"/>
              </w:rPr>
              <w:t xml:space="preserve">The application seeks consent </w:t>
            </w:r>
            <w:r w:rsidR="00B52DC1">
              <w:rPr>
                <w:rFonts w:ascii="Calibri" w:hAnsi="Calibri"/>
                <w:szCs w:val="22"/>
              </w:rPr>
              <w:t>for the conversion of the existing Inn building to that of four one-bedroomed apartments and the erection of two attached two-bedroomed dwellings</w:t>
            </w:r>
            <w:r w:rsidR="007B7432">
              <w:rPr>
                <w:rFonts w:ascii="Calibri" w:hAnsi="Calibri"/>
                <w:szCs w:val="22"/>
              </w:rPr>
              <w:t xml:space="preserve"> in the form of an extension to the existing terrace adjoining the inn building.</w:t>
            </w:r>
          </w:p>
          <w:p w14:paraId="1B20488F" w14:textId="4AA3DAC4" w:rsidR="007B7432" w:rsidRPr="00D54E67" w:rsidRDefault="007B7432" w:rsidP="00FF75DD">
            <w:pPr>
              <w:rPr>
                <w:rFonts w:ascii="Calibri" w:hAnsi="Calibri"/>
                <w:szCs w:val="22"/>
              </w:rPr>
            </w:pPr>
          </w:p>
        </w:tc>
      </w:tr>
      <w:tr w:rsidR="00D80CA6" w:rsidRPr="00D2449B" w14:paraId="06BBE02F" w14:textId="77777777" w:rsidTr="00D80CA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D80CA6" w:rsidRDefault="00D80CA6" w:rsidP="00D80CA6">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D80CA6" w:rsidRDefault="00D80CA6" w:rsidP="00D80CA6">
            <w:pPr>
              <w:pStyle w:val="Header"/>
              <w:tabs>
                <w:tab w:val="clear" w:pos="4153"/>
                <w:tab w:val="clear" w:pos="8306"/>
              </w:tabs>
              <w:contextualSpacing/>
              <w:jc w:val="both"/>
              <w:rPr>
                <w:rFonts w:ascii="Calibri" w:hAnsi="Calibri"/>
                <w:b/>
                <w:szCs w:val="22"/>
              </w:rPr>
            </w:pPr>
          </w:p>
          <w:p w14:paraId="2545A53A" w14:textId="62AA45E7" w:rsidR="00D80CA6" w:rsidRDefault="00E434FD" w:rsidP="00D80CA6">
            <w:pPr>
              <w:pStyle w:val="Header"/>
              <w:tabs>
                <w:tab w:val="clear" w:pos="4153"/>
                <w:tab w:val="clear" w:pos="8306"/>
              </w:tabs>
              <w:contextualSpacing/>
              <w:jc w:val="both"/>
              <w:rPr>
                <w:rFonts w:ascii="Calibri" w:hAnsi="Calibri"/>
                <w:bCs/>
                <w:szCs w:val="22"/>
              </w:rPr>
            </w:pPr>
            <w:r w:rsidRPr="009773D0">
              <w:rPr>
                <w:rFonts w:ascii="Calibri" w:hAnsi="Calibri"/>
                <w:bCs/>
                <w:szCs w:val="22"/>
              </w:rPr>
              <w:t>The application is located within the defined settlement limits of Clitheroe (Principal settlement) as such the creation of new residential dwellings in this location, notwithstanding other development management considerations, would be in broad alignment with key Statement DS1 and Policy DM</w:t>
            </w:r>
            <w:r w:rsidR="009773D0" w:rsidRPr="009773D0">
              <w:rPr>
                <w:rFonts w:ascii="Calibri" w:hAnsi="Calibri"/>
                <w:bCs/>
                <w:szCs w:val="22"/>
              </w:rPr>
              <w:t>G</w:t>
            </w:r>
            <w:r w:rsidRPr="009773D0">
              <w:rPr>
                <w:rFonts w:ascii="Calibri" w:hAnsi="Calibri"/>
                <w:bCs/>
                <w:szCs w:val="22"/>
              </w:rPr>
              <w:t>2 of the Ribble Valley Core Strategy.</w:t>
            </w:r>
          </w:p>
          <w:p w14:paraId="3948A861" w14:textId="33705593" w:rsidR="009773D0" w:rsidRDefault="009773D0" w:rsidP="00D80CA6">
            <w:pPr>
              <w:pStyle w:val="Header"/>
              <w:tabs>
                <w:tab w:val="clear" w:pos="4153"/>
                <w:tab w:val="clear" w:pos="8306"/>
              </w:tabs>
              <w:contextualSpacing/>
              <w:jc w:val="both"/>
              <w:rPr>
                <w:rFonts w:ascii="Calibri" w:hAnsi="Calibri"/>
                <w:bCs/>
                <w:szCs w:val="22"/>
              </w:rPr>
            </w:pPr>
          </w:p>
          <w:p w14:paraId="778FB50D" w14:textId="21A6F962" w:rsidR="009773D0" w:rsidRDefault="009773D0" w:rsidP="000F1E37">
            <w:pPr>
              <w:pStyle w:val="Header"/>
              <w:contextualSpacing/>
              <w:jc w:val="both"/>
              <w:rPr>
                <w:rFonts w:ascii="Calibri" w:hAnsi="Calibri"/>
                <w:bCs/>
                <w:i/>
                <w:iCs/>
                <w:szCs w:val="22"/>
              </w:rPr>
            </w:pPr>
            <w:r>
              <w:rPr>
                <w:rFonts w:ascii="Calibri" w:hAnsi="Calibri"/>
                <w:bCs/>
                <w:szCs w:val="22"/>
              </w:rPr>
              <w:t>However, the proposal seeks conversion of that of an existing building that is of employment generating potential and would also be considered as being a ‘community facility’, as such both key Statement EC</w:t>
            </w:r>
            <w:r w:rsidR="000F1E37">
              <w:rPr>
                <w:rFonts w:ascii="Calibri" w:hAnsi="Calibri"/>
                <w:bCs/>
                <w:szCs w:val="22"/>
              </w:rPr>
              <w:t>2</w:t>
            </w:r>
            <w:r>
              <w:rPr>
                <w:rFonts w:ascii="Calibri" w:hAnsi="Calibri"/>
                <w:bCs/>
                <w:szCs w:val="22"/>
              </w:rPr>
              <w:t xml:space="preserve"> and Policy DMB1 are engaged for the purposes of assessment.  In this respect </w:t>
            </w:r>
            <w:r w:rsidR="000F1E37">
              <w:rPr>
                <w:rFonts w:ascii="Calibri" w:hAnsi="Calibri"/>
                <w:bCs/>
                <w:szCs w:val="22"/>
              </w:rPr>
              <w:t>K</w:t>
            </w:r>
            <w:r>
              <w:rPr>
                <w:rFonts w:ascii="Calibri" w:hAnsi="Calibri"/>
                <w:bCs/>
                <w:szCs w:val="22"/>
              </w:rPr>
              <w:t xml:space="preserve">ey Statement EC2 states that </w:t>
            </w:r>
            <w:r w:rsidR="000F1E37" w:rsidRPr="000F1E37">
              <w:rPr>
                <w:rFonts w:ascii="Calibri" w:hAnsi="Calibri"/>
                <w:bCs/>
                <w:i/>
                <w:iCs/>
                <w:szCs w:val="22"/>
              </w:rPr>
              <w:t>‘</w:t>
            </w:r>
            <w:r w:rsidR="000F1E37">
              <w:rPr>
                <w:rFonts w:ascii="Calibri" w:hAnsi="Calibri"/>
                <w:bCs/>
                <w:i/>
                <w:iCs/>
                <w:szCs w:val="22"/>
              </w:rPr>
              <w:t>p</w:t>
            </w:r>
            <w:r w:rsidR="000F1E37" w:rsidRPr="000F1E37">
              <w:rPr>
                <w:rFonts w:ascii="Calibri" w:hAnsi="Calibri"/>
                <w:bCs/>
                <w:i/>
                <w:iCs/>
                <w:szCs w:val="22"/>
              </w:rPr>
              <w:t>roposals that have an adverse impact on existing community facilities would only be permitted as an exception where the proposed development would bring defined and demonstrable benefits’</w:t>
            </w:r>
            <w:r w:rsidR="000F1E37">
              <w:rPr>
                <w:rFonts w:ascii="Calibri" w:hAnsi="Calibri"/>
                <w:bCs/>
                <w:i/>
                <w:iCs/>
                <w:szCs w:val="22"/>
              </w:rPr>
              <w:t xml:space="preserve"> </w:t>
            </w:r>
            <w:r w:rsidR="000F1E37" w:rsidRPr="000F1E37">
              <w:rPr>
                <w:rFonts w:ascii="Calibri" w:hAnsi="Calibri"/>
                <w:bCs/>
                <w:szCs w:val="22"/>
              </w:rPr>
              <w:t xml:space="preserve">with Policy </w:t>
            </w:r>
            <w:r w:rsidR="000F1E37" w:rsidRPr="00F42114">
              <w:rPr>
                <w:rFonts w:ascii="Calibri" w:hAnsi="Calibri"/>
                <w:bCs/>
                <w:szCs w:val="22"/>
              </w:rPr>
              <w:t xml:space="preserve">DMB1 </w:t>
            </w:r>
            <w:r w:rsidR="00F42114" w:rsidRPr="00F42114">
              <w:rPr>
                <w:rFonts w:ascii="Calibri" w:hAnsi="Calibri"/>
                <w:bCs/>
                <w:szCs w:val="22"/>
              </w:rPr>
              <w:t>stating:</w:t>
            </w:r>
          </w:p>
          <w:p w14:paraId="1DB9F633" w14:textId="0226D4F4" w:rsidR="00F42114" w:rsidRDefault="00F42114" w:rsidP="000F1E37">
            <w:pPr>
              <w:pStyle w:val="Header"/>
              <w:contextualSpacing/>
              <w:jc w:val="both"/>
              <w:rPr>
                <w:rFonts w:ascii="Calibri" w:hAnsi="Calibri"/>
                <w:bCs/>
                <w:szCs w:val="22"/>
              </w:rPr>
            </w:pPr>
          </w:p>
          <w:p w14:paraId="6CBBBEC0" w14:textId="77777777" w:rsidR="00F42114" w:rsidRPr="00F42114" w:rsidRDefault="00F42114" w:rsidP="00F42114">
            <w:pPr>
              <w:pStyle w:val="Header"/>
              <w:contextualSpacing/>
              <w:jc w:val="both"/>
              <w:rPr>
                <w:rFonts w:ascii="Calibri" w:hAnsi="Calibri"/>
                <w:bCs/>
                <w:szCs w:val="22"/>
              </w:rPr>
            </w:pPr>
            <w:r w:rsidRPr="00F42114">
              <w:rPr>
                <w:rFonts w:ascii="Calibri" w:hAnsi="Calibri"/>
                <w:bCs/>
                <w:szCs w:val="22"/>
              </w:rPr>
              <w:t>Proposals for the development, redevelopment or conversion of sites with employment generating potential in the plan area for alternative uses will be assessed with regard to the following criteria:</w:t>
            </w:r>
          </w:p>
          <w:p w14:paraId="7991ADFA" w14:textId="77777777" w:rsidR="00F42114" w:rsidRPr="00F42114" w:rsidRDefault="00F42114" w:rsidP="00F42114">
            <w:pPr>
              <w:pStyle w:val="Header"/>
              <w:contextualSpacing/>
              <w:jc w:val="both"/>
              <w:rPr>
                <w:rFonts w:ascii="Calibri" w:hAnsi="Calibri"/>
                <w:bCs/>
                <w:szCs w:val="22"/>
              </w:rPr>
            </w:pPr>
          </w:p>
          <w:p w14:paraId="49414F42" w14:textId="77777777" w:rsidR="00F42114" w:rsidRPr="00F42114" w:rsidRDefault="00F42114" w:rsidP="00F42114">
            <w:pPr>
              <w:pStyle w:val="Header"/>
              <w:numPr>
                <w:ilvl w:val="0"/>
                <w:numId w:val="3"/>
              </w:numPr>
              <w:contextualSpacing/>
              <w:jc w:val="both"/>
              <w:rPr>
                <w:rFonts w:ascii="Calibri" w:hAnsi="Calibri"/>
                <w:bCs/>
                <w:i/>
                <w:iCs/>
                <w:szCs w:val="22"/>
              </w:rPr>
            </w:pPr>
            <w:r w:rsidRPr="00F42114">
              <w:rPr>
                <w:rFonts w:ascii="Calibri" w:hAnsi="Calibri"/>
                <w:bCs/>
                <w:i/>
                <w:iCs/>
                <w:szCs w:val="22"/>
              </w:rPr>
              <w:t>The provisions of Policy DMG1, and</w:t>
            </w:r>
          </w:p>
          <w:p w14:paraId="28DDB699" w14:textId="77777777" w:rsidR="00F42114" w:rsidRPr="00F42114" w:rsidRDefault="00F42114" w:rsidP="00F42114">
            <w:pPr>
              <w:pStyle w:val="Header"/>
              <w:numPr>
                <w:ilvl w:val="0"/>
                <w:numId w:val="3"/>
              </w:numPr>
              <w:contextualSpacing/>
              <w:jc w:val="both"/>
              <w:rPr>
                <w:rFonts w:ascii="Calibri" w:hAnsi="Calibri"/>
                <w:bCs/>
                <w:i/>
                <w:iCs/>
                <w:szCs w:val="22"/>
              </w:rPr>
            </w:pPr>
            <w:r w:rsidRPr="00F42114">
              <w:rPr>
                <w:rFonts w:ascii="Calibri" w:hAnsi="Calibri"/>
                <w:bCs/>
                <w:i/>
                <w:iCs/>
                <w:szCs w:val="22"/>
              </w:rPr>
              <w:t>The compatibility of the proposal with other plan policies of the LDF, and</w:t>
            </w:r>
          </w:p>
          <w:p w14:paraId="7E70263D" w14:textId="77777777" w:rsidR="00F42114" w:rsidRPr="00F42114" w:rsidRDefault="00F42114" w:rsidP="00F42114">
            <w:pPr>
              <w:pStyle w:val="Header"/>
              <w:numPr>
                <w:ilvl w:val="0"/>
                <w:numId w:val="3"/>
              </w:numPr>
              <w:contextualSpacing/>
              <w:jc w:val="both"/>
              <w:rPr>
                <w:rFonts w:ascii="Calibri" w:hAnsi="Calibri"/>
                <w:bCs/>
                <w:i/>
                <w:iCs/>
                <w:szCs w:val="22"/>
              </w:rPr>
            </w:pPr>
            <w:r w:rsidRPr="00F42114">
              <w:rPr>
                <w:rFonts w:ascii="Calibri" w:hAnsi="Calibri"/>
                <w:bCs/>
                <w:i/>
                <w:iCs/>
                <w:szCs w:val="22"/>
              </w:rPr>
              <w:t>The environmental benefits to be gained by the community, and</w:t>
            </w:r>
          </w:p>
          <w:p w14:paraId="4E35C18D" w14:textId="77777777" w:rsidR="00F42114" w:rsidRPr="00F42114" w:rsidRDefault="00F42114" w:rsidP="00F42114">
            <w:pPr>
              <w:pStyle w:val="Header"/>
              <w:numPr>
                <w:ilvl w:val="0"/>
                <w:numId w:val="3"/>
              </w:numPr>
              <w:contextualSpacing/>
              <w:jc w:val="both"/>
              <w:rPr>
                <w:rFonts w:ascii="Calibri" w:hAnsi="Calibri"/>
                <w:bCs/>
                <w:i/>
                <w:iCs/>
                <w:szCs w:val="22"/>
              </w:rPr>
            </w:pPr>
            <w:r w:rsidRPr="00F42114">
              <w:rPr>
                <w:rFonts w:ascii="Calibri" w:hAnsi="Calibri"/>
                <w:bCs/>
                <w:i/>
                <w:iCs/>
                <w:szCs w:val="22"/>
              </w:rPr>
              <w:t>The economic and social impact caused by loss of employment opportunities to the borough, and</w:t>
            </w:r>
          </w:p>
          <w:p w14:paraId="26C440A0" w14:textId="6D541851" w:rsidR="00F42114" w:rsidRPr="00F42114" w:rsidRDefault="00F42114" w:rsidP="00F42114">
            <w:pPr>
              <w:pStyle w:val="Header"/>
              <w:numPr>
                <w:ilvl w:val="0"/>
                <w:numId w:val="3"/>
              </w:numPr>
              <w:contextualSpacing/>
              <w:jc w:val="both"/>
              <w:rPr>
                <w:rFonts w:ascii="Calibri" w:hAnsi="Calibri"/>
                <w:bCs/>
                <w:i/>
                <w:iCs/>
                <w:szCs w:val="22"/>
              </w:rPr>
            </w:pPr>
            <w:r w:rsidRPr="00F42114">
              <w:rPr>
                <w:rFonts w:ascii="Calibri" w:hAnsi="Calibri"/>
                <w:bCs/>
                <w:i/>
                <w:iCs/>
                <w:szCs w:val="22"/>
              </w:rPr>
              <w:tab/>
              <w:t>Any attempts that have been made to secure an alternative employment generating use for the site (must be supported by evidence (such as property agents details including periods of marketing and response) that the property/ business has been marketed for business use for a minimum period of six months or information that demonstrates to the council’s satisfaction that the current use is not viable for employment purposes.)</w:t>
            </w:r>
          </w:p>
          <w:p w14:paraId="32999414" w14:textId="77777777" w:rsidR="00E434FD" w:rsidRDefault="00E434FD" w:rsidP="00D80CA6">
            <w:pPr>
              <w:pStyle w:val="Header"/>
              <w:tabs>
                <w:tab w:val="clear" w:pos="4153"/>
                <w:tab w:val="clear" w:pos="8306"/>
              </w:tabs>
              <w:contextualSpacing/>
              <w:jc w:val="both"/>
              <w:rPr>
                <w:rFonts w:ascii="Calibri" w:hAnsi="Calibri"/>
                <w:b/>
                <w:szCs w:val="22"/>
              </w:rPr>
            </w:pPr>
          </w:p>
          <w:p w14:paraId="46BAED33" w14:textId="5E402F6B" w:rsidR="00F42114" w:rsidRPr="00B70726" w:rsidRDefault="00F42114" w:rsidP="00D80CA6">
            <w:pPr>
              <w:pStyle w:val="Header"/>
              <w:tabs>
                <w:tab w:val="clear" w:pos="4153"/>
                <w:tab w:val="clear" w:pos="8306"/>
              </w:tabs>
              <w:contextualSpacing/>
              <w:jc w:val="both"/>
              <w:rPr>
                <w:rFonts w:ascii="Calibri" w:hAnsi="Calibri"/>
                <w:bCs/>
                <w:szCs w:val="22"/>
              </w:rPr>
            </w:pPr>
            <w:r w:rsidRPr="00B70726">
              <w:rPr>
                <w:rFonts w:ascii="Calibri" w:hAnsi="Calibri"/>
                <w:bCs/>
                <w:szCs w:val="22"/>
              </w:rPr>
              <w:t xml:space="preserve">In respect of the requirements of Policy DMB1 </w:t>
            </w:r>
            <w:r w:rsidR="00D179AB">
              <w:rPr>
                <w:rFonts w:ascii="Calibri" w:hAnsi="Calibri"/>
                <w:bCs/>
                <w:szCs w:val="22"/>
              </w:rPr>
              <w:t xml:space="preserve">(criterion 5) </w:t>
            </w:r>
            <w:r w:rsidRPr="00B70726">
              <w:rPr>
                <w:rFonts w:ascii="Calibri" w:hAnsi="Calibri"/>
                <w:bCs/>
                <w:szCs w:val="22"/>
              </w:rPr>
              <w:t>the applicant has submitted a marketing report relating to the Black Horse Inn</w:t>
            </w:r>
            <w:r w:rsidR="00B70726" w:rsidRPr="00B70726">
              <w:rPr>
                <w:rFonts w:ascii="Calibri" w:hAnsi="Calibri"/>
                <w:bCs/>
                <w:szCs w:val="22"/>
              </w:rPr>
              <w:t xml:space="preserve"> which contains the following summary:</w:t>
            </w:r>
          </w:p>
          <w:p w14:paraId="5A7651E1" w14:textId="77777777" w:rsidR="00B70726" w:rsidRDefault="00B70726" w:rsidP="00D80CA6">
            <w:pPr>
              <w:pStyle w:val="Header"/>
              <w:tabs>
                <w:tab w:val="clear" w:pos="4153"/>
                <w:tab w:val="clear" w:pos="8306"/>
              </w:tabs>
              <w:contextualSpacing/>
              <w:jc w:val="both"/>
              <w:rPr>
                <w:rFonts w:ascii="Calibri" w:hAnsi="Calibri"/>
                <w:b/>
                <w:szCs w:val="22"/>
              </w:rPr>
            </w:pPr>
          </w:p>
          <w:p w14:paraId="4C5F4A08" w14:textId="1753F446" w:rsidR="00407ECD" w:rsidRPr="00FA0205" w:rsidRDefault="00407ECD" w:rsidP="00407ECD">
            <w:pPr>
              <w:pStyle w:val="Header"/>
              <w:contextualSpacing/>
              <w:jc w:val="both"/>
              <w:rPr>
                <w:rFonts w:ascii="Calibri" w:hAnsi="Calibri"/>
                <w:bCs/>
                <w:i/>
                <w:iCs/>
                <w:szCs w:val="22"/>
              </w:rPr>
            </w:pPr>
            <w:r w:rsidRPr="00FA0205">
              <w:rPr>
                <w:rFonts w:ascii="Calibri" w:hAnsi="Calibri"/>
                <w:bCs/>
                <w:i/>
                <w:iCs/>
                <w:szCs w:val="22"/>
              </w:rPr>
              <w:lastRenderedPageBreak/>
              <w:t>The Black Horse Inn was placed on the open market for sale with immediate effect at a value of ‘offers around’ £480,000 in accordance with comparable sites/premises in the local market. The retail price represented a fair, average valuation given the adjacent land included planning permission for a single dwelling in which a considerable start had been made and planning permission granted on a kitchen extension combined with all architectural drawings and ancillaries.</w:t>
            </w:r>
          </w:p>
          <w:p w14:paraId="0ACEECE3" w14:textId="77777777" w:rsidR="00407ECD" w:rsidRPr="00FA0205" w:rsidRDefault="00407ECD" w:rsidP="00407ECD">
            <w:pPr>
              <w:pStyle w:val="Header"/>
              <w:contextualSpacing/>
              <w:jc w:val="both"/>
              <w:rPr>
                <w:rFonts w:ascii="Calibri" w:hAnsi="Calibri"/>
                <w:bCs/>
                <w:i/>
                <w:iCs/>
                <w:szCs w:val="22"/>
              </w:rPr>
            </w:pPr>
          </w:p>
          <w:p w14:paraId="25A64969" w14:textId="6F9257F9" w:rsidR="00407ECD" w:rsidRPr="00FA0205" w:rsidRDefault="00407ECD" w:rsidP="00407ECD">
            <w:pPr>
              <w:pStyle w:val="Header"/>
              <w:contextualSpacing/>
              <w:jc w:val="both"/>
              <w:rPr>
                <w:rFonts w:ascii="Calibri" w:hAnsi="Calibri"/>
                <w:bCs/>
                <w:i/>
                <w:iCs/>
                <w:szCs w:val="22"/>
              </w:rPr>
            </w:pPr>
            <w:r w:rsidRPr="00FA0205">
              <w:rPr>
                <w:rFonts w:ascii="Calibri" w:hAnsi="Calibri"/>
                <w:bCs/>
                <w:i/>
                <w:iCs/>
                <w:szCs w:val="22"/>
              </w:rPr>
              <w:t>The Black horse Inn was drastically reduced over its period on the market, initially for offers in excess of £420,000 then further reduced to £380,000.  Sales particulars were meticulously prepared including detailed site plans and photographs of the property clearly highlighting the features and attributes of the site, offered with the intentions of appealing to the widest possible range of potential occupiers, not least including licensed trade users, hoteliers,</w:t>
            </w:r>
            <w:r w:rsidR="00FA0205" w:rsidRPr="00FA0205">
              <w:rPr>
                <w:rFonts w:ascii="Calibri" w:hAnsi="Calibri"/>
                <w:bCs/>
                <w:i/>
                <w:iCs/>
                <w:szCs w:val="22"/>
              </w:rPr>
              <w:t xml:space="preserve"> </w:t>
            </w:r>
            <w:r w:rsidRPr="00FA0205">
              <w:rPr>
                <w:rFonts w:ascii="Calibri" w:hAnsi="Calibri"/>
                <w:bCs/>
                <w:i/>
                <w:iCs/>
                <w:szCs w:val="22"/>
              </w:rPr>
              <w:t>caterers etc.</w:t>
            </w:r>
          </w:p>
          <w:p w14:paraId="5C45ED4E" w14:textId="77777777" w:rsidR="00FA0205" w:rsidRPr="00FA0205" w:rsidRDefault="00FA0205" w:rsidP="00407ECD">
            <w:pPr>
              <w:pStyle w:val="Header"/>
              <w:contextualSpacing/>
              <w:jc w:val="both"/>
              <w:rPr>
                <w:rFonts w:ascii="Calibri" w:hAnsi="Calibri"/>
                <w:bCs/>
                <w:i/>
                <w:iCs/>
                <w:szCs w:val="22"/>
              </w:rPr>
            </w:pPr>
          </w:p>
          <w:p w14:paraId="7966F269" w14:textId="01DD5309" w:rsidR="00407ECD" w:rsidRPr="00FA0205" w:rsidRDefault="00407ECD" w:rsidP="00407ECD">
            <w:pPr>
              <w:pStyle w:val="Header"/>
              <w:contextualSpacing/>
              <w:jc w:val="both"/>
              <w:rPr>
                <w:rFonts w:ascii="Calibri" w:hAnsi="Calibri"/>
                <w:bCs/>
                <w:i/>
                <w:iCs/>
                <w:szCs w:val="22"/>
              </w:rPr>
            </w:pPr>
            <w:r w:rsidRPr="00FA0205">
              <w:rPr>
                <w:rFonts w:ascii="Calibri" w:hAnsi="Calibri"/>
                <w:bCs/>
                <w:i/>
                <w:iCs/>
                <w:szCs w:val="22"/>
              </w:rPr>
              <w:t>A large for sale sign was erected at the highest point on the property front nearest to the main road to</w:t>
            </w:r>
            <w:r w:rsidR="00FA0205" w:rsidRPr="00FA0205">
              <w:rPr>
                <w:rFonts w:ascii="Calibri" w:hAnsi="Calibri"/>
                <w:bCs/>
                <w:i/>
                <w:iCs/>
                <w:szCs w:val="22"/>
              </w:rPr>
              <w:t xml:space="preserve"> </w:t>
            </w:r>
            <w:r w:rsidRPr="00FA0205">
              <w:rPr>
                <w:rFonts w:ascii="Calibri" w:hAnsi="Calibri"/>
                <w:bCs/>
                <w:i/>
                <w:iCs/>
                <w:szCs w:val="22"/>
              </w:rPr>
              <w:t>utilise the popular Pimlico Road as a sales aid. The sign was well maintained and in position for the</w:t>
            </w:r>
          </w:p>
          <w:p w14:paraId="603A2E92" w14:textId="51C10BB0" w:rsidR="00B70726" w:rsidRPr="00FA0205" w:rsidRDefault="00407ECD" w:rsidP="00FA0205">
            <w:pPr>
              <w:pStyle w:val="Header"/>
              <w:contextualSpacing/>
              <w:jc w:val="both"/>
              <w:rPr>
                <w:rFonts w:ascii="Calibri" w:hAnsi="Calibri"/>
                <w:bCs/>
                <w:i/>
                <w:iCs/>
                <w:szCs w:val="22"/>
              </w:rPr>
            </w:pPr>
            <w:r w:rsidRPr="00FA0205">
              <w:rPr>
                <w:rFonts w:ascii="Calibri" w:hAnsi="Calibri"/>
                <w:bCs/>
                <w:i/>
                <w:iCs/>
                <w:szCs w:val="22"/>
              </w:rPr>
              <w:t>duration of negotiations and 12 months post initial sale, totalling almost 38 months in uninterrupted or</w:t>
            </w:r>
            <w:r w:rsidR="00FA0205" w:rsidRPr="00FA0205">
              <w:rPr>
                <w:rFonts w:ascii="Calibri" w:hAnsi="Calibri"/>
                <w:bCs/>
                <w:i/>
                <w:iCs/>
                <w:szCs w:val="22"/>
              </w:rPr>
              <w:t xml:space="preserve"> </w:t>
            </w:r>
            <w:r w:rsidRPr="00FA0205">
              <w:rPr>
                <w:rFonts w:ascii="Calibri" w:hAnsi="Calibri"/>
                <w:bCs/>
                <w:i/>
                <w:iCs/>
                <w:szCs w:val="22"/>
              </w:rPr>
              <w:t>continued marketing.</w:t>
            </w:r>
            <w:r w:rsidR="00FA0205" w:rsidRPr="00FA0205">
              <w:rPr>
                <w:rFonts w:ascii="Calibri" w:hAnsi="Calibri"/>
                <w:bCs/>
                <w:i/>
                <w:iCs/>
                <w:szCs w:val="22"/>
              </w:rPr>
              <w:t xml:space="preserve">  </w:t>
            </w:r>
            <w:r w:rsidRPr="00FA0205">
              <w:rPr>
                <w:rFonts w:ascii="Calibri" w:hAnsi="Calibri"/>
                <w:bCs/>
                <w:i/>
                <w:iCs/>
                <w:szCs w:val="22"/>
              </w:rPr>
              <w:t xml:space="preserve">Sales particulars were circulated immediately, initially to </w:t>
            </w:r>
            <w:proofErr w:type="spellStart"/>
            <w:r w:rsidRPr="00FA0205">
              <w:rPr>
                <w:rFonts w:ascii="Calibri" w:hAnsi="Calibri"/>
                <w:bCs/>
                <w:i/>
                <w:iCs/>
                <w:szCs w:val="22"/>
              </w:rPr>
              <w:t>MyOnline’s</w:t>
            </w:r>
            <w:proofErr w:type="spellEnd"/>
            <w:r w:rsidRPr="00FA0205">
              <w:rPr>
                <w:rFonts w:ascii="Calibri" w:hAnsi="Calibri"/>
                <w:bCs/>
                <w:i/>
                <w:iCs/>
                <w:szCs w:val="22"/>
              </w:rPr>
              <w:t xml:space="preserve"> extensive network of key commercial</w:t>
            </w:r>
            <w:r w:rsidR="00FA0205" w:rsidRPr="00FA0205">
              <w:rPr>
                <w:rFonts w:ascii="Calibri" w:hAnsi="Calibri"/>
                <w:bCs/>
                <w:i/>
                <w:iCs/>
                <w:szCs w:val="22"/>
              </w:rPr>
              <w:t xml:space="preserve"> </w:t>
            </w:r>
            <w:r w:rsidRPr="00FA0205">
              <w:rPr>
                <w:rFonts w:ascii="Calibri" w:hAnsi="Calibri"/>
                <w:bCs/>
                <w:i/>
                <w:iCs/>
                <w:szCs w:val="22"/>
              </w:rPr>
              <w:t>buyers, secondly to the general mailing list before finally being released to a wider variety of additional</w:t>
            </w:r>
            <w:r w:rsidR="00FA0205" w:rsidRPr="00FA0205">
              <w:rPr>
                <w:rFonts w:ascii="Calibri" w:hAnsi="Calibri"/>
                <w:bCs/>
                <w:i/>
                <w:iCs/>
                <w:szCs w:val="22"/>
              </w:rPr>
              <w:t xml:space="preserve"> </w:t>
            </w:r>
            <w:r w:rsidRPr="00FA0205">
              <w:rPr>
                <w:rFonts w:ascii="Calibri" w:hAnsi="Calibri"/>
                <w:bCs/>
                <w:i/>
                <w:iCs/>
                <w:szCs w:val="22"/>
              </w:rPr>
              <w:t>potential buyers through online websites such as Rightmove and Zoopla.</w:t>
            </w:r>
          </w:p>
          <w:p w14:paraId="35AADACD" w14:textId="2B46E629" w:rsidR="008B388F" w:rsidRPr="00FA0205" w:rsidRDefault="008B388F" w:rsidP="00D80CA6">
            <w:pPr>
              <w:pStyle w:val="Header"/>
              <w:tabs>
                <w:tab w:val="clear" w:pos="4153"/>
                <w:tab w:val="clear" w:pos="8306"/>
              </w:tabs>
              <w:contextualSpacing/>
              <w:jc w:val="both"/>
              <w:rPr>
                <w:rFonts w:ascii="Calibri" w:hAnsi="Calibri"/>
                <w:bCs/>
                <w:szCs w:val="22"/>
              </w:rPr>
            </w:pPr>
          </w:p>
          <w:p w14:paraId="59F87B0D" w14:textId="561CDB40" w:rsidR="00FA0205" w:rsidRPr="00FA0205" w:rsidRDefault="00FA0205" w:rsidP="00D80CA6">
            <w:pPr>
              <w:pStyle w:val="Header"/>
              <w:tabs>
                <w:tab w:val="clear" w:pos="4153"/>
                <w:tab w:val="clear" w:pos="8306"/>
              </w:tabs>
              <w:contextualSpacing/>
              <w:jc w:val="both"/>
              <w:rPr>
                <w:rFonts w:ascii="Calibri" w:hAnsi="Calibri"/>
                <w:bCs/>
                <w:i/>
                <w:iCs/>
                <w:szCs w:val="22"/>
              </w:rPr>
            </w:pPr>
            <w:r w:rsidRPr="00FA0205">
              <w:rPr>
                <w:rFonts w:ascii="Calibri" w:hAnsi="Calibri"/>
                <w:bCs/>
                <w:i/>
                <w:iCs/>
                <w:szCs w:val="22"/>
              </w:rPr>
              <w:t>Specifics included:</w:t>
            </w:r>
          </w:p>
          <w:p w14:paraId="2C1412AC" w14:textId="77777777" w:rsidR="00FA0205" w:rsidRPr="00FA0205" w:rsidRDefault="00FA0205" w:rsidP="00D80CA6">
            <w:pPr>
              <w:pStyle w:val="Header"/>
              <w:tabs>
                <w:tab w:val="clear" w:pos="4153"/>
                <w:tab w:val="clear" w:pos="8306"/>
              </w:tabs>
              <w:contextualSpacing/>
              <w:jc w:val="both"/>
              <w:rPr>
                <w:rFonts w:ascii="Calibri" w:hAnsi="Calibri"/>
                <w:bCs/>
                <w:i/>
                <w:iCs/>
                <w:szCs w:val="22"/>
              </w:rPr>
            </w:pPr>
          </w:p>
          <w:p w14:paraId="75F2F8EB" w14:textId="77777777" w:rsidR="00FA0205" w:rsidRPr="00FA0205" w:rsidRDefault="00FA0205" w:rsidP="00FA0205">
            <w:pPr>
              <w:pStyle w:val="Header"/>
              <w:numPr>
                <w:ilvl w:val="0"/>
                <w:numId w:val="4"/>
              </w:numPr>
              <w:contextualSpacing/>
              <w:jc w:val="both"/>
              <w:rPr>
                <w:rFonts w:ascii="Calibri" w:hAnsi="Calibri"/>
                <w:bCs/>
                <w:i/>
                <w:iCs/>
                <w:szCs w:val="22"/>
              </w:rPr>
            </w:pPr>
            <w:r w:rsidRPr="00FA0205">
              <w:rPr>
                <w:rFonts w:ascii="Calibri" w:hAnsi="Calibri"/>
                <w:bCs/>
                <w:i/>
                <w:iCs/>
                <w:szCs w:val="22"/>
              </w:rPr>
              <w:t>National, Regional and local ‘Pub co’ operators.</w:t>
            </w:r>
          </w:p>
          <w:p w14:paraId="5E2898A0" w14:textId="77777777" w:rsidR="00FA0205" w:rsidRPr="00FA0205" w:rsidRDefault="00FA0205" w:rsidP="00FA0205">
            <w:pPr>
              <w:pStyle w:val="Header"/>
              <w:numPr>
                <w:ilvl w:val="0"/>
                <w:numId w:val="4"/>
              </w:numPr>
              <w:contextualSpacing/>
              <w:jc w:val="both"/>
              <w:rPr>
                <w:rFonts w:ascii="Calibri" w:hAnsi="Calibri"/>
                <w:bCs/>
                <w:i/>
                <w:iCs/>
                <w:szCs w:val="22"/>
              </w:rPr>
            </w:pPr>
            <w:r w:rsidRPr="00FA0205">
              <w:rPr>
                <w:rFonts w:ascii="Calibri" w:hAnsi="Calibri"/>
                <w:bCs/>
                <w:i/>
                <w:iCs/>
                <w:szCs w:val="22"/>
              </w:rPr>
              <w:t>Small regional brewers.</w:t>
            </w:r>
          </w:p>
          <w:p w14:paraId="00277967" w14:textId="77777777" w:rsidR="00FA0205" w:rsidRPr="00FA0205" w:rsidRDefault="00FA0205" w:rsidP="00FA0205">
            <w:pPr>
              <w:pStyle w:val="Header"/>
              <w:numPr>
                <w:ilvl w:val="0"/>
                <w:numId w:val="4"/>
              </w:numPr>
              <w:contextualSpacing/>
              <w:jc w:val="both"/>
              <w:rPr>
                <w:rFonts w:ascii="Calibri" w:hAnsi="Calibri"/>
                <w:bCs/>
                <w:i/>
                <w:iCs/>
                <w:szCs w:val="22"/>
              </w:rPr>
            </w:pPr>
            <w:r w:rsidRPr="00FA0205">
              <w:rPr>
                <w:rFonts w:ascii="Calibri" w:hAnsi="Calibri"/>
                <w:bCs/>
                <w:i/>
                <w:iCs/>
                <w:szCs w:val="22"/>
              </w:rPr>
              <w:t>Niche brewers.</w:t>
            </w:r>
          </w:p>
          <w:p w14:paraId="2C2DC5CB" w14:textId="77777777" w:rsidR="00FA0205" w:rsidRPr="00FA0205" w:rsidRDefault="00FA0205" w:rsidP="00FA0205">
            <w:pPr>
              <w:pStyle w:val="Header"/>
              <w:numPr>
                <w:ilvl w:val="0"/>
                <w:numId w:val="4"/>
              </w:numPr>
              <w:contextualSpacing/>
              <w:jc w:val="both"/>
              <w:rPr>
                <w:rFonts w:ascii="Calibri" w:hAnsi="Calibri"/>
                <w:bCs/>
                <w:i/>
                <w:iCs/>
                <w:szCs w:val="22"/>
              </w:rPr>
            </w:pPr>
            <w:r w:rsidRPr="00FA0205">
              <w:rPr>
                <w:rFonts w:ascii="Calibri" w:hAnsi="Calibri"/>
                <w:bCs/>
                <w:i/>
                <w:iCs/>
                <w:szCs w:val="22"/>
              </w:rPr>
              <w:t>Multiple site operators</w:t>
            </w:r>
          </w:p>
          <w:p w14:paraId="3C97BD84" w14:textId="77777777" w:rsidR="00FA0205" w:rsidRPr="00FA0205" w:rsidRDefault="00FA0205" w:rsidP="00FA0205">
            <w:pPr>
              <w:pStyle w:val="Header"/>
              <w:numPr>
                <w:ilvl w:val="0"/>
                <w:numId w:val="4"/>
              </w:numPr>
              <w:contextualSpacing/>
              <w:jc w:val="both"/>
              <w:rPr>
                <w:rFonts w:ascii="Calibri" w:hAnsi="Calibri"/>
                <w:bCs/>
                <w:i/>
                <w:iCs/>
                <w:szCs w:val="22"/>
              </w:rPr>
            </w:pPr>
            <w:r w:rsidRPr="00FA0205">
              <w:rPr>
                <w:rFonts w:ascii="Calibri" w:hAnsi="Calibri"/>
                <w:bCs/>
                <w:i/>
                <w:iCs/>
                <w:szCs w:val="22"/>
              </w:rPr>
              <w:t>Local licensee/traders</w:t>
            </w:r>
          </w:p>
          <w:p w14:paraId="30B0E733" w14:textId="77777777" w:rsidR="00FA0205" w:rsidRPr="00FA0205" w:rsidRDefault="00FA0205" w:rsidP="00FA0205">
            <w:pPr>
              <w:pStyle w:val="Header"/>
              <w:numPr>
                <w:ilvl w:val="0"/>
                <w:numId w:val="4"/>
              </w:numPr>
              <w:contextualSpacing/>
              <w:jc w:val="both"/>
              <w:rPr>
                <w:rFonts w:ascii="Calibri" w:hAnsi="Calibri"/>
                <w:bCs/>
                <w:i/>
                <w:iCs/>
                <w:szCs w:val="22"/>
              </w:rPr>
            </w:pPr>
            <w:r w:rsidRPr="00FA0205">
              <w:rPr>
                <w:rFonts w:ascii="Calibri" w:hAnsi="Calibri"/>
                <w:bCs/>
                <w:i/>
                <w:iCs/>
                <w:szCs w:val="22"/>
              </w:rPr>
              <w:t>Local Agents</w:t>
            </w:r>
          </w:p>
          <w:p w14:paraId="036DAA14" w14:textId="0DA2592F" w:rsidR="00FA0205" w:rsidRPr="00FA0205" w:rsidRDefault="00FA0205" w:rsidP="00FA0205">
            <w:pPr>
              <w:pStyle w:val="Header"/>
              <w:numPr>
                <w:ilvl w:val="0"/>
                <w:numId w:val="4"/>
              </w:numPr>
              <w:contextualSpacing/>
              <w:jc w:val="both"/>
              <w:rPr>
                <w:rFonts w:ascii="Calibri" w:hAnsi="Calibri"/>
                <w:bCs/>
                <w:i/>
                <w:iCs/>
                <w:szCs w:val="22"/>
              </w:rPr>
            </w:pPr>
            <w:r w:rsidRPr="00FA0205">
              <w:rPr>
                <w:rFonts w:ascii="Calibri" w:hAnsi="Calibri"/>
                <w:bCs/>
                <w:i/>
                <w:iCs/>
                <w:szCs w:val="22"/>
              </w:rPr>
              <w:t>Upcoming and expanding businesses</w:t>
            </w:r>
          </w:p>
          <w:p w14:paraId="284428C2" w14:textId="77777777" w:rsidR="00FA0205" w:rsidRPr="00FA0205" w:rsidRDefault="00FA0205" w:rsidP="00FA0205">
            <w:pPr>
              <w:pStyle w:val="Header"/>
              <w:numPr>
                <w:ilvl w:val="0"/>
                <w:numId w:val="4"/>
              </w:numPr>
              <w:contextualSpacing/>
              <w:jc w:val="both"/>
              <w:rPr>
                <w:rFonts w:ascii="Calibri" w:hAnsi="Calibri"/>
                <w:bCs/>
                <w:i/>
                <w:iCs/>
                <w:szCs w:val="22"/>
              </w:rPr>
            </w:pPr>
          </w:p>
          <w:p w14:paraId="107124D8" w14:textId="27B41550" w:rsidR="00FA0205" w:rsidRPr="00FA0205" w:rsidRDefault="00FA0205" w:rsidP="00FA0205">
            <w:pPr>
              <w:pStyle w:val="Header"/>
              <w:contextualSpacing/>
              <w:jc w:val="both"/>
              <w:rPr>
                <w:rFonts w:ascii="Calibri" w:hAnsi="Calibri"/>
                <w:bCs/>
                <w:i/>
                <w:iCs/>
                <w:szCs w:val="22"/>
              </w:rPr>
            </w:pPr>
            <w:r w:rsidRPr="00FA0205">
              <w:rPr>
                <w:rFonts w:ascii="Calibri" w:hAnsi="Calibri"/>
                <w:bCs/>
                <w:i/>
                <w:iCs/>
                <w:szCs w:val="22"/>
              </w:rPr>
              <w:t>Particulars were directly emailed to 500 parties as listed above. Rightmove generated over 6000 interactions of which 45 were converted into open day viewings on three separate viewing occasions.</w:t>
            </w:r>
          </w:p>
          <w:p w14:paraId="793FF268" w14:textId="02AEC46B" w:rsidR="00FA0205" w:rsidRPr="00FA0205" w:rsidRDefault="00FA0205" w:rsidP="00FA0205">
            <w:pPr>
              <w:pStyle w:val="Header"/>
              <w:contextualSpacing/>
              <w:jc w:val="both"/>
              <w:rPr>
                <w:rFonts w:ascii="Calibri" w:hAnsi="Calibri"/>
                <w:bCs/>
                <w:i/>
                <w:iCs/>
                <w:szCs w:val="22"/>
              </w:rPr>
            </w:pPr>
            <w:r w:rsidRPr="00FA0205">
              <w:rPr>
                <w:rFonts w:ascii="Calibri" w:hAnsi="Calibri"/>
                <w:bCs/>
                <w:i/>
                <w:iCs/>
                <w:szCs w:val="22"/>
              </w:rPr>
              <w:t>Of those 45 conversations only 16 people turned up to view the property, with only two buyers able to prove funds and proceed further. Both parties later withdrew their offer.</w:t>
            </w:r>
          </w:p>
          <w:p w14:paraId="05B1E842" w14:textId="77777777" w:rsidR="00FA0205" w:rsidRPr="00FA0205" w:rsidRDefault="00FA0205" w:rsidP="00FA0205">
            <w:pPr>
              <w:pStyle w:val="Header"/>
              <w:contextualSpacing/>
              <w:jc w:val="both"/>
              <w:rPr>
                <w:rFonts w:ascii="Calibri" w:hAnsi="Calibri"/>
                <w:bCs/>
                <w:i/>
                <w:iCs/>
                <w:szCs w:val="22"/>
              </w:rPr>
            </w:pPr>
          </w:p>
          <w:p w14:paraId="2ACCC4B4" w14:textId="6BD49B07" w:rsidR="00FA0205" w:rsidRPr="00FA0205" w:rsidRDefault="00FA0205" w:rsidP="00FA0205">
            <w:pPr>
              <w:pStyle w:val="Header"/>
              <w:contextualSpacing/>
              <w:jc w:val="both"/>
              <w:rPr>
                <w:rFonts w:ascii="Calibri" w:hAnsi="Calibri"/>
                <w:bCs/>
                <w:i/>
                <w:iCs/>
                <w:szCs w:val="22"/>
              </w:rPr>
            </w:pPr>
            <w:r w:rsidRPr="00FA0205">
              <w:rPr>
                <w:rFonts w:ascii="Calibri" w:hAnsi="Calibri"/>
                <w:bCs/>
                <w:i/>
                <w:iCs/>
                <w:szCs w:val="22"/>
              </w:rPr>
              <w:t xml:space="preserve">This information was accessed from private correspondence with Kevin </w:t>
            </w:r>
            <w:proofErr w:type="spellStart"/>
            <w:r w:rsidRPr="00FA0205">
              <w:rPr>
                <w:rFonts w:ascii="Calibri" w:hAnsi="Calibri"/>
                <w:bCs/>
                <w:i/>
                <w:iCs/>
                <w:szCs w:val="22"/>
              </w:rPr>
              <w:t>Ingham</w:t>
            </w:r>
            <w:proofErr w:type="spellEnd"/>
            <w:r w:rsidRPr="00FA0205">
              <w:rPr>
                <w:rFonts w:ascii="Calibri" w:hAnsi="Calibri"/>
                <w:bCs/>
                <w:i/>
                <w:iCs/>
                <w:szCs w:val="22"/>
              </w:rPr>
              <w:t xml:space="preserve"> and information provided by Connie Andrews, a customer experience specialist at Rightmove Connie provided me with a secure file which can be viewed but not shared.</w:t>
            </w:r>
          </w:p>
          <w:p w14:paraId="564C40B2" w14:textId="77777777" w:rsidR="00FA0205" w:rsidRPr="00FA0205" w:rsidRDefault="00FA0205" w:rsidP="00FA0205">
            <w:pPr>
              <w:pStyle w:val="Header"/>
              <w:contextualSpacing/>
              <w:jc w:val="both"/>
              <w:rPr>
                <w:rFonts w:ascii="Calibri" w:hAnsi="Calibri"/>
                <w:bCs/>
                <w:i/>
                <w:iCs/>
                <w:szCs w:val="22"/>
              </w:rPr>
            </w:pPr>
          </w:p>
          <w:p w14:paraId="5DD2812E" w14:textId="0297BBF5" w:rsidR="00FA0205" w:rsidRPr="00FA0205" w:rsidRDefault="00FA0205" w:rsidP="00FA0205">
            <w:pPr>
              <w:pStyle w:val="Header"/>
              <w:contextualSpacing/>
              <w:jc w:val="both"/>
              <w:rPr>
                <w:rFonts w:ascii="Calibri" w:hAnsi="Calibri"/>
                <w:bCs/>
                <w:i/>
                <w:iCs/>
                <w:szCs w:val="22"/>
              </w:rPr>
            </w:pPr>
            <w:r w:rsidRPr="00FA0205">
              <w:rPr>
                <w:rFonts w:ascii="Calibri" w:hAnsi="Calibri"/>
                <w:bCs/>
                <w:i/>
                <w:iCs/>
                <w:szCs w:val="22"/>
              </w:rPr>
              <w:t>In summary, The Black Horse Inn was vastly reduced throughout the advertising period in order to appeal to the largest audience and demonstrate flexibility to the open market. A combined total reduction of over £100,000 on a fairly priced plot still failed to generate a sale. Particular nurture was offered to all interested parties and careful, methodical planning applied in an attempt to secure a sale.</w:t>
            </w:r>
          </w:p>
          <w:p w14:paraId="62FFEC60" w14:textId="77777777" w:rsidR="00FA0205" w:rsidRPr="00FA0205" w:rsidRDefault="00FA0205" w:rsidP="00D80CA6">
            <w:pPr>
              <w:pStyle w:val="Header"/>
              <w:tabs>
                <w:tab w:val="clear" w:pos="4153"/>
                <w:tab w:val="clear" w:pos="8306"/>
              </w:tabs>
              <w:contextualSpacing/>
              <w:jc w:val="both"/>
              <w:rPr>
                <w:rFonts w:ascii="Calibri" w:hAnsi="Calibri"/>
                <w:bCs/>
                <w:i/>
                <w:iCs/>
                <w:szCs w:val="22"/>
              </w:rPr>
            </w:pPr>
          </w:p>
          <w:p w14:paraId="0CDB45AB" w14:textId="0F3EEBE8" w:rsidR="00FA0205" w:rsidRPr="00FA0205" w:rsidRDefault="00FA0205" w:rsidP="00FA0205">
            <w:pPr>
              <w:overflowPunct/>
              <w:textAlignment w:val="auto"/>
              <w:rPr>
                <w:rFonts w:asciiTheme="minorHAnsi" w:eastAsiaTheme="minorHAnsi" w:hAnsiTheme="minorHAnsi" w:cstheme="minorHAnsi"/>
                <w:bCs/>
                <w:i/>
                <w:iCs/>
                <w:szCs w:val="22"/>
              </w:rPr>
            </w:pPr>
            <w:r w:rsidRPr="00FA0205">
              <w:rPr>
                <w:rFonts w:asciiTheme="minorHAnsi" w:eastAsiaTheme="minorHAnsi" w:hAnsiTheme="minorHAnsi" w:cstheme="minorHAnsi"/>
                <w:bCs/>
                <w:i/>
                <w:iCs/>
                <w:szCs w:val="22"/>
              </w:rPr>
              <w:t>Current marketing:</w:t>
            </w:r>
          </w:p>
          <w:p w14:paraId="7BECE9A3" w14:textId="77777777" w:rsidR="00FA0205" w:rsidRPr="00FA0205" w:rsidRDefault="00FA0205" w:rsidP="00FA0205">
            <w:pPr>
              <w:overflowPunct/>
              <w:textAlignment w:val="auto"/>
              <w:rPr>
                <w:rFonts w:asciiTheme="minorHAnsi" w:eastAsiaTheme="minorHAnsi" w:hAnsiTheme="minorHAnsi" w:cstheme="minorHAnsi"/>
                <w:bCs/>
                <w:i/>
                <w:iCs/>
                <w:szCs w:val="22"/>
              </w:rPr>
            </w:pPr>
          </w:p>
          <w:p w14:paraId="530C6B1D" w14:textId="77777777" w:rsidR="00FA0205" w:rsidRPr="00FA0205" w:rsidRDefault="00FA0205" w:rsidP="00FA0205">
            <w:pPr>
              <w:overflowPunct/>
              <w:textAlignment w:val="auto"/>
              <w:rPr>
                <w:rFonts w:asciiTheme="minorHAnsi" w:eastAsiaTheme="minorHAnsi" w:hAnsiTheme="minorHAnsi" w:cstheme="minorHAnsi"/>
                <w:bCs/>
                <w:i/>
                <w:iCs/>
                <w:szCs w:val="22"/>
              </w:rPr>
            </w:pPr>
            <w:r w:rsidRPr="00FA0205">
              <w:rPr>
                <w:rFonts w:asciiTheme="minorHAnsi" w:eastAsiaTheme="minorHAnsi" w:hAnsiTheme="minorHAnsi" w:cstheme="minorHAnsi"/>
                <w:bCs/>
                <w:i/>
                <w:iCs/>
                <w:szCs w:val="22"/>
              </w:rPr>
              <w:t>Since Ribble Valley Developments LTD acquired the Black Horse Inn, the land to the rear has been</w:t>
            </w:r>
          </w:p>
          <w:p w14:paraId="590CFC3A" w14:textId="4C3F39CB" w:rsidR="00FA0205" w:rsidRPr="00FA0205" w:rsidRDefault="00FA0205" w:rsidP="00FA0205">
            <w:pPr>
              <w:overflowPunct/>
              <w:textAlignment w:val="auto"/>
              <w:rPr>
                <w:rFonts w:asciiTheme="minorHAnsi" w:eastAsiaTheme="minorHAnsi" w:hAnsiTheme="minorHAnsi" w:cstheme="minorHAnsi"/>
                <w:bCs/>
                <w:i/>
                <w:iCs/>
                <w:szCs w:val="22"/>
              </w:rPr>
            </w:pPr>
            <w:r w:rsidRPr="00FA0205">
              <w:rPr>
                <w:rFonts w:asciiTheme="minorHAnsi" w:eastAsiaTheme="minorHAnsi" w:hAnsiTheme="minorHAnsi" w:cstheme="minorHAnsi"/>
                <w:bCs/>
                <w:i/>
                <w:iCs/>
                <w:szCs w:val="22"/>
              </w:rPr>
              <w:t>annexed and a planning application was lodged for redevelopment of the site, recently gaining approval.  During that same period, Ribble Valley Developments LTD has continually strived to obtain a viable commercial option for the property with every offer taken seriously.</w:t>
            </w:r>
          </w:p>
          <w:p w14:paraId="3099030E" w14:textId="77777777" w:rsidR="00FA0205" w:rsidRPr="00FA0205" w:rsidRDefault="00FA0205" w:rsidP="00FA0205">
            <w:pPr>
              <w:overflowPunct/>
              <w:textAlignment w:val="auto"/>
              <w:rPr>
                <w:rFonts w:asciiTheme="minorHAnsi" w:eastAsiaTheme="minorHAnsi" w:hAnsiTheme="minorHAnsi" w:cstheme="minorHAnsi"/>
                <w:bCs/>
                <w:i/>
                <w:iCs/>
                <w:szCs w:val="22"/>
              </w:rPr>
            </w:pPr>
          </w:p>
          <w:p w14:paraId="6C107BC7" w14:textId="77777777" w:rsidR="00FA0205" w:rsidRPr="00FA0205" w:rsidRDefault="00FA0205" w:rsidP="00FA0205">
            <w:pPr>
              <w:pStyle w:val="ListParagraph"/>
              <w:numPr>
                <w:ilvl w:val="0"/>
                <w:numId w:val="5"/>
              </w:numPr>
              <w:overflowPunct/>
              <w:textAlignment w:val="auto"/>
              <w:rPr>
                <w:rFonts w:asciiTheme="minorHAnsi" w:eastAsiaTheme="minorHAnsi" w:hAnsiTheme="minorHAnsi" w:cstheme="minorHAnsi"/>
                <w:bCs/>
                <w:i/>
                <w:iCs/>
                <w:szCs w:val="22"/>
              </w:rPr>
            </w:pPr>
            <w:r w:rsidRPr="00FA0205">
              <w:rPr>
                <w:rFonts w:asciiTheme="minorHAnsi" w:eastAsiaTheme="minorHAnsi" w:hAnsiTheme="minorHAnsi" w:cstheme="minorHAnsi"/>
                <w:bCs/>
                <w:i/>
                <w:iCs/>
                <w:szCs w:val="22"/>
              </w:rPr>
              <w:t>Multiple meetings with potential landlords, chefs and hoteliers.</w:t>
            </w:r>
          </w:p>
          <w:p w14:paraId="65BE7F87" w14:textId="77777777" w:rsidR="00FA0205" w:rsidRPr="00FA0205" w:rsidRDefault="00FA0205" w:rsidP="00FA0205">
            <w:pPr>
              <w:pStyle w:val="ListParagraph"/>
              <w:numPr>
                <w:ilvl w:val="0"/>
                <w:numId w:val="5"/>
              </w:numPr>
              <w:overflowPunct/>
              <w:textAlignment w:val="auto"/>
              <w:rPr>
                <w:rFonts w:asciiTheme="minorHAnsi" w:eastAsiaTheme="minorHAnsi" w:hAnsiTheme="minorHAnsi" w:cstheme="minorHAnsi"/>
                <w:bCs/>
                <w:i/>
                <w:iCs/>
                <w:szCs w:val="22"/>
              </w:rPr>
            </w:pPr>
            <w:r w:rsidRPr="00FA0205">
              <w:rPr>
                <w:rFonts w:asciiTheme="minorHAnsi" w:eastAsiaTheme="minorHAnsi" w:hAnsiTheme="minorHAnsi" w:cstheme="minorHAnsi"/>
                <w:bCs/>
                <w:i/>
                <w:iCs/>
                <w:szCs w:val="22"/>
              </w:rPr>
              <w:t>Complex negotiations structuring lease, lease/purchase agreements to no avail</w:t>
            </w:r>
          </w:p>
          <w:p w14:paraId="2CE37388" w14:textId="77777777" w:rsidR="00FA0205" w:rsidRPr="00FA0205" w:rsidRDefault="00FA0205" w:rsidP="00FA0205">
            <w:pPr>
              <w:pStyle w:val="ListParagraph"/>
              <w:numPr>
                <w:ilvl w:val="0"/>
                <w:numId w:val="5"/>
              </w:numPr>
              <w:overflowPunct/>
              <w:textAlignment w:val="auto"/>
              <w:rPr>
                <w:rFonts w:asciiTheme="minorHAnsi" w:eastAsiaTheme="minorHAnsi" w:hAnsiTheme="minorHAnsi" w:cstheme="minorHAnsi"/>
                <w:bCs/>
                <w:i/>
                <w:iCs/>
                <w:szCs w:val="22"/>
              </w:rPr>
            </w:pPr>
            <w:r w:rsidRPr="00FA0205">
              <w:rPr>
                <w:rFonts w:asciiTheme="minorHAnsi" w:eastAsiaTheme="minorHAnsi" w:hAnsiTheme="minorHAnsi" w:cstheme="minorHAnsi"/>
                <w:bCs/>
                <w:i/>
                <w:iCs/>
                <w:szCs w:val="22"/>
              </w:rPr>
              <w:t>Negotiations with other local businesses to repurpose the site including Absolute Fitness, Energy Finder, Johnson Matthey to name a few.</w:t>
            </w:r>
          </w:p>
          <w:p w14:paraId="657A390E" w14:textId="2CD3F2F6" w:rsidR="00FA0205" w:rsidRPr="00FA0205" w:rsidRDefault="00FA0205" w:rsidP="00FA0205">
            <w:pPr>
              <w:pStyle w:val="ListParagraph"/>
              <w:numPr>
                <w:ilvl w:val="0"/>
                <w:numId w:val="5"/>
              </w:numPr>
              <w:overflowPunct/>
              <w:textAlignment w:val="auto"/>
              <w:rPr>
                <w:rFonts w:asciiTheme="minorHAnsi" w:eastAsiaTheme="minorHAnsi" w:hAnsiTheme="minorHAnsi" w:cstheme="minorHAnsi"/>
                <w:bCs/>
                <w:i/>
                <w:iCs/>
                <w:szCs w:val="22"/>
              </w:rPr>
            </w:pPr>
            <w:r w:rsidRPr="00FA0205">
              <w:rPr>
                <w:rFonts w:asciiTheme="minorHAnsi" w:eastAsiaTheme="minorHAnsi" w:hAnsiTheme="minorHAnsi" w:cstheme="minorHAnsi"/>
                <w:bCs/>
                <w:i/>
                <w:iCs/>
                <w:szCs w:val="22"/>
              </w:rPr>
              <w:lastRenderedPageBreak/>
              <w:t>Continual advertisement on modern platforms such as Facebook marketplace.</w:t>
            </w:r>
          </w:p>
          <w:p w14:paraId="5A1C96F1" w14:textId="77777777" w:rsidR="00FA0205" w:rsidRPr="00FA0205" w:rsidRDefault="00FA0205" w:rsidP="00FA0205">
            <w:pPr>
              <w:pStyle w:val="ListParagraph"/>
              <w:overflowPunct/>
              <w:textAlignment w:val="auto"/>
              <w:rPr>
                <w:rFonts w:asciiTheme="minorHAnsi" w:eastAsiaTheme="minorHAnsi" w:hAnsiTheme="minorHAnsi" w:cstheme="minorHAnsi"/>
                <w:bCs/>
                <w:i/>
                <w:iCs/>
                <w:szCs w:val="22"/>
              </w:rPr>
            </w:pPr>
          </w:p>
          <w:p w14:paraId="1CEBC8BF" w14:textId="77777777" w:rsidR="00FA0205" w:rsidRPr="00FA0205" w:rsidRDefault="00FA0205" w:rsidP="00FA0205">
            <w:pPr>
              <w:overflowPunct/>
              <w:textAlignment w:val="auto"/>
              <w:rPr>
                <w:rFonts w:asciiTheme="minorHAnsi" w:eastAsiaTheme="minorHAnsi" w:hAnsiTheme="minorHAnsi" w:cstheme="minorHAnsi"/>
                <w:bCs/>
                <w:i/>
                <w:iCs/>
                <w:szCs w:val="22"/>
              </w:rPr>
            </w:pPr>
            <w:r w:rsidRPr="00FA0205">
              <w:rPr>
                <w:rFonts w:asciiTheme="minorHAnsi" w:eastAsiaTheme="minorHAnsi" w:hAnsiTheme="minorHAnsi" w:cstheme="minorHAnsi"/>
                <w:bCs/>
                <w:i/>
                <w:iCs/>
                <w:szCs w:val="22"/>
              </w:rPr>
              <w:t>Registering at just over £2500 per advertising block, the excessive costs associated with traditional</w:t>
            </w:r>
          </w:p>
          <w:p w14:paraId="1A155883" w14:textId="782321A0" w:rsidR="00FA0205" w:rsidRDefault="00FA0205" w:rsidP="00FA0205">
            <w:pPr>
              <w:overflowPunct/>
              <w:textAlignment w:val="auto"/>
              <w:rPr>
                <w:rFonts w:asciiTheme="minorHAnsi" w:eastAsiaTheme="minorHAnsi" w:hAnsiTheme="minorHAnsi" w:cstheme="minorHAnsi"/>
                <w:bCs/>
                <w:i/>
                <w:iCs/>
                <w:szCs w:val="22"/>
              </w:rPr>
            </w:pPr>
            <w:r w:rsidRPr="00FA0205">
              <w:rPr>
                <w:rFonts w:asciiTheme="minorHAnsi" w:eastAsiaTheme="minorHAnsi" w:hAnsiTheme="minorHAnsi" w:cstheme="minorHAnsi"/>
                <w:bCs/>
                <w:i/>
                <w:iCs/>
                <w:szCs w:val="22"/>
              </w:rPr>
              <w:t>marketing are deemed to be too expensive to continually prop up by a relatively small company. With that in mind, Ribble Valley Developments LTD has continually sought to find a buyer through word of mouth, referrals, networking and a well-established personal contact base.</w:t>
            </w:r>
          </w:p>
          <w:p w14:paraId="76CDE604" w14:textId="53FE2110" w:rsidR="00FA0205" w:rsidRDefault="00FA0205" w:rsidP="00FA0205">
            <w:pPr>
              <w:overflowPunct/>
              <w:textAlignment w:val="auto"/>
              <w:rPr>
                <w:rFonts w:asciiTheme="minorHAnsi" w:eastAsiaTheme="minorHAnsi" w:hAnsiTheme="minorHAnsi" w:cstheme="minorHAnsi"/>
                <w:bCs/>
                <w:i/>
                <w:iCs/>
                <w:szCs w:val="22"/>
              </w:rPr>
            </w:pPr>
          </w:p>
          <w:p w14:paraId="57473528" w14:textId="2E44077D" w:rsidR="00FA0205" w:rsidRPr="00FA0205" w:rsidRDefault="00D179AB" w:rsidP="00D179AB">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The application has also been supported by an independent feasibility report which concludes that the property has been marketed as commercial premises for an extensive period of time with little interest, as such the building does not have a reasonable prospect of finding a commercial occupier/owner.  I</w:t>
            </w:r>
            <w:r w:rsidR="00ED1225">
              <w:rPr>
                <w:rFonts w:asciiTheme="minorHAnsi" w:eastAsiaTheme="minorHAnsi" w:hAnsiTheme="minorHAnsi" w:cstheme="minorHAnsi"/>
                <w:bCs/>
                <w:szCs w:val="22"/>
              </w:rPr>
              <w:t>n</w:t>
            </w:r>
            <w:r>
              <w:rPr>
                <w:rFonts w:asciiTheme="minorHAnsi" w:eastAsiaTheme="minorHAnsi" w:hAnsiTheme="minorHAnsi" w:cstheme="minorHAnsi"/>
                <w:bCs/>
                <w:szCs w:val="22"/>
              </w:rPr>
              <w:t xml:space="preserve"> this respect the supporting information has satisfied criterion 5 of Policy DMB1 of the Ribble Valley Core Strategy.</w:t>
            </w:r>
          </w:p>
          <w:p w14:paraId="07A958AF" w14:textId="38FB41BA" w:rsidR="00FA0205" w:rsidRDefault="00FA0205" w:rsidP="00FA0205">
            <w:pPr>
              <w:pStyle w:val="Header"/>
              <w:tabs>
                <w:tab w:val="clear" w:pos="4153"/>
                <w:tab w:val="clear" w:pos="8306"/>
              </w:tabs>
              <w:contextualSpacing/>
              <w:jc w:val="both"/>
              <w:rPr>
                <w:rFonts w:ascii="Calibri" w:hAnsi="Calibri"/>
                <w:b/>
                <w:szCs w:val="22"/>
              </w:rPr>
            </w:pPr>
          </w:p>
        </w:tc>
      </w:tr>
      <w:tr w:rsidR="00D80CA6" w:rsidRPr="00D2449B" w14:paraId="617768FF" w14:textId="77777777" w:rsidTr="00D80CA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D80CA6" w:rsidRDefault="00D80CA6" w:rsidP="00D80CA6">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D80CA6" w:rsidRDefault="00D80CA6" w:rsidP="00D80CA6">
            <w:pPr>
              <w:pStyle w:val="Header"/>
              <w:tabs>
                <w:tab w:val="clear" w:pos="4153"/>
                <w:tab w:val="clear" w:pos="8306"/>
              </w:tabs>
              <w:contextualSpacing/>
              <w:jc w:val="both"/>
              <w:rPr>
                <w:rFonts w:ascii="Calibri" w:hAnsi="Calibri"/>
                <w:b/>
                <w:szCs w:val="22"/>
              </w:rPr>
            </w:pPr>
          </w:p>
          <w:p w14:paraId="537F7610" w14:textId="484730BE" w:rsidR="00D80CA6" w:rsidRDefault="00F13872" w:rsidP="00F13872">
            <w:pPr>
              <w:contextualSpacing/>
              <w:jc w:val="both"/>
              <w:rPr>
                <w:rFonts w:ascii="Calibri" w:hAnsi="Calibri"/>
                <w:szCs w:val="22"/>
              </w:rPr>
            </w:pPr>
            <w:r>
              <w:rPr>
                <w:rFonts w:ascii="Calibri" w:hAnsi="Calibri"/>
                <w:szCs w:val="22"/>
              </w:rPr>
              <w:t xml:space="preserve">The submitted details propose the extension of the existing terrace with the building following the overall linear arrangement of the existing built-form.  There are a number of residential dwellings to the rear of the application site that are currently under construction pursuant to planning consent 3/2020/0022.  In this respect consideration must be given to the inter-relationship between the dwellings under construction and that of the proposal insofar that the relationship may give rise to a sub-standard </w:t>
            </w:r>
            <w:r w:rsidR="00697D29">
              <w:rPr>
                <w:rFonts w:ascii="Calibri" w:hAnsi="Calibri"/>
                <w:szCs w:val="22"/>
              </w:rPr>
              <w:t>level of residential amenity to future occupiers of either of the proposals.</w:t>
            </w:r>
          </w:p>
          <w:p w14:paraId="6E25BD2A" w14:textId="38D6F3C9" w:rsidR="00697D29" w:rsidRDefault="00697D29" w:rsidP="00F13872">
            <w:pPr>
              <w:contextualSpacing/>
              <w:jc w:val="both"/>
              <w:rPr>
                <w:rFonts w:ascii="Calibri" w:hAnsi="Calibri"/>
                <w:szCs w:val="22"/>
              </w:rPr>
            </w:pPr>
          </w:p>
          <w:p w14:paraId="392C25FB" w14:textId="77777777" w:rsidR="00697D29" w:rsidRDefault="00697D29" w:rsidP="00F13872">
            <w:pPr>
              <w:contextualSpacing/>
              <w:jc w:val="both"/>
              <w:rPr>
                <w:rFonts w:ascii="Calibri" w:hAnsi="Calibri"/>
                <w:szCs w:val="22"/>
              </w:rPr>
            </w:pPr>
            <w:r>
              <w:rPr>
                <w:rFonts w:ascii="Calibri" w:hAnsi="Calibri"/>
                <w:szCs w:val="22"/>
              </w:rPr>
              <w:t xml:space="preserve">In respect of the above matter, the primary habitable room windows of the dwellings under construction are located approximately 28m from that of the rear elevation of the proposal with a distance from the former windows to that of the rear of the proposed residential curtilages being approximately 21m.  </w:t>
            </w:r>
          </w:p>
          <w:p w14:paraId="0CE22411" w14:textId="77777777" w:rsidR="00697D29" w:rsidRDefault="00697D29" w:rsidP="00F13872">
            <w:pPr>
              <w:contextualSpacing/>
              <w:jc w:val="both"/>
              <w:rPr>
                <w:rFonts w:ascii="Calibri" w:hAnsi="Calibri"/>
                <w:szCs w:val="22"/>
              </w:rPr>
            </w:pPr>
          </w:p>
          <w:p w14:paraId="295345DB" w14:textId="64684B79" w:rsidR="00697D29" w:rsidRDefault="00697D29" w:rsidP="00F13872">
            <w:pPr>
              <w:contextualSpacing/>
              <w:jc w:val="both"/>
              <w:rPr>
                <w:rFonts w:ascii="Calibri" w:hAnsi="Calibri"/>
                <w:szCs w:val="22"/>
              </w:rPr>
            </w:pPr>
            <w:r>
              <w:rPr>
                <w:rFonts w:ascii="Calibri" w:hAnsi="Calibri"/>
                <w:szCs w:val="22"/>
              </w:rPr>
              <w:t>Taking into account the above interface distances, it is not considered that the proposal will result in any undue impact upon future residential amenities by virtue of direct overlooking at a proximity that would result in a sub-standard sense of privacy being afforded to occupiers of the proposal or dwellings under construction.</w:t>
            </w:r>
          </w:p>
          <w:p w14:paraId="59C24C57" w14:textId="77777777" w:rsidR="00FF75DD" w:rsidRDefault="00FF75DD" w:rsidP="00D80CA6">
            <w:pPr>
              <w:contextualSpacing/>
              <w:rPr>
                <w:rFonts w:ascii="Calibri" w:hAnsi="Calibri"/>
                <w:szCs w:val="22"/>
              </w:rPr>
            </w:pPr>
          </w:p>
          <w:p w14:paraId="7B20A3EF" w14:textId="17619849" w:rsidR="00697D29" w:rsidRDefault="00697D29" w:rsidP="00F70019">
            <w:pPr>
              <w:contextualSpacing/>
              <w:jc w:val="both"/>
              <w:rPr>
                <w:rFonts w:ascii="Calibri" w:hAnsi="Calibri"/>
                <w:szCs w:val="22"/>
              </w:rPr>
            </w:pPr>
            <w:r>
              <w:rPr>
                <w:rFonts w:ascii="Calibri" w:hAnsi="Calibri"/>
                <w:szCs w:val="22"/>
              </w:rPr>
              <w:t xml:space="preserve">Given the linear arrangement of the proposal, in that it acts as a </w:t>
            </w:r>
            <w:r w:rsidR="00F70019">
              <w:rPr>
                <w:rFonts w:ascii="Calibri" w:hAnsi="Calibri"/>
                <w:szCs w:val="22"/>
              </w:rPr>
              <w:t>continuation</w:t>
            </w:r>
            <w:r>
              <w:rPr>
                <w:rFonts w:ascii="Calibri" w:hAnsi="Calibri"/>
                <w:szCs w:val="22"/>
              </w:rPr>
              <w:t xml:space="preserve"> of the existing terrace, it is not considered that the physical aspects of the proposal will result in any </w:t>
            </w:r>
            <w:r w:rsidR="00F70019">
              <w:rPr>
                <w:rFonts w:ascii="Calibri" w:hAnsi="Calibri"/>
                <w:szCs w:val="22"/>
              </w:rPr>
              <w:t>undue</w:t>
            </w:r>
            <w:r>
              <w:rPr>
                <w:rFonts w:ascii="Calibri" w:hAnsi="Calibri"/>
                <w:szCs w:val="22"/>
              </w:rPr>
              <w:t xml:space="preserve"> impacts upon the amenities of occupiers of the existing </w:t>
            </w:r>
            <w:r w:rsidR="00F70019">
              <w:rPr>
                <w:rFonts w:ascii="Calibri" w:hAnsi="Calibri"/>
                <w:szCs w:val="22"/>
              </w:rPr>
              <w:t>adjoining</w:t>
            </w:r>
            <w:r>
              <w:rPr>
                <w:rFonts w:ascii="Calibri" w:hAnsi="Calibri"/>
                <w:szCs w:val="22"/>
              </w:rPr>
              <w:t xml:space="preserve"> terrace.</w:t>
            </w:r>
            <w:r w:rsidR="00F70019">
              <w:rPr>
                <w:rFonts w:ascii="Calibri" w:hAnsi="Calibri"/>
                <w:szCs w:val="22"/>
              </w:rPr>
              <w:t xml:space="preserve"> It is noted that a parking area associated with the dwellings is located directly adjacent the boundary with number 12 Pimlico Road.  However, given the small scale of the development, the level of activity associated with the comings and goings of vehicles utilising the parking area is unlikely to result in significant measurable harm upon the occupiers of number 12.</w:t>
            </w:r>
          </w:p>
          <w:p w14:paraId="0DB485A3" w14:textId="2E3DFAFE" w:rsidR="00697D29" w:rsidRPr="00C0704D" w:rsidRDefault="00697D29" w:rsidP="00D80CA6">
            <w:pPr>
              <w:contextualSpacing/>
              <w:rPr>
                <w:rFonts w:ascii="Calibri" w:hAnsi="Calibri"/>
                <w:szCs w:val="22"/>
              </w:rPr>
            </w:pPr>
          </w:p>
        </w:tc>
      </w:tr>
      <w:tr w:rsidR="00D80CA6" w:rsidRPr="00D2449B" w14:paraId="6754C065" w14:textId="77777777" w:rsidTr="00D80CA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D80CA6" w:rsidRDefault="00D80CA6" w:rsidP="00D80CA6">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2DF947" w:rsidR="00D80CA6" w:rsidRDefault="00D80CA6" w:rsidP="00D80CA6">
            <w:pPr>
              <w:pStyle w:val="Header"/>
              <w:tabs>
                <w:tab w:val="clear" w:pos="4153"/>
                <w:tab w:val="clear" w:pos="8306"/>
              </w:tabs>
              <w:contextualSpacing/>
              <w:jc w:val="both"/>
              <w:rPr>
                <w:rFonts w:ascii="Calibri" w:hAnsi="Calibri"/>
                <w:b/>
                <w:szCs w:val="22"/>
              </w:rPr>
            </w:pPr>
          </w:p>
          <w:p w14:paraId="39C100CB" w14:textId="11D1989C" w:rsidR="006F2418" w:rsidRPr="00764711" w:rsidRDefault="006F2418" w:rsidP="00D80CA6">
            <w:pPr>
              <w:pStyle w:val="Header"/>
              <w:tabs>
                <w:tab w:val="clear" w:pos="4153"/>
                <w:tab w:val="clear" w:pos="8306"/>
              </w:tabs>
              <w:contextualSpacing/>
              <w:jc w:val="both"/>
              <w:rPr>
                <w:rFonts w:ascii="Calibri" w:hAnsi="Calibri"/>
                <w:bCs/>
                <w:szCs w:val="22"/>
              </w:rPr>
            </w:pPr>
            <w:r w:rsidRPr="00764711">
              <w:rPr>
                <w:rFonts w:ascii="Calibri" w:hAnsi="Calibri"/>
                <w:bCs/>
                <w:szCs w:val="22"/>
              </w:rPr>
              <w:t>The submitted details propose the conversion of the existing Black Horse Inn and the extension of the existing terrace through the construction of two two-storey dwellings.  It is proposed that the primary (front) and side (south) facing elevations of the new-build element of the proposal will be faced in natural stone to match that of the existing adjoining buildings with the rear elevation being faced in render.</w:t>
            </w:r>
          </w:p>
          <w:p w14:paraId="30D855BD" w14:textId="765E0EEB" w:rsidR="00764711" w:rsidRPr="00764711" w:rsidRDefault="00764711" w:rsidP="00D80CA6">
            <w:pPr>
              <w:pStyle w:val="Header"/>
              <w:tabs>
                <w:tab w:val="clear" w:pos="4153"/>
                <w:tab w:val="clear" w:pos="8306"/>
              </w:tabs>
              <w:contextualSpacing/>
              <w:jc w:val="both"/>
              <w:rPr>
                <w:rFonts w:ascii="Calibri" w:hAnsi="Calibri"/>
                <w:bCs/>
                <w:szCs w:val="22"/>
              </w:rPr>
            </w:pPr>
          </w:p>
          <w:p w14:paraId="116F56B8" w14:textId="6F70F055" w:rsidR="00764711" w:rsidRDefault="00764711" w:rsidP="00D80CA6">
            <w:pPr>
              <w:pStyle w:val="Header"/>
              <w:tabs>
                <w:tab w:val="clear" w:pos="4153"/>
                <w:tab w:val="clear" w:pos="8306"/>
              </w:tabs>
              <w:contextualSpacing/>
              <w:jc w:val="both"/>
              <w:rPr>
                <w:rFonts w:ascii="Calibri" w:hAnsi="Calibri"/>
                <w:bCs/>
                <w:szCs w:val="22"/>
              </w:rPr>
            </w:pPr>
            <w:r w:rsidRPr="00764711">
              <w:rPr>
                <w:rFonts w:ascii="Calibri" w:hAnsi="Calibri"/>
                <w:bCs/>
                <w:szCs w:val="22"/>
              </w:rPr>
              <w:t xml:space="preserve">The </w:t>
            </w:r>
            <w:proofErr w:type="spellStart"/>
            <w:r w:rsidRPr="00764711">
              <w:rPr>
                <w:rFonts w:ascii="Calibri" w:hAnsi="Calibri"/>
                <w:bCs/>
                <w:szCs w:val="22"/>
              </w:rPr>
              <w:t>fenestrational</w:t>
            </w:r>
            <w:proofErr w:type="spellEnd"/>
            <w:r w:rsidRPr="00764711">
              <w:rPr>
                <w:rFonts w:ascii="Calibri" w:hAnsi="Calibri"/>
                <w:bCs/>
                <w:szCs w:val="22"/>
              </w:rPr>
              <w:t xml:space="preserve"> arrangement of the new-build element benefits from proportioning, rhythm, detailing and an overall arrangement that responds positively to that of the existing adjoining buildings allowing it to be read as a sympathetic addition.  The apex and ridge height of the new-build element also matches that of the existing allowing for it to be read as a sensitive continuation of the terrace.</w:t>
            </w:r>
          </w:p>
          <w:p w14:paraId="5AC0DD6B" w14:textId="33FB4B7B" w:rsidR="00764711" w:rsidRDefault="00764711" w:rsidP="00D80CA6">
            <w:pPr>
              <w:pStyle w:val="Header"/>
              <w:tabs>
                <w:tab w:val="clear" w:pos="4153"/>
                <w:tab w:val="clear" w:pos="8306"/>
              </w:tabs>
              <w:contextualSpacing/>
              <w:jc w:val="both"/>
              <w:rPr>
                <w:rFonts w:ascii="Calibri" w:hAnsi="Calibri"/>
                <w:bCs/>
                <w:szCs w:val="22"/>
              </w:rPr>
            </w:pPr>
          </w:p>
          <w:p w14:paraId="4A8B7FF4" w14:textId="32A6667B" w:rsidR="00764711" w:rsidRPr="00764711" w:rsidRDefault="00764711" w:rsidP="00D80CA6">
            <w:pPr>
              <w:pStyle w:val="Header"/>
              <w:tabs>
                <w:tab w:val="clear" w:pos="4153"/>
                <w:tab w:val="clear" w:pos="8306"/>
              </w:tabs>
              <w:contextualSpacing/>
              <w:jc w:val="both"/>
              <w:rPr>
                <w:rFonts w:ascii="Calibri" w:hAnsi="Calibri"/>
                <w:bCs/>
                <w:szCs w:val="22"/>
              </w:rPr>
            </w:pPr>
            <w:r>
              <w:rPr>
                <w:rFonts w:ascii="Calibri" w:hAnsi="Calibri"/>
                <w:bCs/>
                <w:szCs w:val="22"/>
              </w:rPr>
              <w:lastRenderedPageBreak/>
              <w:t>Taking account of the above matters it is not considered that the proposal will result in any u</w:t>
            </w:r>
            <w:r w:rsidR="00F10A55">
              <w:rPr>
                <w:rFonts w:ascii="Calibri" w:hAnsi="Calibri"/>
                <w:bCs/>
                <w:szCs w:val="22"/>
              </w:rPr>
              <w:t>n</w:t>
            </w:r>
            <w:r>
              <w:rPr>
                <w:rFonts w:ascii="Calibri" w:hAnsi="Calibri"/>
                <w:bCs/>
                <w:szCs w:val="22"/>
              </w:rPr>
              <w:t>d</w:t>
            </w:r>
            <w:r w:rsidR="00F10A55">
              <w:rPr>
                <w:rFonts w:ascii="Calibri" w:hAnsi="Calibri"/>
                <w:bCs/>
                <w:szCs w:val="22"/>
              </w:rPr>
              <w:t>u</w:t>
            </w:r>
            <w:r>
              <w:rPr>
                <w:rFonts w:ascii="Calibri" w:hAnsi="Calibri"/>
                <w:bCs/>
                <w:szCs w:val="22"/>
              </w:rPr>
              <w:t xml:space="preserve">e impacts </w:t>
            </w:r>
            <w:r w:rsidR="00F10A55">
              <w:rPr>
                <w:rFonts w:ascii="Calibri" w:hAnsi="Calibri"/>
                <w:bCs/>
                <w:szCs w:val="22"/>
              </w:rPr>
              <w:t>upon</w:t>
            </w:r>
            <w:r>
              <w:rPr>
                <w:rFonts w:ascii="Calibri" w:hAnsi="Calibri"/>
                <w:bCs/>
                <w:szCs w:val="22"/>
              </w:rPr>
              <w:t xml:space="preserve"> the character or visual amenities of the area nor that of the existing terrace.</w:t>
            </w:r>
          </w:p>
          <w:p w14:paraId="10A3648A" w14:textId="77777777" w:rsidR="00D80CA6" w:rsidRDefault="00D80CA6" w:rsidP="00D80CA6">
            <w:pPr>
              <w:contextualSpacing/>
              <w:rPr>
                <w:rFonts w:ascii="Calibri" w:hAnsi="Calibri"/>
                <w:b/>
                <w:szCs w:val="22"/>
              </w:rPr>
            </w:pPr>
          </w:p>
        </w:tc>
      </w:tr>
      <w:tr w:rsidR="00D80CA6" w:rsidRPr="00D2449B" w14:paraId="6D877C31" w14:textId="77777777" w:rsidTr="00D80CA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D80CA6" w:rsidRDefault="00D80CA6" w:rsidP="00D80CA6">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D80CA6" w:rsidRDefault="00D80CA6" w:rsidP="00D80CA6">
            <w:pPr>
              <w:pStyle w:val="Header"/>
              <w:tabs>
                <w:tab w:val="clear" w:pos="4153"/>
                <w:tab w:val="clear" w:pos="8306"/>
              </w:tabs>
              <w:contextualSpacing/>
              <w:jc w:val="both"/>
              <w:rPr>
                <w:rFonts w:ascii="Calibri" w:hAnsi="Calibri"/>
                <w:b/>
                <w:szCs w:val="22"/>
              </w:rPr>
            </w:pPr>
          </w:p>
          <w:p w14:paraId="2014D671" w14:textId="22B196DF" w:rsidR="00D80CA6" w:rsidRDefault="00A72FE6" w:rsidP="00A72FE6">
            <w:pPr>
              <w:contextualSpacing/>
              <w:jc w:val="both"/>
              <w:rPr>
                <w:rFonts w:ascii="Calibri" w:hAnsi="Calibri"/>
                <w:bCs/>
                <w:szCs w:val="22"/>
              </w:rPr>
            </w:pPr>
            <w:r w:rsidRPr="00A72FE6">
              <w:rPr>
                <w:rFonts w:ascii="Calibri" w:hAnsi="Calibri"/>
                <w:bCs/>
                <w:szCs w:val="22"/>
              </w:rPr>
              <w:t>The application has been accompanied by a Preliminary Bat Roost Assessment, the report concludes that there is no evidence of the building having been used by bats for the purposes of roosting and that the existing building is considered to offer negligible potential for the roosting of bats.  As such no mitigation is required to offset or mitigate impacts upon protected species or species of conservation concern resultant from the development.</w:t>
            </w:r>
          </w:p>
          <w:p w14:paraId="11F5B943" w14:textId="1AD1076C" w:rsidR="00A72FE6" w:rsidRDefault="00A72FE6" w:rsidP="00A72FE6">
            <w:pPr>
              <w:contextualSpacing/>
              <w:jc w:val="both"/>
              <w:rPr>
                <w:rFonts w:ascii="Calibri" w:hAnsi="Calibri"/>
                <w:bCs/>
                <w:szCs w:val="22"/>
              </w:rPr>
            </w:pPr>
          </w:p>
          <w:p w14:paraId="60168A08" w14:textId="01BF296A" w:rsidR="00A72FE6" w:rsidRPr="00A72FE6" w:rsidRDefault="00C6702A" w:rsidP="00A72FE6">
            <w:pPr>
              <w:contextualSpacing/>
              <w:jc w:val="both"/>
              <w:rPr>
                <w:rFonts w:ascii="Calibri" w:hAnsi="Calibri"/>
                <w:bCs/>
                <w:szCs w:val="22"/>
              </w:rPr>
            </w:pPr>
            <w:r>
              <w:rPr>
                <w:rFonts w:ascii="Calibri" w:hAnsi="Calibri"/>
                <w:bCs/>
                <w:szCs w:val="22"/>
              </w:rPr>
              <w:t>The submitted details include an illustrative landscaping plan showing amenity landscaping to the rear of the properties in the form of hedgerow, tree and shrub planting.  As no specific details have been provided in respect of species or mix a condition will be imposed requiring that such details be provided prior to the commencement of development.</w:t>
            </w:r>
          </w:p>
          <w:p w14:paraId="6337C4D8" w14:textId="0CC29683" w:rsidR="00A72FE6" w:rsidRDefault="00A72FE6" w:rsidP="00D80CA6">
            <w:pPr>
              <w:contextualSpacing/>
              <w:rPr>
                <w:rFonts w:ascii="Calibri" w:hAnsi="Calibri"/>
                <w:b/>
                <w:szCs w:val="22"/>
              </w:rPr>
            </w:pPr>
          </w:p>
        </w:tc>
      </w:tr>
      <w:tr w:rsidR="00D80CA6" w:rsidRPr="00D2449B" w14:paraId="0A9D02B4" w14:textId="77777777" w:rsidTr="00D80CA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D80CA6" w:rsidRDefault="00D80CA6" w:rsidP="00D80CA6">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6767A27B" w:rsidR="00D80CA6" w:rsidRDefault="00D80CA6" w:rsidP="00D80CA6">
            <w:pPr>
              <w:contextualSpacing/>
              <w:rPr>
                <w:rFonts w:ascii="Calibri" w:hAnsi="Calibri"/>
                <w:bCs/>
                <w:color w:val="548DD4" w:themeColor="text2" w:themeTint="99"/>
                <w:szCs w:val="22"/>
              </w:rPr>
            </w:pPr>
          </w:p>
          <w:p w14:paraId="0DD133AF" w14:textId="3F042725" w:rsidR="003C30D1" w:rsidRPr="003C30D1" w:rsidRDefault="003C30D1" w:rsidP="003C30D1">
            <w:pPr>
              <w:contextualSpacing/>
              <w:jc w:val="both"/>
              <w:rPr>
                <w:rFonts w:ascii="Calibri" w:hAnsi="Calibri"/>
                <w:bCs/>
                <w:szCs w:val="22"/>
              </w:rPr>
            </w:pPr>
            <w:r w:rsidRPr="003C30D1">
              <w:rPr>
                <w:rFonts w:ascii="Calibri" w:hAnsi="Calibri"/>
                <w:bCs/>
                <w:szCs w:val="22"/>
              </w:rPr>
              <w:t>Taking into account the above matters it is considered that the proposal represents and appropriate form of development that responds positively to the inherent character of the area and aligns with the spatial strategy for the borough in respect of the locational aspirations of new residential development.</w:t>
            </w:r>
          </w:p>
          <w:p w14:paraId="639BB47A" w14:textId="77777777" w:rsidR="003C30D1" w:rsidRPr="00DD62F6" w:rsidRDefault="003C30D1" w:rsidP="00D80CA6">
            <w:pPr>
              <w:contextualSpacing/>
              <w:rPr>
                <w:rFonts w:ascii="Calibri" w:hAnsi="Calibri"/>
                <w:bCs/>
                <w:color w:val="548DD4" w:themeColor="text2" w:themeTint="99"/>
                <w:szCs w:val="22"/>
              </w:rPr>
            </w:pPr>
          </w:p>
          <w:p w14:paraId="7E3806FF" w14:textId="77777777" w:rsidR="00D80CA6" w:rsidRPr="003C30D1" w:rsidRDefault="00D80CA6" w:rsidP="00D80CA6">
            <w:pPr>
              <w:pStyle w:val="Header"/>
              <w:tabs>
                <w:tab w:val="clear" w:pos="4153"/>
                <w:tab w:val="clear" w:pos="8306"/>
              </w:tabs>
              <w:contextualSpacing/>
              <w:jc w:val="both"/>
              <w:rPr>
                <w:rFonts w:ascii="Calibri" w:hAnsi="Calibri"/>
                <w:bCs/>
                <w:szCs w:val="22"/>
              </w:rPr>
            </w:pPr>
            <w:r w:rsidRPr="003C30D1">
              <w:rPr>
                <w:rFonts w:ascii="Calibri" w:hAnsi="Calibri"/>
                <w:bCs/>
                <w:szCs w:val="22"/>
              </w:rPr>
              <w:t>As such and for the above reasons, having regard to all material considerations and matters raised, that the application is recommended for approval.</w:t>
            </w:r>
          </w:p>
          <w:p w14:paraId="3A4BD7A7" w14:textId="21C0D855" w:rsidR="00D80CA6" w:rsidRDefault="00D80CA6" w:rsidP="00D80CA6">
            <w:pPr>
              <w:pStyle w:val="Header"/>
              <w:tabs>
                <w:tab w:val="clear" w:pos="4153"/>
                <w:tab w:val="clear" w:pos="8306"/>
              </w:tabs>
              <w:contextualSpacing/>
              <w:jc w:val="both"/>
              <w:rPr>
                <w:rFonts w:ascii="Calibri" w:hAnsi="Calibri"/>
                <w:b/>
                <w:szCs w:val="22"/>
              </w:rPr>
            </w:pPr>
          </w:p>
        </w:tc>
      </w:tr>
      <w:tr w:rsidR="00D80CA6" w:rsidRPr="00D2449B" w14:paraId="507FC89B" w14:textId="77777777" w:rsidTr="00D80CA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D80CA6" w:rsidRPr="00D2449B" w:rsidRDefault="00D80CA6" w:rsidP="00D80CA6">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D80CA6" w:rsidRPr="00D2449B" w:rsidRDefault="00D80CA6" w:rsidP="00D80CA6">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63767D">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B4F5E"/>
    <w:multiLevelType w:val="hybridMultilevel"/>
    <w:tmpl w:val="0DFC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077EE1"/>
    <w:multiLevelType w:val="hybridMultilevel"/>
    <w:tmpl w:val="AB00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4B0AC4"/>
    <w:multiLevelType w:val="hybridMultilevel"/>
    <w:tmpl w:val="66987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FC612C"/>
    <w:multiLevelType w:val="hybridMultilevel"/>
    <w:tmpl w:val="60AC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276644083">
    <w:abstractNumId w:val="3"/>
  </w:num>
  <w:num w:numId="3" w16cid:durableId="127742717">
    <w:abstractNumId w:val="2"/>
  </w:num>
  <w:num w:numId="4" w16cid:durableId="35349842">
    <w:abstractNumId w:val="1"/>
  </w:num>
  <w:num w:numId="5" w16cid:durableId="1993440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8EB"/>
    <w:rsid w:val="000B5CB5"/>
    <w:rsid w:val="000F1E37"/>
    <w:rsid w:val="00130035"/>
    <w:rsid w:val="001D4F7A"/>
    <w:rsid w:val="00250879"/>
    <w:rsid w:val="0029334A"/>
    <w:rsid w:val="002A01CF"/>
    <w:rsid w:val="002C6277"/>
    <w:rsid w:val="002F2580"/>
    <w:rsid w:val="00321B6E"/>
    <w:rsid w:val="003C30D1"/>
    <w:rsid w:val="00407ECD"/>
    <w:rsid w:val="00440CB6"/>
    <w:rsid w:val="0046548C"/>
    <w:rsid w:val="00490655"/>
    <w:rsid w:val="004947BB"/>
    <w:rsid w:val="004A5EA9"/>
    <w:rsid w:val="004C2434"/>
    <w:rsid w:val="004F0649"/>
    <w:rsid w:val="00510FA2"/>
    <w:rsid w:val="00556ECD"/>
    <w:rsid w:val="005C318F"/>
    <w:rsid w:val="005E1C6C"/>
    <w:rsid w:val="005E65DF"/>
    <w:rsid w:val="0063767D"/>
    <w:rsid w:val="00692B60"/>
    <w:rsid w:val="00697D29"/>
    <w:rsid w:val="006A71AD"/>
    <w:rsid w:val="006C2BFA"/>
    <w:rsid w:val="006F2418"/>
    <w:rsid w:val="006F6849"/>
    <w:rsid w:val="0070054B"/>
    <w:rsid w:val="00764711"/>
    <w:rsid w:val="00776AE2"/>
    <w:rsid w:val="0078277B"/>
    <w:rsid w:val="007B7432"/>
    <w:rsid w:val="007C791C"/>
    <w:rsid w:val="007D7DF4"/>
    <w:rsid w:val="007E0D23"/>
    <w:rsid w:val="007F16D6"/>
    <w:rsid w:val="00811771"/>
    <w:rsid w:val="00840610"/>
    <w:rsid w:val="008542DE"/>
    <w:rsid w:val="008A28C8"/>
    <w:rsid w:val="008B388F"/>
    <w:rsid w:val="008B4670"/>
    <w:rsid w:val="00967F99"/>
    <w:rsid w:val="009773D0"/>
    <w:rsid w:val="00A42E82"/>
    <w:rsid w:val="00A579BB"/>
    <w:rsid w:val="00A63D55"/>
    <w:rsid w:val="00A72FE6"/>
    <w:rsid w:val="00A95D89"/>
    <w:rsid w:val="00B1590F"/>
    <w:rsid w:val="00B52DC1"/>
    <w:rsid w:val="00B70726"/>
    <w:rsid w:val="00B93EB5"/>
    <w:rsid w:val="00BD3F03"/>
    <w:rsid w:val="00C0704D"/>
    <w:rsid w:val="00C25722"/>
    <w:rsid w:val="00C618DB"/>
    <w:rsid w:val="00C6702A"/>
    <w:rsid w:val="00D11007"/>
    <w:rsid w:val="00D179AB"/>
    <w:rsid w:val="00D17EB1"/>
    <w:rsid w:val="00D2449B"/>
    <w:rsid w:val="00D54E67"/>
    <w:rsid w:val="00D80CA6"/>
    <w:rsid w:val="00DD62F6"/>
    <w:rsid w:val="00E01C2F"/>
    <w:rsid w:val="00E434FD"/>
    <w:rsid w:val="00E46243"/>
    <w:rsid w:val="00E66534"/>
    <w:rsid w:val="00E72F6C"/>
    <w:rsid w:val="00EA09F9"/>
    <w:rsid w:val="00EC23C7"/>
    <w:rsid w:val="00ED00B7"/>
    <w:rsid w:val="00ED1225"/>
    <w:rsid w:val="00EF44E6"/>
    <w:rsid w:val="00F10A55"/>
    <w:rsid w:val="00F13872"/>
    <w:rsid w:val="00F42114"/>
    <w:rsid w:val="00F70019"/>
    <w:rsid w:val="00FA0205"/>
    <w:rsid w:val="00FD6AE3"/>
    <w:rsid w:val="00FF7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2022-08-30T13:33:00Z</cp:lastPrinted>
  <dcterms:created xsi:type="dcterms:W3CDTF">2022-08-30T13:35:00Z</dcterms:created>
  <dcterms:modified xsi:type="dcterms:W3CDTF">2022-08-30T13:35:00Z</dcterms:modified>
</cp:coreProperties>
</file>