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2D2D4A74" w:rsidR="004936A6" w:rsidRPr="004D33C8" w:rsidRDefault="00D22E82" w:rsidP="00D22E82">
            <w:pPr>
              <w:rPr>
                <w:rFonts w:ascii="Calibri" w:hAnsi="Calibri"/>
                <w:szCs w:val="22"/>
              </w:rPr>
            </w:pPr>
            <w:r>
              <w:rPr>
                <w:rFonts w:ascii="Calibri" w:hAnsi="Calibri"/>
                <w:szCs w:val="22"/>
              </w:rPr>
              <w:t>13/4/2022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6595DE7" w:rsidR="004A5EA9" w:rsidRPr="008C75E4" w:rsidRDefault="006644F6" w:rsidP="008F6B58">
            <w:pPr>
              <w:rPr>
                <w:rFonts w:ascii="Calibri" w:hAnsi="Calibri"/>
                <w:szCs w:val="22"/>
              </w:rPr>
            </w:pPr>
            <w:r>
              <w:rPr>
                <w:rFonts w:ascii="Calibri" w:hAnsi="Calibri"/>
                <w:szCs w:val="22"/>
              </w:rPr>
              <w:t>3/202</w:t>
            </w:r>
            <w:r w:rsidR="00AA17FF">
              <w:rPr>
                <w:rFonts w:ascii="Calibri" w:hAnsi="Calibri"/>
                <w:szCs w:val="22"/>
              </w:rPr>
              <w:t>2</w:t>
            </w:r>
            <w:r>
              <w:rPr>
                <w:rFonts w:ascii="Calibri" w:hAnsi="Calibri"/>
                <w:szCs w:val="22"/>
              </w:rPr>
              <w:t>/</w:t>
            </w:r>
            <w:r w:rsidR="00AA17FF">
              <w:rPr>
                <w:rFonts w:ascii="Calibri" w:hAnsi="Calibri"/>
                <w:szCs w:val="22"/>
              </w:rPr>
              <w:t>0158</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E2C21EE" w:rsidR="004A5EA9" w:rsidRPr="008C75E4" w:rsidRDefault="00AA17FF" w:rsidP="002C6277">
            <w:pPr>
              <w:rPr>
                <w:rFonts w:ascii="Calibri" w:hAnsi="Calibri"/>
                <w:szCs w:val="22"/>
              </w:rPr>
            </w:pPr>
            <w:r>
              <w:rPr>
                <w:rFonts w:ascii="Calibri" w:hAnsi="Calibri"/>
                <w:szCs w:val="22"/>
              </w:rPr>
              <w:t>17</w:t>
            </w:r>
            <w:r w:rsidR="006644F6">
              <w:rPr>
                <w:rFonts w:ascii="Calibri" w:hAnsi="Calibri"/>
                <w:szCs w:val="22"/>
              </w:rPr>
              <w:t>/</w:t>
            </w:r>
            <w:r>
              <w:rPr>
                <w:rFonts w:ascii="Calibri" w:hAnsi="Calibri"/>
                <w:szCs w:val="22"/>
              </w:rPr>
              <w:t>3</w:t>
            </w:r>
            <w:r w:rsidR="006644F6">
              <w:rPr>
                <w:rFonts w:ascii="Calibri" w:hAnsi="Calibri"/>
                <w:szCs w:val="22"/>
              </w:rPr>
              <w:t>/202</w:t>
            </w:r>
            <w:r>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286CD1D9" w:rsidR="00FD334A" w:rsidRPr="000267F9" w:rsidRDefault="00AA17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6077E20B" w:rsidR="00D13259" w:rsidRPr="008C75E4" w:rsidRDefault="00BB3442">
            <w:pPr>
              <w:rPr>
                <w:rFonts w:ascii="Calibri" w:hAnsi="Calibri"/>
                <w:szCs w:val="22"/>
              </w:rPr>
            </w:pPr>
            <w:r w:rsidRPr="00BB3442">
              <w:rPr>
                <w:rFonts w:ascii="Calibri" w:hAnsi="Calibri"/>
                <w:szCs w:val="22"/>
              </w:rPr>
              <w:t>Proposed new ground floor window in the side wall of the house.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619BC9D2" w:rsidR="002A01CF" w:rsidRPr="00BC0FF2" w:rsidRDefault="00BB3442" w:rsidP="00A42E82">
            <w:pPr>
              <w:rPr>
                <w:rFonts w:ascii="Calibri" w:hAnsi="Calibri"/>
                <w:szCs w:val="22"/>
              </w:rPr>
            </w:pPr>
            <w:r>
              <w:rPr>
                <w:rFonts w:ascii="Calibri" w:hAnsi="Calibri"/>
                <w:szCs w:val="22"/>
              </w:rPr>
              <w:t xml:space="preserve">3 </w:t>
            </w:r>
            <w:proofErr w:type="spellStart"/>
            <w:r>
              <w:rPr>
                <w:rFonts w:ascii="Calibri" w:hAnsi="Calibri"/>
                <w:szCs w:val="22"/>
              </w:rPr>
              <w:t>Northacre</w:t>
            </w:r>
            <w:proofErr w:type="spellEnd"/>
            <w:r>
              <w:rPr>
                <w:rFonts w:ascii="Calibri" w:hAnsi="Calibri"/>
                <w:szCs w:val="22"/>
              </w:rPr>
              <w:t xml:space="preserve"> Drive, Barrow. BB7 9XT.</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3D8E1F41" w:rsidR="00BC0FF2" w:rsidRPr="00A47F23" w:rsidRDefault="00BB3442" w:rsidP="00A47F23">
            <w:pPr>
              <w:jc w:val="both"/>
              <w:rPr>
                <w:rFonts w:ascii="Calibri" w:hAnsi="Calibri"/>
                <w:szCs w:val="22"/>
              </w:rPr>
            </w:pPr>
            <w:r>
              <w:rPr>
                <w:rFonts w:ascii="Calibri" w:hAnsi="Calibri"/>
                <w:szCs w:val="22"/>
              </w:rPr>
              <w:t xml:space="preserve">Barrow </w:t>
            </w:r>
            <w:r w:rsidR="00A47F23">
              <w:rPr>
                <w:rFonts w:ascii="Calibri" w:hAnsi="Calibri"/>
                <w:szCs w:val="22"/>
              </w:rPr>
              <w:t xml:space="preserve">Parish Council </w:t>
            </w:r>
            <w:r>
              <w:rPr>
                <w:rFonts w:ascii="Calibri" w:hAnsi="Calibri"/>
                <w:szCs w:val="22"/>
              </w:rPr>
              <w:t>consulted on 11/3/22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1051D5A9" w:rsidR="00D56225" w:rsidRDefault="00D56225" w:rsidP="007A3ADF">
            <w:pPr>
              <w:pStyle w:val="PLANNING"/>
              <w:rPr>
                <w:rFonts w:ascii="Calibri" w:hAnsi="Calibri"/>
                <w:bCs/>
                <w:szCs w:val="22"/>
              </w:rPr>
            </w:pPr>
          </w:p>
          <w:p w14:paraId="2E7E6E17" w14:textId="0617326A" w:rsidR="00D22E82" w:rsidRPr="00D22E82" w:rsidRDefault="00D22E82" w:rsidP="007A3ADF">
            <w:pPr>
              <w:pStyle w:val="PLANNING"/>
              <w:rPr>
                <w:rFonts w:ascii="Calibri" w:hAnsi="Calibri"/>
                <w:b/>
                <w:szCs w:val="22"/>
              </w:rPr>
            </w:pPr>
            <w:r w:rsidRPr="00D22E82">
              <w:rPr>
                <w:rFonts w:ascii="Calibri" w:hAnsi="Calibri"/>
                <w:b/>
                <w:szCs w:val="22"/>
              </w:rPr>
              <w:t>3/2015/1017:</w:t>
            </w:r>
          </w:p>
          <w:p w14:paraId="42F5B9FD" w14:textId="4659E522" w:rsidR="00D22E82" w:rsidRDefault="00D22E82" w:rsidP="007A3ADF">
            <w:pPr>
              <w:pStyle w:val="PLANNING"/>
              <w:rPr>
                <w:rFonts w:ascii="Calibri" w:hAnsi="Calibri"/>
                <w:bCs/>
                <w:szCs w:val="22"/>
              </w:rPr>
            </w:pPr>
            <w:r w:rsidRPr="00D22E82">
              <w:rPr>
                <w:rFonts w:ascii="Calibri" w:hAnsi="Calibri"/>
                <w:bCs/>
                <w:szCs w:val="22"/>
              </w:rPr>
              <w:t>Substitution of 29 house types including the addition of 8 new dwellings</w:t>
            </w:r>
            <w:r>
              <w:rPr>
                <w:rFonts w:ascii="Calibri" w:hAnsi="Calibri"/>
                <w:bCs/>
                <w:szCs w:val="22"/>
              </w:rPr>
              <w:t xml:space="preserve"> (Approved)</w:t>
            </w:r>
          </w:p>
          <w:p w14:paraId="01B8164F" w14:textId="0E3C76B8" w:rsidR="00D22E82" w:rsidRDefault="00D22E82" w:rsidP="007A3ADF">
            <w:pPr>
              <w:pStyle w:val="PLANNING"/>
              <w:rPr>
                <w:rFonts w:ascii="Calibri" w:hAnsi="Calibri"/>
                <w:bCs/>
                <w:szCs w:val="22"/>
              </w:rPr>
            </w:pPr>
          </w:p>
          <w:p w14:paraId="40A33628" w14:textId="6266804F" w:rsidR="00D22E82" w:rsidRPr="009A6134" w:rsidRDefault="009A6134" w:rsidP="007A3ADF">
            <w:pPr>
              <w:pStyle w:val="PLANNING"/>
              <w:rPr>
                <w:rFonts w:ascii="Calibri" w:hAnsi="Calibri"/>
                <w:b/>
                <w:szCs w:val="22"/>
              </w:rPr>
            </w:pPr>
            <w:r w:rsidRPr="009A6134">
              <w:rPr>
                <w:rFonts w:ascii="Calibri" w:hAnsi="Calibri"/>
                <w:b/>
                <w:szCs w:val="22"/>
              </w:rPr>
              <w:t>3/2013/0771:</w:t>
            </w:r>
          </w:p>
          <w:p w14:paraId="11553603" w14:textId="36B833AE" w:rsidR="009A6134" w:rsidRDefault="009A6134" w:rsidP="007A3ADF">
            <w:pPr>
              <w:pStyle w:val="PLANNING"/>
              <w:rPr>
                <w:rFonts w:ascii="Calibri" w:hAnsi="Calibri"/>
                <w:bCs/>
                <w:szCs w:val="22"/>
              </w:rPr>
            </w:pPr>
            <w:r w:rsidRPr="009A6134">
              <w:rPr>
                <w:rFonts w:ascii="Calibri" w:hAnsi="Calibri"/>
                <w:bCs/>
                <w:szCs w:val="22"/>
              </w:rPr>
              <w:t>Proposed residential development of 102 dwellings (including twenty affordable units)</w:t>
            </w:r>
            <w:r>
              <w:rPr>
                <w:rFonts w:ascii="Calibri" w:hAnsi="Calibri"/>
                <w:bCs/>
                <w:szCs w:val="22"/>
              </w:rPr>
              <w:t xml:space="preserve"> (Approved)</w:t>
            </w:r>
          </w:p>
          <w:p w14:paraId="30A97D50" w14:textId="60562B28" w:rsidR="00C52703" w:rsidRPr="00C52703" w:rsidRDefault="00C52703"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4C4C1FD0"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272E63">
              <w:rPr>
                <w:rFonts w:asciiTheme="minorHAnsi" w:hAnsiTheme="minorHAnsi" w:cstheme="minorHAnsi"/>
                <w:szCs w:val="22"/>
              </w:rPr>
              <w:t>semi-detached property in Barrow. The property consists of brick, concrete roof tiles and white UPVC doors and windows. The surrounding area is residential comprising numerous detached and semi-detached dwellings which form part of a recently constructed housing development.</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06E188EB" w14:textId="473373D7" w:rsidR="00D2076E"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272E63">
              <w:rPr>
                <w:rFonts w:ascii="Calibri" w:hAnsi="Calibri"/>
                <w:szCs w:val="22"/>
              </w:rPr>
              <w:t xml:space="preserve">addition of a ground floor window to the property’s South-western gable end to serve </w:t>
            </w:r>
            <w:r w:rsidR="000C4B41">
              <w:rPr>
                <w:rFonts w:ascii="Calibri" w:hAnsi="Calibri"/>
                <w:szCs w:val="22"/>
              </w:rPr>
              <w:t>the property’s</w:t>
            </w:r>
            <w:r w:rsidR="00272E63">
              <w:rPr>
                <w:rFonts w:ascii="Calibri" w:hAnsi="Calibri"/>
                <w:szCs w:val="22"/>
              </w:rPr>
              <w:t xml:space="preserve"> kitchen.</w:t>
            </w:r>
          </w:p>
          <w:p w14:paraId="2E79BDB6" w14:textId="349302DC" w:rsidR="00272E63" w:rsidRPr="00096654" w:rsidRDefault="00272E63"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A390221" w14:textId="2445263C" w:rsidR="00C37FD5" w:rsidRDefault="00DC1083" w:rsidP="002948B7">
            <w:pPr>
              <w:contextualSpacing/>
              <w:jc w:val="both"/>
              <w:rPr>
                <w:rFonts w:ascii="Calibri" w:hAnsi="Calibri"/>
                <w:szCs w:val="22"/>
              </w:rPr>
            </w:pPr>
            <w:r>
              <w:rPr>
                <w:rFonts w:ascii="Calibri" w:hAnsi="Calibri"/>
                <w:szCs w:val="22"/>
              </w:rPr>
              <w:t xml:space="preserve">The proposed window would face towards No. 1 </w:t>
            </w:r>
            <w:proofErr w:type="spellStart"/>
            <w:r>
              <w:rPr>
                <w:rFonts w:ascii="Calibri" w:hAnsi="Calibri"/>
                <w:szCs w:val="22"/>
              </w:rPr>
              <w:t>Northacre</w:t>
            </w:r>
            <w:proofErr w:type="spellEnd"/>
            <w:r>
              <w:rPr>
                <w:rFonts w:ascii="Calibri" w:hAnsi="Calibri"/>
                <w:szCs w:val="22"/>
              </w:rPr>
              <w:t xml:space="preserve"> Drive which contains a ground floor window and door on its North-eastern gable end</w:t>
            </w:r>
            <w:r w:rsidR="00070329">
              <w:rPr>
                <w:rFonts w:ascii="Calibri" w:hAnsi="Calibri"/>
                <w:szCs w:val="22"/>
              </w:rPr>
              <w:t xml:space="preserve">. The proposed window would incorporate an opening feature however the neighbouring window and door both comprise obscured glazing and do not form part of any habitable rooms therefore it is not considered that the opening element of the </w:t>
            </w:r>
            <w:r w:rsidR="00F327F1">
              <w:rPr>
                <w:rFonts w:ascii="Calibri" w:hAnsi="Calibri"/>
                <w:szCs w:val="22"/>
              </w:rPr>
              <w:t xml:space="preserve">proposed </w:t>
            </w:r>
            <w:r w:rsidR="00070329">
              <w:rPr>
                <w:rFonts w:ascii="Calibri" w:hAnsi="Calibri"/>
                <w:szCs w:val="22"/>
              </w:rPr>
              <w:t xml:space="preserve">window would </w:t>
            </w:r>
            <w:r w:rsidR="000C4B41">
              <w:rPr>
                <w:rFonts w:ascii="Calibri" w:hAnsi="Calibri"/>
                <w:szCs w:val="22"/>
              </w:rPr>
              <w:t xml:space="preserve">provide </w:t>
            </w:r>
            <w:r w:rsidR="00070329">
              <w:rPr>
                <w:rFonts w:ascii="Calibri" w:hAnsi="Calibri"/>
                <w:szCs w:val="22"/>
              </w:rPr>
              <w:t xml:space="preserve">any </w:t>
            </w:r>
            <w:r w:rsidR="00F327F1">
              <w:rPr>
                <w:rFonts w:ascii="Calibri" w:hAnsi="Calibri"/>
                <w:szCs w:val="22"/>
              </w:rPr>
              <w:t xml:space="preserve">new opportunities for overlooking </w:t>
            </w:r>
            <w:r w:rsidR="00070329">
              <w:rPr>
                <w:rFonts w:ascii="Calibri" w:hAnsi="Calibri"/>
                <w:szCs w:val="22"/>
              </w:rPr>
              <w:t xml:space="preserve">into the directly adjacent property. Moreover, the proposed window would comprise obscured glazing which would </w:t>
            </w:r>
            <w:r w:rsidR="00F327F1">
              <w:rPr>
                <w:rFonts w:ascii="Calibri" w:hAnsi="Calibri"/>
                <w:szCs w:val="22"/>
              </w:rPr>
              <w:t xml:space="preserve">significantly reduce opportunities for looking towards the gable end of No. 1. As such, it is not considered that the proposal would have any undue impact upon the privacy of the directly adjacent neighbouring </w:t>
            </w:r>
            <w:r w:rsidR="000C4B41">
              <w:rPr>
                <w:rFonts w:ascii="Calibri" w:hAnsi="Calibri"/>
                <w:szCs w:val="22"/>
              </w:rPr>
              <w:t>residents</w:t>
            </w:r>
            <w:r w:rsidR="00F327F1">
              <w:rPr>
                <w:rFonts w:ascii="Calibri" w:hAnsi="Calibri"/>
                <w:szCs w:val="22"/>
              </w:rPr>
              <w:t>.</w:t>
            </w:r>
          </w:p>
          <w:p w14:paraId="7D13DE81" w14:textId="46A74619" w:rsidR="00272E63" w:rsidRPr="00D23470" w:rsidRDefault="00272E63"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2B6A8443" w14:textId="652955FB" w:rsidR="00D2076E" w:rsidRDefault="001C29F3" w:rsidP="00B954DA">
            <w:pPr>
              <w:contextualSpacing/>
              <w:jc w:val="both"/>
              <w:rPr>
                <w:rFonts w:ascii="Calibri" w:hAnsi="Calibri"/>
                <w:szCs w:val="22"/>
              </w:rPr>
            </w:pPr>
            <w:r>
              <w:rPr>
                <w:rFonts w:ascii="Calibri" w:hAnsi="Calibri"/>
                <w:szCs w:val="22"/>
              </w:rPr>
              <w:t>T</w:t>
            </w:r>
            <w:r w:rsidR="00542C18">
              <w:rPr>
                <w:rFonts w:ascii="Calibri" w:hAnsi="Calibri"/>
                <w:szCs w:val="22"/>
              </w:rPr>
              <w:t xml:space="preserve">he proposed window would </w:t>
            </w:r>
            <w:r w:rsidR="00B954DA">
              <w:rPr>
                <w:rFonts w:ascii="Calibri" w:hAnsi="Calibri"/>
                <w:szCs w:val="22"/>
              </w:rPr>
              <w:t xml:space="preserve">incorporate a lintel and frame to match the windows of the host property and other properties on the development. The window would </w:t>
            </w:r>
            <w:r w:rsidR="00542C18">
              <w:rPr>
                <w:rFonts w:ascii="Calibri" w:hAnsi="Calibri"/>
                <w:szCs w:val="22"/>
              </w:rPr>
              <w:t xml:space="preserve">be relatively modest in size covering a surface area of just over 1 square metre </w:t>
            </w:r>
            <w:r w:rsidR="00B954DA">
              <w:rPr>
                <w:rFonts w:ascii="Calibri" w:hAnsi="Calibri"/>
                <w:szCs w:val="22"/>
              </w:rPr>
              <w:t>and would only be partially viewable from</w:t>
            </w:r>
            <w:r w:rsidR="000C4B41">
              <w:rPr>
                <w:rFonts w:ascii="Calibri" w:hAnsi="Calibri"/>
                <w:szCs w:val="22"/>
              </w:rPr>
              <w:t xml:space="preserve"> the South-western end of</w:t>
            </w:r>
            <w:r w:rsidR="00B954DA">
              <w:rPr>
                <w:rFonts w:ascii="Calibri" w:hAnsi="Calibri"/>
                <w:szCs w:val="22"/>
              </w:rPr>
              <w:t xml:space="preserve"> </w:t>
            </w:r>
            <w:proofErr w:type="spellStart"/>
            <w:r w:rsidR="00B954DA">
              <w:rPr>
                <w:rFonts w:ascii="Calibri" w:hAnsi="Calibri"/>
                <w:szCs w:val="22"/>
              </w:rPr>
              <w:t>Northacre</w:t>
            </w:r>
            <w:proofErr w:type="spellEnd"/>
            <w:r w:rsidR="00B954DA">
              <w:rPr>
                <w:rFonts w:ascii="Calibri" w:hAnsi="Calibri"/>
                <w:szCs w:val="22"/>
              </w:rPr>
              <w:t xml:space="preserve"> Drive due to being sited on the gable end of the property.</w:t>
            </w:r>
            <w:r w:rsidR="00E555A5">
              <w:rPr>
                <w:rFonts w:ascii="Calibri" w:hAnsi="Calibri"/>
                <w:szCs w:val="22"/>
              </w:rPr>
              <w:t xml:space="preserve"> With the above in mind, it is not considered that the proposed window would result in any </w:t>
            </w:r>
            <w:r>
              <w:rPr>
                <w:rFonts w:ascii="Calibri" w:hAnsi="Calibri"/>
                <w:szCs w:val="22"/>
              </w:rPr>
              <w:t xml:space="preserve">visual </w:t>
            </w:r>
            <w:r w:rsidR="00E555A5">
              <w:rPr>
                <w:rFonts w:ascii="Calibri" w:hAnsi="Calibri"/>
                <w:szCs w:val="22"/>
              </w:rPr>
              <w:t xml:space="preserve">harm to the character of the host property or </w:t>
            </w:r>
            <w:r>
              <w:rPr>
                <w:rFonts w:ascii="Calibri" w:hAnsi="Calibri"/>
                <w:szCs w:val="22"/>
              </w:rPr>
              <w:t xml:space="preserve">harm to the </w:t>
            </w:r>
            <w:r w:rsidR="00E555A5">
              <w:rPr>
                <w:rFonts w:ascii="Calibri" w:hAnsi="Calibri"/>
                <w:szCs w:val="22"/>
              </w:rPr>
              <w:t>visual amenities of the immediate or wider area.</w:t>
            </w:r>
          </w:p>
          <w:p w14:paraId="37A766A4" w14:textId="74C457D5" w:rsidR="00E555A5" w:rsidRPr="0091595C" w:rsidRDefault="00E555A5" w:rsidP="00B954DA">
            <w:pPr>
              <w:contextualSpacing/>
              <w:jc w:val="both"/>
              <w:rPr>
                <w:rFonts w:ascii="Calibri" w:hAnsi="Calibri"/>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750DB0BD" w14:textId="4315E25B" w:rsidR="00E555A5" w:rsidRDefault="00E555A5" w:rsidP="00640CA7">
            <w:pPr>
              <w:pStyle w:val="Header"/>
              <w:rPr>
                <w:rFonts w:ascii="Calibri" w:hAnsi="Calibri"/>
                <w:bCs/>
                <w:szCs w:val="22"/>
              </w:rPr>
            </w:pPr>
            <w:r>
              <w:rPr>
                <w:rFonts w:ascii="Calibri" w:hAnsi="Calibri"/>
                <w:bCs/>
                <w:szCs w:val="22"/>
              </w:rPr>
              <w:t xml:space="preserve">The proposal would not have any undue impact upon the amenity of any neighbouring residents, nor would it be harmful to the visual amenities of the </w:t>
            </w:r>
            <w:r w:rsidR="000C4B41">
              <w:rPr>
                <w:rFonts w:ascii="Calibri" w:hAnsi="Calibri"/>
                <w:bCs/>
                <w:szCs w:val="22"/>
              </w:rPr>
              <w:t>host property or surrounding area.</w:t>
            </w:r>
          </w:p>
          <w:p w14:paraId="6E4287A6" w14:textId="77777777" w:rsidR="00E555A5" w:rsidRDefault="00E555A5" w:rsidP="00640CA7">
            <w:pPr>
              <w:pStyle w:val="Header"/>
              <w:rPr>
                <w:rFonts w:ascii="Calibri" w:hAnsi="Calibri"/>
                <w:bCs/>
                <w:szCs w:val="22"/>
              </w:rPr>
            </w:pPr>
          </w:p>
          <w:p w14:paraId="706CC56D" w14:textId="2942444A"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DC1083">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87C63C9"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DC1083">
              <w:rPr>
                <w:rFonts w:asciiTheme="minorHAnsi" w:hAnsiTheme="minorHAnsi"/>
                <w:bCs/>
                <w:szCs w:val="22"/>
              </w:rPr>
              <w:t>granted.</w:t>
            </w:r>
          </w:p>
        </w:tc>
      </w:tr>
    </w:tbl>
    <w:p w14:paraId="1E754A62" w14:textId="77777777" w:rsidR="0031197A" w:rsidRPr="008C75E4" w:rsidRDefault="0030417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0AA73" w14:textId="77777777" w:rsidR="005F1D20" w:rsidRDefault="005F1D20" w:rsidP="006D0B5F">
      <w:r>
        <w:separator/>
      </w:r>
    </w:p>
  </w:endnote>
  <w:endnote w:type="continuationSeparator" w:id="0">
    <w:p w14:paraId="169723D8" w14:textId="77777777" w:rsidR="005F1D20" w:rsidRDefault="005F1D2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6ADE" w14:textId="77777777" w:rsidR="005F1D20" w:rsidRDefault="005F1D20" w:rsidP="006D0B5F">
      <w:r>
        <w:separator/>
      </w:r>
    </w:p>
  </w:footnote>
  <w:footnote w:type="continuationSeparator" w:id="0">
    <w:p w14:paraId="18B6A8E4" w14:textId="77777777" w:rsidR="005F1D20" w:rsidRDefault="005F1D2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220711">
    <w:abstractNumId w:val="15"/>
  </w:num>
  <w:num w:numId="2" w16cid:durableId="1058700668">
    <w:abstractNumId w:val="10"/>
  </w:num>
  <w:num w:numId="3" w16cid:durableId="1546988666">
    <w:abstractNumId w:val="6"/>
  </w:num>
  <w:num w:numId="4" w16cid:durableId="1635990113">
    <w:abstractNumId w:val="7"/>
  </w:num>
  <w:num w:numId="5" w16cid:durableId="512845308">
    <w:abstractNumId w:val="0"/>
  </w:num>
  <w:num w:numId="6" w16cid:durableId="992224034">
    <w:abstractNumId w:val="2"/>
  </w:num>
  <w:num w:numId="7" w16cid:durableId="786126556">
    <w:abstractNumId w:val="8"/>
  </w:num>
  <w:num w:numId="8" w16cid:durableId="1105345815">
    <w:abstractNumId w:val="13"/>
  </w:num>
  <w:num w:numId="9" w16cid:durableId="754740553">
    <w:abstractNumId w:val="4"/>
  </w:num>
  <w:num w:numId="10" w16cid:durableId="938103415">
    <w:abstractNumId w:val="9"/>
  </w:num>
  <w:num w:numId="11" w16cid:durableId="1266576709">
    <w:abstractNumId w:val="12"/>
  </w:num>
  <w:num w:numId="12" w16cid:durableId="1039279603">
    <w:abstractNumId w:val="1"/>
  </w:num>
  <w:num w:numId="13" w16cid:durableId="1374771465">
    <w:abstractNumId w:val="3"/>
  </w:num>
  <w:num w:numId="14" w16cid:durableId="338125691">
    <w:abstractNumId w:val="5"/>
  </w:num>
  <w:num w:numId="15" w16cid:durableId="1100493387">
    <w:abstractNumId w:val="11"/>
  </w:num>
  <w:num w:numId="16" w16cid:durableId="2541735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70329"/>
    <w:rsid w:val="0008638E"/>
    <w:rsid w:val="00091A2A"/>
    <w:rsid w:val="00096654"/>
    <w:rsid w:val="000A037A"/>
    <w:rsid w:val="000A13A1"/>
    <w:rsid w:val="000A4B0D"/>
    <w:rsid w:val="000B5CB5"/>
    <w:rsid w:val="000C4B41"/>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29F3"/>
    <w:rsid w:val="001C63D5"/>
    <w:rsid w:val="001D38E1"/>
    <w:rsid w:val="001D4F7A"/>
    <w:rsid w:val="001D5ADD"/>
    <w:rsid w:val="001D6426"/>
    <w:rsid w:val="0020331D"/>
    <w:rsid w:val="00203F50"/>
    <w:rsid w:val="00204ED1"/>
    <w:rsid w:val="00206E24"/>
    <w:rsid w:val="002122F4"/>
    <w:rsid w:val="0022611D"/>
    <w:rsid w:val="00230AE6"/>
    <w:rsid w:val="00237DA1"/>
    <w:rsid w:val="00242A1C"/>
    <w:rsid w:val="00250879"/>
    <w:rsid w:val="00261E1A"/>
    <w:rsid w:val="00263B45"/>
    <w:rsid w:val="00266D44"/>
    <w:rsid w:val="00272E63"/>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0417B"/>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2C18"/>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1D20"/>
    <w:rsid w:val="005F5A32"/>
    <w:rsid w:val="006126D1"/>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07E8"/>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134"/>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A17FF"/>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54DA"/>
    <w:rsid w:val="00B96F5A"/>
    <w:rsid w:val="00BA2247"/>
    <w:rsid w:val="00BA5D97"/>
    <w:rsid w:val="00BA6B19"/>
    <w:rsid w:val="00BB12A3"/>
    <w:rsid w:val="00BB1C52"/>
    <w:rsid w:val="00BB2A50"/>
    <w:rsid w:val="00BB3442"/>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2E82"/>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1083"/>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555A5"/>
    <w:rsid w:val="00E66534"/>
    <w:rsid w:val="00E66BAB"/>
    <w:rsid w:val="00E719D1"/>
    <w:rsid w:val="00E71A35"/>
    <w:rsid w:val="00E72F6C"/>
    <w:rsid w:val="00E74F99"/>
    <w:rsid w:val="00E758C0"/>
    <w:rsid w:val="00E80113"/>
    <w:rsid w:val="00E83762"/>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7F1"/>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03966">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2022-04-13T15:57:00Z</cp:lastPrinted>
  <dcterms:created xsi:type="dcterms:W3CDTF">2022-04-13T16:02:00Z</dcterms:created>
  <dcterms:modified xsi:type="dcterms:W3CDTF">2022-04-13T16:02:00Z</dcterms:modified>
</cp:coreProperties>
</file>