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63"/>
        <w:gridCol w:w="923"/>
        <w:gridCol w:w="204"/>
        <w:gridCol w:w="455"/>
        <w:gridCol w:w="245"/>
        <w:gridCol w:w="204"/>
        <w:gridCol w:w="939"/>
        <w:gridCol w:w="1312"/>
        <w:gridCol w:w="535"/>
        <w:gridCol w:w="592"/>
        <w:gridCol w:w="435"/>
        <w:gridCol w:w="429"/>
        <w:gridCol w:w="939"/>
        <w:gridCol w:w="1159"/>
      </w:tblGrid>
      <w:tr w:rsidR="00F0658C" w:rsidRPr="008C75E4" w14:paraId="4498AE75" w14:textId="77777777" w:rsidTr="000E7E4B">
        <w:trPr>
          <w:trHeight w:val="270"/>
          <w:jc w:val="center"/>
        </w:trPr>
        <w:tc>
          <w:tcPr>
            <w:tcW w:w="9634" w:type="dxa"/>
            <w:gridSpan w:val="14"/>
            <w:tcMar>
              <w:top w:w="57" w:type="dxa"/>
              <w:bottom w:w="57" w:type="dxa"/>
            </w:tcMar>
          </w:tcPr>
          <w:p w14:paraId="7E59582D" w14:textId="77777777" w:rsidR="00F0658C" w:rsidRPr="008C75E4" w:rsidRDefault="00F0658C" w:rsidP="000E7E4B">
            <w:pPr>
              <w:jc w:val="center"/>
              <w:rPr>
                <w:rFonts w:ascii="Calibri" w:hAnsi="Calibri"/>
                <w:b/>
                <w:szCs w:val="22"/>
              </w:rPr>
            </w:pPr>
            <w:r w:rsidRPr="008C75E4">
              <w:rPr>
                <w:rFonts w:ascii="Calibri" w:hAnsi="Calibri"/>
                <w:b/>
                <w:szCs w:val="22"/>
              </w:rPr>
              <w:t>Report to be read in conjunction with the Decision Notice.</w:t>
            </w:r>
          </w:p>
        </w:tc>
      </w:tr>
      <w:tr w:rsidR="00F0658C" w:rsidRPr="008C75E4" w14:paraId="07EBA3B9" w14:textId="77777777" w:rsidTr="000E7E4B">
        <w:trPr>
          <w:trHeight w:val="536"/>
          <w:jc w:val="center"/>
        </w:trPr>
        <w:tc>
          <w:tcPr>
            <w:tcW w:w="1263" w:type="dxa"/>
            <w:tcMar>
              <w:top w:w="57" w:type="dxa"/>
              <w:bottom w:w="57" w:type="dxa"/>
            </w:tcMar>
          </w:tcPr>
          <w:p w14:paraId="30699EF0" w14:textId="77777777" w:rsidR="00F0658C" w:rsidRDefault="00F0658C" w:rsidP="000E7E4B">
            <w:pPr>
              <w:jc w:val="center"/>
              <w:rPr>
                <w:rFonts w:ascii="Calibri" w:hAnsi="Calibri"/>
                <w:b/>
                <w:szCs w:val="22"/>
              </w:rPr>
            </w:pPr>
            <w:r w:rsidRPr="008C75E4">
              <w:rPr>
                <w:rFonts w:ascii="Calibri" w:hAnsi="Calibri"/>
                <w:b/>
                <w:szCs w:val="22"/>
              </w:rPr>
              <w:t>Signed:</w:t>
            </w:r>
          </w:p>
          <w:p w14:paraId="5F032E42" w14:textId="77777777" w:rsidR="00F0658C" w:rsidRPr="008C75E4" w:rsidRDefault="00F0658C" w:rsidP="000E7E4B">
            <w:pPr>
              <w:jc w:val="center"/>
              <w:rPr>
                <w:rFonts w:ascii="Calibri" w:hAnsi="Calibri"/>
                <w:b/>
                <w:szCs w:val="22"/>
              </w:rPr>
            </w:pPr>
          </w:p>
        </w:tc>
        <w:tc>
          <w:tcPr>
            <w:tcW w:w="923" w:type="dxa"/>
          </w:tcPr>
          <w:p w14:paraId="18128859" w14:textId="77777777" w:rsidR="00F0658C" w:rsidRPr="008C75E4" w:rsidRDefault="00F0658C" w:rsidP="000E7E4B">
            <w:pPr>
              <w:jc w:val="center"/>
              <w:rPr>
                <w:rFonts w:ascii="Calibri" w:hAnsi="Calibri"/>
                <w:b/>
                <w:szCs w:val="22"/>
              </w:rPr>
            </w:pPr>
            <w:r w:rsidRPr="008C75E4">
              <w:rPr>
                <w:rFonts w:ascii="Calibri" w:hAnsi="Calibri"/>
                <w:b/>
                <w:szCs w:val="22"/>
              </w:rPr>
              <w:t>Officer:</w:t>
            </w:r>
          </w:p>
        </w:tc>
        <w:tc>
          <w:tcPr>
            <w:tcW w:w="1108" w:type="dxa"/>
            <w:gridSpan w:val="4"/>
          </w:tcPr>
          <w:p w14:paraId="1A05872A" w14:textId="77777777" w:rsidR="00F0658C" w:rsidRPr="004D33C8" w:rsidRDefault="00F0658C" w:rsidP="000E7E4B">
            <w:pPr>
              <w:jc w:val="center"/>
              <w:rPr>
                <w:rFonts w:ascii="Calibri" w:hAnsi="Calibri"/>
                <w:szCs w:val="22"/>
              </w:rPr>
            </w:pPr>
            <w:r>
              <w:rPr>
                <w:rFonts w:ascii="Calibri" w:hAnsi="Calibri"/>
                <w:szCs w:val="22"/>
              </w:rPr>
              <w:t>SH</w:t>
            </w:r>
          </w:p>
        </w:tc>
        <w:tc>
          <w:tcPr>
            <w:tcW w:w="939" w:type="dxa"/>
          </w:tcPr>
          <w:p w14:paraId="611F1F03" w14:textId="77777777" w:rsidR="00F0658C" w:rsidRPr="008C75E4" w:rsidRDefault="00F0658C" w:rsidP="000E7E4B">
            <w:pPr>
              <w:jc w:val="center"/>
              <w:rPr>
                <w:rFonts w:ascii="Calibri" w:hAnsi="Calibri"/>
                <w:b/>
                <w:szCs w:val="22"/>
              </w:rPr>
            </w:pPr>
            <w:r w:rsidRPr="008C75E4">
              <w:rPr>
                <w:rFonts w:ascii="Calibri" w:hAnsi="Calibri"/>
                <w:b/>
                <w:szCs w:val="22"/>
              </w:rPr>
              <w:t>Date:</w:t>
            </w:r>
          </w:p>
        </w:tc>
        <w:tc>
          <w:tcPr>
            <w:tcW w:w="1312" w:type="dxa"/>
          </w:tcPr>
          <w:p w14:paraId="01F59E3F" w14:textId="7C4D3440" w:rsidR="00F0658C" w:rsidRPr="004D33C8" w:rsidRDefault="00F0658C" w:rsidP="000E7E4B">
            <w:pPr>
              <w:rPr>
                <w:rFonts w:ascii="Calibri" w:hAnsi="Calibri"/>
                <w:szCs w:val="22"/>
              </w:rPr>
            </w:pPr>
            <w:r>
              <w:rPr>
                <w:rFonts w:ascii="Calibri" w:hAnsi="Calibri"/>
                <w:szCs w:val="22"/>
              </w:rPr>
              <w:t>30/03/2022</w:t>
            </w:r>
          </w:p>
        </w:tc>
        <w:tc>
          <w:tcPr>
            <w:tcW w:w="1127" w:type="dxa"/>
            <w:gridSpan w:val="2"/>
          </w:tcPr>
          <w:p w14:paraId="46C4766E" w14:textId="77777777" w:rsidR="00F0658C" w:rsidRPr="008C75E4" w:rsidRDefault="00F0658C" w:rsidP="000E7E4B">
            <w:pPr>
              <w:jc w:val="center"/>
              <w:rPr>
                <w:rFonts w:ascii="Calibri" w:hAnsi="Calibri"/>
                <w:b/>
                <w:szCs w:val="22"/>
              </w:rPr>
            </w:pPr>
            <w:r w:rsidRPr="008C75E4">
              <w:rPr>
                <w:rFonts w:ascii="Calibri" w:hAnsi="Calibri"/>
                <w:b/>
                <w:szCs w:val="22"/>
              </w:rPr>
              <w:t>Manager:</w:t>
            </w:r>
          </w:p>
        </w:tc>
        <w:tc>
          <w:tcPr>
            <w:tcW w:w="864" w:type="dxa"/>
            <w:gridSpan w:val="2"/>
          </w:tcPr>
          <w:p w14:paraId="7A0045DB" w14:textId="77777777" w:rsidR="00F0658C" w:rsidRPr="008C75E4" w:rsidRDefault="00F0658C" w:rsidP="000E7E4B">
            <w:pPr>
              <w:jc w:val="center"/>
              <w:rPr>
                <w:rFonts w:ascii="Calibri" w:hAnsi="Calibri"/>
                <w:b/>
                <w:szCs w:val="22"/>
              </w:rPr>
            </w:pPr>
          </w:p>
        </w:tc>
        <w:tc>
          <w:tcPr>
            <w:tcW w:w="939" w:type="dxa"/>
          </w:tcPr>
          <w:p w14:paraId="7784E8FA" w14:textId="77777777" w:rsidR="00F0658C" w:rsidRPr="008C75E4" w:rsidRDefault="00F0658C" w:rsidP="000E7E4B">
            <w:pPr>
              <w:jc w:val="center"/>
              <w:rPr>
                <w:rFonts w:ascii="Calibri" w:hAnsi="Calibri"/>
                <w:b/>
                <w:szCs w:val="22"/>
              </w:rPr>
            </w:pPr>
            <w:r w:rsidRPr="008C75E4">
              <w:rPr>
                <w:rFonts w:ascii="Calibri" w:hAnsi="Calibri"/>
                <w:b/>
                <w:szCs w:val="22"/>
              </w:rPr>
              <w:t>Date:</w:t>
            </w:r>
          </w:p>
        </w:tc>
        <w:tc>
          <w:tcPr>
            <w:tcW w:w="1159" w:type="dxa"/>
          </w:tcPr>
          <w:p w14:paraId="40EAB9EE" w14:textId="77777777" w:rsidR="00F0658C" w:rsidRPr="008C75E4" w:rsidRDefault="00F0658C" w:rsidP="000E7E4B">
            <w:pPr>
              <w:jc w:val="center"/>
              <w:rPr>
                <w:rFonts w:ascii="Calibri" w:hAnsi="Calibri"/>
                <w:b/>
                <w:szCs w:val="22"/>
              </w:rPr>
            </w:pPr>
          </w:p>
        </w:tc>
      </w:tr>
      <w:tr w:rsidR="00F0658C" w:rsidRPr="008C75E4" w14:paraId="255BD47D" w14:textId="77777777" w:rsidTr="000E7E4B">
        <w:trPr>
          <w:trHeight w:val="587"/>
          <w:jc w:val="center"/>
        </w:trPr>
        <w:tc>
          <w:tcPr>
            <w:tcW w:w="1263" w:type="dxa"/>
            <w:tcBorders>
              <w:bottom w:val="single" w:sz="4" w:space="0" w:color="BFBFBF" w:themeColor="background1" w:themeShade="BF"/>
            </w:tcBorders>
            <w:tcMar>
              <w:top w:w="57" w:type="dxa"/>
              <w:bottom w:w="57" w:type="dxa"/>
            </w:tcMar>
          </w:tcPr>
          <w:p w14:paraId="75F4B5E3" w14:textId="77777777" w:rsidR="00F0658C" w:rsidRPr="008C75E4" w:rsidRDefault="00F0658C" w:rsidP="000E7E4B">
            <w:pPr>
              <w:jc w:val="center"/>
              <w:rPr>
                <w:rFonts w:ascii="Calibri" w:hAnsi="Calibri"/>
                <w:b/>
                <w:szCs w:val="22"/>
              </w:rPr>
            </w:pPr>
            <w:r>
              <w:rPr>
                <w:rFonts w:ascii="Calibri" w:hAnsi="Calibri"/>
                <w:b/>
                <w:szCs w:val="22"/>
              </w:rPr>
              <w:t>Site Notice displayed</w:t>
            </w:r>
          </w:p>
        </w:tc>
        <w:tc>
          <w:tcPr>
            <w:tcW w:w="923" w:type="dxa"/>
            <w:tcBorders>
              <w:bottom w:val="single" w:sz="4" w:space="0" w:color="BFBFBF" w:themeColor="background1" w:themeShade="BF"/>
            </w:tcBorders>
          </w:tcPr>
          <w:p w14:paraId="47F2C2D2" w14:textId="77777777" w:rsidR="00F0658C" w:rsidRPr="004D33C8" w:rsidRDefault="00F0658C" w:rsidP="000E7E4B">
            <w:pPr>
              <w:jc w:val="center"/>
              <w:rPr>
                <w:rFonts w:ascii="Calibri" w:hAnsi="Calibri"/>
                <w:szCs w:val="22"/>
              </w:rPr>
            </w:pPr>
            <w:r>
              <w:rPr>
                <w:rFonts w:ascii="Calibri" w:hAnsi="Calibri"/>
                <w:szCs w:val="22"/>
              </w:rPr>
              <w:t>N/A</w:t>
            </w:r>
          </w:p>
        </w:tc>
        <w:tc>
          <w:tcPr>
            <w:tcW w:w="1108" w:type="dxa"/>
            <w:gridSpan w:val="4"/>
            <w:tcBorders>
              <w:bottom w:val="single" w:sz="4" w:space="0" w:color="BFBFBF" w:themeColor="background1" w:themeShade="BF"/>
            </w:tcBorders>
          </w:tcPr>
          <w:p w14:paraId="4728C7C8" w14:textId="77777777" w:rsidR="00F0658C" w:rsidRPr="008C75E4" w:rsidRDefault="00F0658C" w:rsidP="000E7E4B">
            <w:pPr>
              <w:jc w:val="center"/>
              <w:rPr>
                <w:rFonts w:ascii="Calibri" w:hAnsi="Calibri"/>
                <w:b/>
                <w:szCs w:val="22"/>
              </w:rPr>
            </w:pPr>
            <w:r>
              <w:rPr>
                <w:rFonts w:ascii="Calibri" w:hAnsi="Calibri"/>
                <w:b/>
                <w:szCs w:val="22"/>
              </w:rPr>
              <w:t>Photos uploaded</w:t>
            </w:r>
          </w:p>
        </w:tc>
        <w:tc>
          <w:tcPr>
            <w:tcW w:w="939" w:type="dxa"/>
            <w:tcBorders>
              <w:bottom w:val="single" w:sz="4" w:space="0" w:color="BFBFBF" w:themeColor="background1" w:themeShade="BF"/>
            </w:tcBorders>
          </w:tcPr>
          <w:p w14:paraId="0285272A" w14:textId="77777777" w:rsidR="00F0658C" w:rsidRPr="004D33C8" w:rsidRDefault="00F0658C" w:rsidP="000E7E4B">
            <w:pPr>
              <w:jc w:val="center"/>
              <w:rPr>
                <w:rFonts w:ascii="Calibri" w:hAnsi="Calibri"/>
                <w:szCs w:val="22"/>
              </w:rPr>
            </w:pPr>
            <w:r w:rsidRPr="004D33C8">
              <w:rPr>
                <w:rFonts w:ascii="Calibri" w:hAnsi="Calibri"/>
                <w:szCs w:val="22"/>
              </w:rPr>
              <w:t>Y</w:t>
            </w:r>
          </w:p>
        </w:tc>
        <w:tc>
          <w:tcPr>
            <w:tcW w:w="5401" w:type="dxa"/>
            <w:gridSpan w:val="7"/>
            <w:tcBorders>
              <w:bottom w:val="single" w:sz="4" w:space="0" w:color="BFBFBF" w:themeColor="background1" w:themeShade="BF"/>
            </w:tcBorders>
          </w:tcPr>
          <w:p w14:paraId="493C3220" w14:textId="77777777" w:rsidR="00F0658C" w:rsidRPr="008C75E4" w:rsidRDefault="00F0658C" w:rsidP="000E7E4B">
            <w:pPr>
              <w:jc w:val="center"/>
              <w:rPr>
                <w:rFonts w:ascii="Calibri" w:hAnsi="Calibri"/>
                <w:b/>
                <w:szCs w:val="22"/>
              </w:rPr>
            </w:pPr>
          </w:p>
        </w:tc>
      </w:tr>
      <w:tr w:rsidR="00F0658C" w:rsidRPr="008C75E4" w14:paraId="6FBE7B47" w14:textId="77777777" w:rsidTr="000E7E4B">
        <w:trPr>
          <w:trHeight w:val="270"/>
          <w:jc w:val="center"/>
        </w:trPr>
        <w:tc>
          <w:tcPr>
            <w:tcW w:w="9634" w:type="dxa"/>
            <w:gridSpan w:val="14"/>
            <w:tcBorders>
              <w:left w:val="nil"/>
              <w:right w:val="nil"/>
            </w:tcBorders>
            <w:tcMar>
              <w:top w:w="57" w:type="dxa"/>
              <w:bottom w:w="57" w:type="dxa"/>
            </w:tcMar>
          </w:tcPr>
          <w:p w14:paraId="4EF3883D" w14:textId="77777777" w:rsidR="00F0658C" w:rsidRPr="008C75E4" w:rsidRDefault="00F0658C" w:rsidP="000E7E4B">
            <w:pPr>
              <w:jc w:val="center"/>
              <w:rPr>
                <w:rFonts w:ascii="Calibri" w:hAnsi="Calibri"/>
                <w:b/>
                <w:szCs w:val="22"/>
              </w:rPr>
            </w:pPr>
          </w:p>
        </w:tc>
      </w:tr>
      <w:tr w:rsidR="00F0658C" w:rsidRPr="008C75E4" w14:paraId="6CCE3524" w14:textId="77777777" w:rsidTr="000E7E4B">
        <w:trPr>
          <w:trHeight w:val="270"/>
          <w:jc w:val="center"/>
        </w:trPr>
        <w:tc>
          <w:tcPr>
            <w:tcW w:w="2390" w:type="dxa"/>
            <w:gridSpan w:val="3"/>
            <w:tcMar>
              <w:top w:w="57" w:type="dxa"/>
              <w:bottom w:w="57" w:type="dxa"/>
            </w:tcMar>
          </w:tcPr>
          <w:p w14:paraId="798C3AF1" w14:textId="77777777" w:rsidR="00F0658C" w:rsidRPr="008C75E4" w:rsidRDefault="00F0658C" w:rsidP="000E7E4B">
            <w:pPr>
              <w:rPr>
                <w:rFonts w:ascii="Calibri" w:hAnsi="Calibri"/>
                <w:b/>
                <w:szCs w:val="22"/>
              </w:rPr>
            </w:pPr>
            <w:r w:rsidRPr="008C75E4">
              <w:rPr>
                <w:rFonts w:ascii="Calibri" w:hAnsi="Calibri"/>
                <w:b/>
                <w:szCs w:val="22"/>
              </w:rPr>
              <w:t>Application Ref:</w:t>
            </w:r>
          </w:p>
        </w:tc>
        <w:tc>
          <w:tcPr>
            <w:tcW w:w="3690" w:type="dxa"/>
            <w:gridSpan w:val="6"/>
          </w:tcPr>
          <w:p w14:paraId="13BE1BFA" w14:textId="36DB7839" w:rsidR="00F0658C" w:rsidRPr="008C75E4" w:rsidRDefault="00F0658C" w:rsidP="000E7E4B">
            <w:pPr>
              <w:rPr>
                <w:rFonts w:ascii="Calibri" w:hAnsi="Calibri"/>
                <w:szCs w:val="22"/>
              </w:rPr>
            </w:pPr>
            <w:r>
              <w:rPr>
                <w:rFonts w:ascii="Calibri" w:hAnsi="Calibri"/>
                <w:szCs w:val="22"/>
              </w:rPr>
              <w:t>3/2022/0233</w:t>
            </w:r>
          </w:p>
        </w:tc>
        <w:tc>
          <w:tcPr>
            <w:tcW w:w="3554" w:type="dxa"/>
            <w:gridSpan w:val="5"/>
            <w:vMerge w:val="restart"/>
            <w:tcMar>
              <w:top w:w="57" w:type="dxa"/>
              <w:bottom w:w="57" w:type="dxa"/>
            </w:tcMar>
          </w:tcPr>
          <w:p w14:paraId="7F43F300" w14:textId="77777777" w:rsidR="00F0658C" w:rsidRPr="008C75E4" w:rsidRDefault="00F0658C" w:rsidP="000E7E4B">
            <w:pPr>
              <w:rPr>
                <w:rFonts w:ascii="Calibri" w:hAnsi="Calibri"/>
                <w:szCs w:val="22"/>
              </w:rPr>
            </w:pPr>
            <w:r w:rsidRPr="008C75E4">
              <w:rPr>
                <w:rFonts w:ascii="Calibri" w:hAnsi="Calibri"/>
                <w:noProof/>
                <w:szCs w:val="22"/>
                <w:lang w:eastAsia="en-GB"/>
              </w:rPr>
              <w:drawing>
                <wp:anchor distT="0" distB="0" distL="114300" distR="114300" simplePos="0" relativeHeight="251659264" behindDoc="0" locked="0" layoutInCell="1" allowOverlap="1" wp14:anchorId="1BA69DD7" wp14:editId="62021074">
                  <wp:simplePos x="0" y="0"/>
                  <wp:positionH relativeFrom="column">
                    <wp:posOffset>16264</wp:posOffset>
                  </wp:positionH>
                  <wp:positionV relativeFrom="paragraph">
                    <wp:posOffset>10894</wp:posOffset>
                  </wp:positionV>
                  <wp:extent cx="2066306" cy="622749"/>
                  <wp:effectExtent l="0" t="0" r="0" b="635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4" cstate="print">
                            <a:extLst>
                              <a:ext uri="{28A0092B-C50C-407E-A947-70E740481C1C}">
                                <a14:useLocalDpi xmlns:a14="http://schemas.microsoft.com/office/drawing/2010/main" val="0"/>
                              </a:ext>
                            </a:extLst>
                          </a:blip>
                          <a:srcRect l="4936" t="23260" r="5152" b="25828"/>
                          <a:stretch/>
                        </pic:blipFill>
                        <pic:spPr bwMode="auto">
                          <a:xfrm>
                            <a:off x="0" y="0"/>
                            <a:ext cx="2071748" cy="6243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0658C" w:rsidRPr="008C75E4" w14:paraId="0B56A686" w14:textId="77777777" w:rsidTr="000E7E4B">
        <w:trPr>
          <w:trHeight w:val="270"/>
          <w:jc w:val="center"/>
        </w:trPr>
        <w:tc>
          <w:tcPr>
            <w:tcW w:w="2390" w:type="dxa"/>
            <w:gridSpan w:val="3"/>
            <w:tcMar>
              <w:top w:w="57" w:type="dxa"/>
              <w:bottom w:w="57" w:type="dxa"/>
            </w:tcMar>
          </w:tcPr>
          <w:p w14:paraId="3DD9A6E1" w14:textId="77777777" w:rsidR="00F0658C" w:rsidRPr="008C75E4" w:rsidRDefault="00F0658C" w:rsidP="000E7E4B">
            <w:pPr>
              <w:rPr>
                <w:rFonts w:ascii="Calibri" w:hAnsi="Calibri"/>
                <w:b/>
                <w:szCs w:val="22"/>
              </w:rPr>
            </w:pPr>
            <w:r w:rsidRPr="008C75E4">
              <w:rPr>
                <w:rFonts w:ascii="Calibri" w:hAnsi="Calibri"/>
                <w:b/>
                <w:szCs w:val="22"/>
              </w:rPr>
              <w:t>Date Inspected:</w:t>
            </w:r>
          </w:p>
        </w:tc>
        <w:tc>
          <w:tcPr>
            <w:tcW w:w="3690" w:type="dxa"/>
            <w:gridSpan w:val="6"/>
          </w:tcPr>
          <w:p w14:paraId="61E3E8DE" w14:textId="77777777" w:rsidR="00F0658C" w:rsidRPr="008C75E4" w:rsidRDefault="00F0658C" w:rsidP="000E7E4B">
            <w:pPr>
              <w:rPr>
                <w:rFonts w:ascii="Calibri" w:hAnsi="Calibri"/>
                <w:szCs w:val="22"/>
              </w:rPr>
            </w:pPr>
            <w:r>
              <w:rPr>
                <w:rFonts w:ascii="Calibri" w:hAnsi="Calibri"/>
                <w:szCs w:val="22"/>
              </w:rPr>
              <w:t>18/01/2022</w:t>
            </w:r>
          </w:p>
        </w:tc>
        <w:tc>
          <w:tcPr>
            <w:tcW w:w="3554" w:type="dxa"/>
            <w:gridSpan w:val="5"/>
            <w:vMerge/>
            <w:tcMar>
              <w:top w:w="57" w:type="dxa"/>
              <w:bottom w:w="57" w:type="dxa"/>
            </w:tcMar>
          </w:tcPr>
          <w:p w14:paraId="7F697266" w14:textId="77777777" w:rsidR="00F0658C" w:rsidRPr="008C75E4" w:rsidRDefault="00F0658C" w:rsidP="000E7E4B">
            <w:pPr>
              <w:rPr>
                <w:rFonts w:ascii="Calibri" w:hAnsi="Calibri"/>
                <w:szCs w:val="22"/>
              </w:rPr>
            </w:pPr>
          </w:p>
        </w:tc>
      </w:tr>
      <w:tr w:rsidR="00F0658C" w:rsidRPr="008C75E4" w14:paraId="19F9810F" w14:textId="77777777" w:rsidTr="000E7E4B">
        <w:trPr>
          <w:trHeight w:val="270"/>
          <w:jc w:val="center"/>
        </w:trPr>
        <w:tc>
          <w:tcPr>
            <w:tcW w:w="2390" w:type="dxa"/>
            <w:gridSpan w:val="3"/>
            <w:tcMar>
              <w:top w:w="57" w:type="dxa"/>
              <w:bottom w:w="57" w:type="dxa"/>
            </w:tcMar>
          </w:tcPr>
          <w:p w14:paraId="163F12B6" w14:textId="77777777" w:rsidR="00F0658C" w:rsidRPr="008C75E4" w:rsidRDefault="00F0658C" w:rsidP="000E7E4B">
            <w:pPr>
              <w:rPr>
                <w:rFonts w:ascii="Calibri" w:hAnsi="Calibri"/>
                <w:b/>
                <w:szCs w:val="22"/>
              </w:rPr>
            </w:pPr>
            <w:r w:rsidRPr="008C75E4">
              <w:rPr>
                <w:rFonts w:ascii="Calibri" w:hAnsi="Calibri"/>
                <w:b/>
                <w:szCs w:val="22"/>
              </w:rPr>
              <w:t>Officer:</w:t>
            </w:r>
          </w:p>
        </w:tc>
        <w:tc>
          <w:tcPr>
            <w:tcW w:w="3690" w:type="dxa"/>
            <w:gridSpan w:val="6"/>
          </w:tcPr>
          <w:p w14:paraId="0CBD9428" w14:textId="77777777" w:rsidR="00F0658C" w:rsidRPr="004D33C8" w:rsidRDefault="00F0658C" w:rsidP="000E7E4B">
            <w:pPr>
              <w:rPr>
                <w:rFonts w:ascii="Calibri" w:hAnsi="Calibri"/>
                <w:szCs w:val="22"/>
              </w:rPr>
            </w:pPr>
            <w:r>
              <w:rPr>
                <w:rFonts w:ascii="Calibri" w:hAnsi="Calibri"/>
                <w:szCs w:val="22"/>
              </w:rPr>
              <w:t>SH</w:t>
            </w:r>
          </w:p>
        </w:tc>
        <w:tc>
          <w:tcPr>
            <w:tcW w:w="3554" w:type="dxa"/>
            <w:gridSpan w:val="5"/>
            <w:vMerge/>
            <w:tcMar>
              <w:top w:w="57" w:type="dxa"/>
              <w:bottom w:w="57" w:type="dxa"/>
            </w:tcMar>
          </w:tcPr>
          <w:p w14:paraId="5FE9734F" w14:textId="77777777" w:rsidR="00F0658C" w:rsidRPr="008C75E4" w:rsidRDefault="00F0658C" w:rsidP="000E7E4B">
            <w:pPr>
              <w:rPr>
                <w:rFonts w:ascii="Calibri" w:hAnsi="Calibri"/>
                <w:szCs w:val="22"/>
              </w:rPr>
            </w:pPr>
          </w:p>
        </w:tc>
      </w:tr>
      <w:tr w:rsidR="00F0658C" w:rsidRPr="008C75E4" w14:paraId="2422444D" w14:textId="77777777" w:rsidTr="000E7E4B">
        <w:trPr>
          <w:trHeight w:val="270"/>
          <w:jc w:val="center"/>
        </w:trPr>
        <w:tc>
          <w:tcPr>
            <w:tcW w:w="6080" w:type="dxa"/>
            <w:gridSpan w:val="9"/>
            <w:tcBorders>
              <w:bottom w:val="single" w:sz="4" w:space="0" w:color="BFBFBF" w:themeColor="background1" w:themeShade="BF"/>
            </w:tcBorders>
            <w:tcMar>
              <w:top w:w="57" w:type="dxa"/>
              <w:bottom w:w="57" w:type="dxa"/>
            </w:tcMar>
          </w:tcPr>
          <w:p w14:paraId="13D8CA62" w14:textId="77777777" w:rsidR="00F0658C" w:rsidRPr="001323C7" w:rsidRDefault="00F0658C" w:rsidP="000E7E4B">
            <w:pPr>
              <w:rPr>
                <w:rFonts w:ascii="Calibri" w:hAnsi="Calibri"/>
                <w:b/>
                <w:szCs w:val="22"/>
              </w:rPr>
            </w:pPr>
            <w:r w:rsidRPr="001323C7">
              <w:rPr>
                <w:rFonts w:ascii="Calibri" w:hAnsi="Calibri"/>
                <w:b/>
                <w:szCs w:val="22"/>
              </w:rPr>
              <w:t xml:space="preserve">DELEGATED ITEM FILE REPORT: </w:t>
            </w:r>
          </w:p>
        </w:tc>
        <w:tc>
          <w:tcPr>
            <w:tcW w:w="1027" w:type="dxa"/>
            <w:gridSpan w:val="2"/>
            <w:tcBorders>
              <w:bottom w:val="single" w:sz="4" w:space="0" w:color="BFBFBF" w:themeColor="background1" w:themeShade="BF"/>
            </w:tcBorders>
          </w:tcPr>
          <w:p w14:paraId="7ED8D256" w14:textId="77777777" w:rsidR="00F0658C" w:rsidRPr="001323C7" w:rsidRDefault="00F0658C" w:rsidP="000E7E4B">
            <w:pPr>
              <w:rPr>
                <w:rFonts w:ascii="Calibri" w:hAnsi="Calibri"/>
                <w:b/>
                <w:szCs w:val="22"/>
              </w:rPr>
            </w:pPr>
            <w:r w:rsidRPr="001323C7">
              <w:rPr>
                <w:rFonts w:ascii="Calibri" w:hAnsi="Calibri"/>
                <w:b/>
                <w:szCs w:val="22"/>
              </w:rPr>
              <w:t>Decision</w:t>
            </w:r>
          </w:p>
        </w:tc>
        <w:tc>
          <w:tcPr>
            <w:tcW w:w="2527" w:type="dxa"/>
            <w:gridSpan w:val="3"/>
            <w:tcBorders>
              <w:bottom w:val="single" w:sz="4" w:space="0" w:color="BFBFBF" w:themeColor="background1" w:themeShade="BF"/>
            </w:tcBorders>
          </w:tcPr>
          <w:p w14:paraId="5F0A2B0C" w14:textId="6485E474" w:rsidR="00F0658C" w:rsidRPr="001323C7" w:rsidRDefault="00F0658C" w:rsidP="000E7E4B">
            <w:pPr>
              <w:jc w:val="center"/>
              <w:rPr>
                <w:rFonts w:ascii="Calibri" w:hAnsi="Calibri"/>
                <w:b/>
                <w:bCs/>
                <w:szCs w:val="22"/>
              </w:rPr>
            </w:pPr>
            <w:r w:rsidRPr="00124B1C">
              <w:rPr>
                <w:rFonts w:ascii="Calibri" w:hAnsi="Calibri"/>
                <w:b/>
                <w:bCs/>
                <w:szCs w:val="22"/>
              </w:rPr>
              <w:t>APPROVAL</w:t>
            </w:r>
          </w:p>
        </w:tc>
      </w:tr>
      <w:tr w:rsidR="00F0658C" w:rsidRPr="008C75E4" w14:paraId="7693923A" w14:textId="77777777" w:rsidTr="000E7E4B">
        <w:trPr>
          <w:trHeight w:hRule="exact" w:val="144"/>
          <w:jc w:val="center"/>
        </w:trPr>
        <w:tc>
          <w:tcPr>
            <w:tcW w:w="9634" w:type="dxa"/>
            <w:gridSpan w:val="14"/>
            <w:tcBorders>
              <w:left w:val="nil"/>
              <w:right w:val="nil"/>
            </w:tcBorders>
            <w:tcMar>
              <w:top w:w="57" w:type="dxa"/>
              <w:bottom w:w="57" w:type="dxa"/>
            </w:tcMar>
          </w:tcPr>
          <w:p w14:paraId="51A308C0" w14:textId="77777777" w:rsidR="00F0658C" w:rsidRPr="001323C7" w:rsidRDefault="00F0658C" w:rsidP="000E7E4B">
            <w:pPr>
              <w:tabs>
                <w:tab w:val="left" w:pos="4007"/>
              </w:tabs>
              <w:rPr>
                <w:rFonts w:ascii="Calibri" w:hAnsi="Calibri"/>
                <w:b/>
                <w:sz w:val="4"/>
                <w:szCs w:val="4"/>
              </w:rPr>
            </w:pPr>
          </w:p>
        </w:tc>
      </w:tr>
      <w:tr w:rsidR="00F0658C" w:rsidRPr="008C75E4" w14:paraId="12C65658" w14:textId="77777777" w:rsidTr="000E7E4B">
        <w:trPr>
          <w:trHeight w:val="811"/>
          <w:jc w:val="center"/>
        </w:trPr>
        <w:tc>
          <w:tcPr>
            <w:tcW w:w="3090" w:type="dxa"/>
            <w:gridSpan w:val="5"/>
            <w:tcMar>
              <w:top w:w="57" w:type="dxa"/>
              <w:bottom w:w="57" w:type="dxa"/>
            </w:tcMar>
          </w:tcPr>
          <w:p w14:paraId="165DAB2A" w14:textId="77777777" w:rsidR="00F0658C" w:rsidRPr="001323C7" w:rsidRDefault="00F0658C" w:rsidP="000E7E4B">
            <w:pPr>
              <w:rPr>
                <w:rFonts w:ascii="Calibri" w:hAnsi="Calibri"/>
                <w:b/>
                <w:szCs w:val="22"/>
              </w:rPr>
            </w:pPr>
            <w:r w:rsidRPr="001323C7">
              <w:rPr>
                <w:rFonts w:ascii="Calibri" w:hAnsi="Calibri"/>
                <w:b/>
                <w:szCs w:val="22"/>
              </w:rPr>
              <w:t>Development Description:</w:t>
            </w:r>
          </w:p>
        </w:tc>
        <w:tc>
          <w:tcPr>
            <w:tcW w:w="6544" w:type="dxa"/>
            <w:gridSpan w:val="9"/>
          </w:tcPr>
          <w:p w14:paraId="227C39E9" w14:textId="06CCF0CD" w:rsidR="00F0658C" w:rsidRPr="001323C7" w:rsidRDefault="00F0658C" w:rsidP="000E7E4B">
            <w:pPr>
              <w:overflowPunct/>
              <w:autoSpaceDE/>
              <w:autoSpaceDN/>
              <w:adjustRightInd/>
              <w:textAlignment w:val="auto"/>
              <w:rPr>
                <w:rFonts w:ascii="Calibri" w:hAnsi="Calibri" w:cs="Calibri"/>
                <w:color w:val="000000"/>
                <w:szCs w:val="22"/>
              </w:rPr>
            </w:pPr>
            <w:r>
              <w:rPr>
                <w:rFonts w:ascii="Calibri" w:hAnsi="Calibri" w:cs="Calibri"/>
                <w:color w:val="000000"/>
                <w:szCs w:val="22"/>
              </w:rPr>
              <w:t>Proposed alterations to rear façade of 11 Painter wood. Comprising of changing a door from a single to a double door. Minor alterations to heights of existing windows and movement of existing rear drainage. Resubmission.</w:t>
            </w:r>
          </w:p>
        </w:tc>
      </w:tr>
      <w:tr w:rsidR="00F0658C" w:rsidRPr="008C75E4" w14:paraId="295B8BED" w14:textId="77777777" w:rsidTr="000E7E4B">
        <w:trPr>
          <w:trHeight w:val="270"/>
          <w:jc w:val="center"/>
        </w:trPr>
        <w:tc>
          <w:tcPr>
            <w:tcW w:w="3090" w:type="dxa"/>
            <w:gridSpan w:val="5"/>
            <w:tcBorders>
              <w:bottom w:val="single" w:sz="4" w:space="0" w:color="BFBFBF" w:themeColor="background1" w:themeShade="BF"/>
            </w:tcBorders>
            <w:tcMar>
              <w:top w:w="57" w:type="dxa"/>
              <w:bottom w:w="57" w:type="dxa"/>
            </w:tcMar>
          </w:tcPr>
          <w:p w14:paraId="5DEB385F" w14:textId="77777777" w:rsidR="00F0658C" w:rsidRPr="001323C7" w:rsidRDefault="00F0658C" w:rsidP="000E7E4B">
            <w:pPr>
              <w:rPr>
                <w:rFonts w:ascii="Calibri" w:hAnsi="Calibri"/>
                <w:b/>
                <w:szCs w:val="22"/>
              </w:rPr>
            </w:pPr>
            <w:r w:rsidRPr="001323C7">
              <w:rPr>
                <w:rFonts w:ascii="Calibri" w:hAnsi="Calibri"/>
                <w:b/>
                <w:szCs w:val="22"/>
              </w:rPr>
              <w:t>Site Address/Location:</w:t>
            </w:r>
          </w:p>
        </w:tc>
        <w:tc>
          <w:tcPr>
            <w:tcW w:w="6544" w:type="dxa"/>
            <w:gridSpan w:val="9"/>
            <w:tcBorders>
              <w:bottom w:val="single" w:sz="4" w:space="0" w:color="BFBFBF" w:themeColor="background1" w:themeShade="BF"/>
            </w:tcBorders>
          </w:tcPr>
          <w:p w14:paraId="23DE7C84" w14:textId="77777777" w:rsidR="00F0658C" w:rsidRPr="001323C7" w:rsidRDefault="00F0658C" w:rsidP="000E7E4B">
            <w:pPr>
              <w:overflowPunct/>
              <w:autoSpaceDE/>
              <w:autoSpaceDN/>
              <w:adjustRightInd/>
              <w:textAlignment w:val="auto"/>
              <w:rPr>
                <w:rFonts w:ascii="Calibri" w:hAnsi="Calibri" w:cs="Calibri"/>
                <w:color w:val="000000"/>
                <w:szCs w:val="22"/>
              </w:rPr>
            </w:pPr>
            <w:r w:rsidRPr="001323C7">
              <w:rPr>
                <w:rFonts w:ascii="Calibri" w:hAnsi="Calibri" w:cs="Calibri"/>
                <w:color w:val="000000"/>
                <w:szCs w:val="22"/>
              </w:rPr>
              <w:t>11 Painter Wood, Whalley Old Road, Billington, BB7 9JD</w:t>
            </w:r>
          </w:p>
        </w:tc>
      </w:tr>
      <w:tr w:rsidR="00F0658C" w:rsidRPr="008C75E4" w14:paraId="6B40E9AE" w14:textId="77777777" w:rsidTr="000E7E4B">
        <w:trPr>
          <w:trHeight w:hRule="exact" w:val="144"/>
          <w:jc w:val="center"/>
        </w:trPr>
        <w:tc>
          <w:tcPr>
            <w:tcW w:w="9634" w:type="dxa"/>
            <w:gridSpan w:val="14"/>
            <w:tcBorders>
              <w:left w:val="nil"/>
              <w:right w:val="nil"/>
            </w:tcBorders>
            <w:tcMar>
              <w:top w:w="57" w:type="dxa"/>
              <w:bottom w:w="57" w:type="dxa"/>
            </w:tcMar>
          </w:tcPr>
          <w:p w14:paraId="3813D0E0" w14:textId="77777777" w:rsidR="00F0658C" w:rsidRPr="001323C7" w:rsidRDefault="00F0658C" w:rsidP="000E7E4B">
            <w:pPr>
              <w:tabs>
                <w:tab w:val="left" w:pos="2667"/>
              </w:tabs>
              <w:rPr>
                <w:rFonts w:ascii="Calibri" w:hAnsi="Calibri"/>
                <w:b/>
                <w:sz w:val="4"/>
                <w:szCs w:val="4"/>
              </w:rPr>
            </w:pPr>
          </w:p>
        </w:tc>
      </w:tr>
      <w:tr w:rsidR="00F0658C" w:rsidRPr="008C75E4" w14:paraId="5148CC3A" w14:textId="77777777" w:rsidTr="000E7E4B">
        <w:trPr>
          <w:trHeight w:val="285"/>
          <w:jc w:val="center"/>
        </w:trPr>
        <w:tc>
          <w:tcPr>
            <w:tcW w:w="3090" w:type="dxa"/>
            <w:gridSpan w:val="5"/>
            <w:tcMar>
              <w:top w:w="57" w:type="dxa"/>
              <w:bottom w:w="57" w:type="dxa"/>
            </w:tcMar>
          </w:tcPr>
          <w:p w14:paraId="34519CEA" w14:textId="77777777" w:rsidR="00F0658C" w:rsidRPr="00CB5AE9" w:rsidRDefault="00F0658C" w:rsidP="000E7E4B">
            <w:pPr>
              <w:rPr>
                <w:rFonts w:ascii="Calibri" w:hAnsi="Calibri"/>
                <w:b/>
                <w:szCs w:val="22"/>
              </w:rPr>
            </w:pPr>
            <w:r w:rsidRPr="00CB5AE9">
              <w:rPr>
                <w:rFonts w:ascii="Calibri" w:hAnsi="Calibri"/>
                <w:b/>
                <w:szCs w:val="22"/>
              </w:rPr>
              <w:t xml:space="preserve">CONSULTATIONS: </w:t>
            </w:r>
          </w:p>
        </w:tc>
        <w:tc>
          <w:tcPr>
            <w:tcW w:w="6544" w:type="dxa"/>
            <w:gridSpan w:val="9"/>
          </w:tcPr>
          <w:p w14:paraId="39FD9BA5" w14:textId="77777777" w:rsidR="00F0658C" w:rsidRPr="001323C7" w:rsidRDefault="00F0658C" w:rsidP="000E7E4B">
            <w:pPr>
              <w:rPr>
                <w:rFonts w:ascii="Calibri" w:hAnsi="Calibri"/>
                <w:b/>
                <w:szCs w:val="22"/>
              </w:rPr>
            </w:pPr>
            <w:r w:rsidRPr="001323C7">
              <w:rPr>
                <w:rFonts w:ascii="Calibri" w:hAnsi="Calibri"/>
                <w:b/>
                <w:szCs w:val="22"/>
              </w:rPr>
              <w:t>Parish/Town Council</w:t>
            </w:r>
          </w:p>
        </w:tc>
      </w:tr>
      <w:tr w:rsidR="00F0658C" w:rsidRPr="008C75E4" w14:paraId="69E9C2D0" w14:textId="77777777" w:rsidTr="000E7E4B">
        <w:trPr>
          <w:trHeight w:val="176"/>
          <w:jc w:val="center"/>
        </w:trPr>
        <w:tc>
          <w:tcPr>
            <w:tcW w:w="9634" w:type="dxa"/>
            <w:gridSpan w:val="14"/>
            <w:tcBorders>
              <w:bottom w:val="single" w:sz="4" w:space="0" w:color="BFBFBF" w:themeColor="background1" w:themeShade="BF"/>
            </w:tcBorders>
            <w:tcMar>
              <w:top w:w="57" w:type="dxa"/>
              <w:bottom w:w="57" w:type="dxa"/>
            </w:tcMar>
          </w:tcPr>
          <w:p w14:paraId="70CFAB41" w14:textId="77777777" w:rsidR="00F0658C" w:rsidRPr="00CB5AE9" w:rsidRDefault="00F0658C" w:rsidP="000E7E4B">
            <w:pPr>
              <w:jc w:val="both"/>
              <w:rPr>
                <w:rFonts w:ascii="Calibri" w:hAnsi="Calibri"/>
              </w:rPr>
            </w:pPr>
            <w:r w:rsidRPr="00CB5AE9">
              <w:rPr>
                <w:rFonts w:ascii="Calibri" w:hAnsi="Calibri"/>
              </w:rPr>
              <w:t>No comments received within consultation period</w:t>
            </w:r>
          </w:p>
        </w:tc>
      </w:tr>
      <w:tr w:rsidR="00F0658C" w:rsidRPr="008C75E4" w14:paraId="01F6B1EA" w14:textId="77777777" w:rsidTr="000E7E4B">
        <w:trPr>
          <w:trHeight w:hRule="exact" w:val="144"/>
          <w:jc w:val="center"/>
        </w:trPr>
        <w:tc>
          <w:tcPr>
            <w:tcW w:w="9634" w:type="dxa"/>
            <w:gridSpan w:val="14"/>
            <w:tcBorders>
              <w:left w:val="nil"/>
              <w:right w:val="nil"/>
            </w:tcBorders>
            <w:tcMar>
              <w:top w:w="57" w:type="dxa"/>
              <w:bottom w:w="57" w:type="dxa"/>
            </w:tcMar>
          </w:tcPr>
          <w:p w14:paraId="47E39C79" w14:textId="77777777" w:rsidR="00F0658C" w:rsidRPr="00CB5AE9" w:rsidRDefault="00F0658C" w:rsidP="000E7E4B">
            <w:pPr>
              <w:jc w:val="both"/>
              <w:rPr>
                <w:rFonts w:ascii="Calibri" w:hAnsi="Calibri"/>
                <w:bCs/>
                <w:sz w:val="4"/>
                <w:szCs w:val="4"/>
              </w:rPr>
            </w:pPr>
          </w:p>
        </w:tc>
      </w:tr>
      <w:tr w:rsidR="00F0658C" w:rsidRPr="008C75E4" w14:paraId="2D78450A" w14:textId="77777777" w:rsidTr="000E7E4B">
        <w:trPr>
          <w:trHeight w:val="270"/>
          <w:jc w:val="center"/>
        </w:trPr>
        <w:tc>
          <w:tcPr>
            <w:tcW w:w="3090" w:type="dxa"/>
            <w:gridSpan w:val="5"/>
            <w:tcMar>
              <w:top w:w="57" w:type="dxa"/>
              <w:bottom w:w="57" w:type="dxa"/>
            </w:tcMar>
          </w:tcPr>
          <w:p w14:paraId="70141D52" w14:textId="77777777" w:rsidR="00F0658C" w:rsidRPr="00CB5AE9" w:rsidRDefault="00F0658C" w:rsidP="000E7E4B">
            <w:pPr>
              <w:jc w:val="both"/>
              <w:rPr>
                <w:rFonts w:ascii="Calibri" w:hAnsi="Calibri"/>
                <w:b/>
                <w:szCs w:val="22"/>
              </w:rPr>
            </w:pPr>
            <w:r w:rsidRPr="00CB5AE9">
              <w:rPr>
                <w:rFonts w:ascii="Calibri" w:hAnsi="Calibri"/>
                <w:b/>
                <w:szCs w:val="22"/>
              </w:rPr>
              <w:t xml:space="preserve">CONSULTATIONS: </w:t>
            </w:r>
          </w:p>
        </w:tc>
        <w:tc>
          <w:tcPr>
            <w:tcW w:w="6544" w:type="dxa"/>
            <w:gridSpan w:val="9"/>
          </w:tcPr>
          <w:p w14:paraId="4EB5BF49" w14:textId="77777777" w:rsidR="00F0658C" w:rsidRPr="001323C7" w:rsidRDefault="00F0658C" w:rsidP="000E7E4B">
            <w:pPr>
              <w:jc w:val="both"/>
              <w:rPr>
                <w:rFonts w:ascii="Calibri" w:hAnsi="Calibri"/>
                <w:b/>
                <w:szCs w:val="22"/>
              </w:rPr>
            </w:pPr>
            <w:r w:rsidRPr="001323C7">
              <w:rPr>
                <w:rFonts w:ascii="Calibri" w:hAnsi="Calibri"/>
                <w:b/>
                <w:szCs w:val="22"/>
              </w:rPr>
              <w:t>Highways/Water Authority/Other Bodies</w:t>
            </w:r>
          </w:p>
        </w:tc>
      </w:tr>
      <w:tr w:rsidR="00F0658C" w:rsidRPr="008C75E4" w14:paraId="053BCB90" w14:textId="77777777" w:rsidTr="000E7E4B">
        <w:trPr>
          <w:trHeight w:val="270"/>
          <w:jc w:val="center"/>
        </w:trPr>
        <w:tc>
          <w:tcPr>
            <w:tcW w:w="9634" w:type="dxa"/>
            <w:gridSpan w:val="14"/>
            <w:tcMar>
              <w:top w:w="57" w:type="dxa"/>
              <w:bottom w:w="57" w:type="dxa"/>
            </w:tcMar>
          </w:tcPr>
          <w:p w14:paraId="79FD4B39" w14:textId="77777777" w:rsidR="00F0658C" w:rsidRPr="00CB5AE9" w:rsidRDefault="00F0658C" w:rsidP="000E7E4B">
            <w:pPr>
              <w:jc w:val="both"/>
              <w:rPr>
                <w:rFonts w:ascii="Calibri" w:hAnsi="Calibri"/>
                <w:b/>
                <w:bCs/>
                <w:szCs w:val="22"/>
              </w:rPr>
            </w:pPr>
            <w:r w:rsidRPr="00CB5AE9">
              <w:rPr>
                <w:rFonts w:ascii="Calibri" w:hAnsi="Calibri"/>
                <w:b/>
                <w:bCs/>
                <w:szCs w:val="22"/>
              </w:rPr>
              <w:t>LCC Highways:</w:t>
            </w:r>
          </w:p>
        </w:tc>
      </w:tr>
      <w:tr w:rsidR="00F0658C" w:rsidRPr="008C75E4" w14:paraId="41BE1348" w14:textId="77777777" w:rsidTr="000E7E4B">
        <w:trPr>
          <w:trHeight w:val="210"/>
          <w:jc w:val="center"/>
        </w:trPr>
        <w:tc>
          <w:tcPr>
            <w:tcW w:w="9634" w:type="dxa"/>
            <w:gridSpan w:val="14"/>
            <w:tcMar>
              <w:top w:w="57" w:type="dxa"/>
              <w:bottom w:w="57" w:type="dxa"/>
            </w:tcMar>
          </w:tcPr>
          <w:p w14:paraId="61FCFE8B" w14:textId="77777777" w:rsidR="00F0658C" w:rsidRPr="00CB5AE9" w:rsidRDefault="00F0658C" w:rsidP="000E7E4B">
            <w:pPr>
              <w:jc w:val="both"/>
              <w:rPr>
                <w:rFonts w:ascii="Calibri" w:hAnsi="Calibri"/>
                <w:szCs w:val="22"/>
              </w:rPr>
            </w:pPr>
            <w:r w:rsidRPr="00CB5AE9">
              <w:rPr>
                <w:rFonts w:ascii="Calibri" w:hAnsi="Calibri"/>
                <w:szCs w:val="22"/>
              </w:rPr>
              <w:t>N/A</w:t>
            </w:r>
          </w:p>
        </w:tc>
      </w:tr>
      <w:tr w:rsidR="00F0658C" w:rsidRPr="008C75E4" w14:paraId="42C59506" w14:textId="77777777" w:rsidTr="000E7E4B">
        <w:trPr>
          <w:trHeight w:val="270"/>
          <w:jc w:val="center"/>
        </w:trPr>
        <w:tc>
          <w:tcPr>
            <w:tcW w:w="3090" w:type="dxa"/>
            <w:gridSpan w:val="5"/>
            <w:tcMar>
              <w:top w:w="57" w:type="dxa"/>
              <w:bottom w:w="57" w:type="dxa"/>
            </w:tcMar>
          </w:tcPr>
          <w:p w14:paraId="33F68381" w14:textId="77777777" w:rsidR="00F0658C" w:rsidRPr="00CB5AE9" w:rsidRDefault="00F0658C" w:rsidP="000E7E4B">
            <w:pPr>
              <w:jc w:val="both"/>
              <w:rPr>
                <w:rFonts w:ascii="Calibri" w:hAnsi="Calibri"/>
                <w:b/>
                <w:szCs w:val="22"/>
              </w:rPr>
            </w:pPr>
            <w:r w:rsidRPr="00CB5AE9">
              <w:rPr>
                <w:rFonts w:ascii="Calibri" w:hAnsi="Calibri"/>
                <w:b/>
                <w:szCs w:val="22"/>
              </w:rPr>
              <w:t xml:space="preserve">CONSULTATIONS: </w:t>
            </w:r>
          </w:p>
        </w:tc>
        <w:tc>
          <w:tcPr>
            <w:tcW w:w="6544" w:type="dxa"/>
            <w:gridSpan w:val="9"/>
          </w:tcPr>
          <w:p w14:paraId="131FB73F" w14:textId="77777777" w:rsidR="00F0658C" w:rsidRPr="001323C7" w:rsidRDefault="00F0658C" w:rsidP="000E7E4B">
            <w:pPr>
              <w:jc w:val="both"/>
              <w:rPr>
                <w:rFonts w:ascii="Calibri" w:hAnsi="Calibri"/>
                <w:b/>
                <w:szCs w:val="22"/>
              </w:rPr>
            </w:pPr>
            <w:r w:rsidRPr="001323C7">
              <w:rPr>
                <w:rFonts w:ascii="Calibri" w:hAnsi="Calibri"/>
                <w:b/>
                <w:szCs w:val="22"/>
              </w:rPr>
              <w:t>Additional Representations.</w:t>
            </w:r>
          </w:p>
        </w:tc>
      </w:tr>
      <w:tr w:rsidR="00F0658C" w:rsidRPr="008C75E4" w14:paraId="6F1440FB" w14:textId="77777777" w:rsidTr="000E7E4B">
        <w:trPr>
          <w:trHeight w:val="270"/>
          <w:jc w:val="center"/>
        </w:trPr>
        <w:tc>
          <w:tcPr>
            <w:tcW w:w="9634" w:type="dxa"/>
            <w:gridSpan w:val="14"/>
            <w:tcBorders>
              <w:bottom w:val="single" w:sz="4" w:space="0" w:color="BFBFBF" w:themeColor="background1" w:themeShade="BF"/>
            </w:tcBorders>
            <w:tcMar>
              <w:top w:w="57" w:type="dxa"/>
              <w:bottom w:w="57" w:type="dxa"/>
            </w:tcMar>
          </w:tcPr>
          <w:p w14:paraId="30F2D64E" w14:textId="77777777" w:rsidR="00F0658C" w:rsidRPr="00CB5AE9" w:rsidRDefault="00F0658C" w:rsidP="000E7E4B">
            <w:pPr>
              <w:jc w:val="both"/>
              <w:rPr>
                <w:rFonts w:ascii="Calibri" w:hAnsi="Calibri"/>
                <w:szCs w:val="22"/>
              </w:rPr>
            </w:pPr>
            <w:r w:rsidRPr="00CB5AE9">
              <w:rPr>
                <w:rFonts w:ascii="Calibri" w:hAnsi="Calibri"/>
                <w:szCs w:val="22"/>
              </w:rPr>
              <w:t>No comments have been received.</w:t>
            </w:r>
          </w:p>
        </w:tc>
      </w:tr>
      <w:tr w:rsidR="00F0658C" w:rsidRPr="008C75E4" w14:paraId="6635BBDA" w14:textId="77777777" w:rsidTr="000E7E4B">
        <w:trPr>
          <w:trHeight w:hRule="exact" w:val="144"/>
          <w:jc w:val="center"/>
        </w:trPr>
        <w:tc>
          <w:tcPr>
            <w:tcW w:w="9634" w:type="dxa"/>
            <w:gridSpan w:val="14"/>
            <w:tcBorders>
              <w:left w:val="nil"/>
              <w:right w:val="nil"/>
            </w:tcBorders>
            <w:tcMar>
              <w:top w:w="57" w:type="dxa"/>
              <w:bottom w:w="57" w:type="dxa"/>
            </w:tcMar>
          </w:tcPr>
          <w:p w14:paraId="770DC46F" w14:textId="77777777" w:rsidR="00F0658C" w:rsidRPr="00504440" w:rsidRDefault="00F0658C" w:rsidP="000E7E4B">
            <w:pPr>
              <w:jc w:val="both"/>
              <w:rPr>
                <w:rFonts w:ascii="Calibri" w:hAnsi="Calibri"/>
                <w:sz w:val="4"/>
                <w:szCs w:val="4"/>
              </w:rPr>
            </w:pPr>
          </w:p>
        </w:tc>
      </w:tr>
      <w:tr w:rsidR="00F0658C" w:rsidRPr="008C75E4" w14:paraId="2D4C46AA" w14:textId="77777777" w:rsidTr="000E7E4B">
        <w:trPr>
          <w:trHeight w:val="270"/>
          <w:jc w:val="center"/>
        </w:trPr>
        <w:tc>
          <w:tcPr>
            <w:tcW w:w="9634" w:type="dxa"/>
            <w:gridSpan w:val="14"/>
            <w:tcMar>
              <w:top w:w="57" w:type="dxa"/>
              <w:bottom w:w="57" w:type="dxa"/>
            </w:tcMar>
          </w:tcPr>
          <w:p w14:paraId="367478D5" w14:textId="77777777" w:rsidR="00F0658C" w:rsidRPr="008C75E4" w:rsidRDefault="00F0658C" w:rsidP="000E7E4B">
            <w:pPr>
              <w:jc w:val="both"/>
              <w:rPr>
                <w:rFonts w:ascii="Calibri" w:hAnsi="Calibri"/>
                <w:b/>
                <w:szCs w:val="22"/>
              </w:rPr>
            </w:pPr>
            <w:r w:rsidRPr="008C75E4">
              <w:rPr>
                <w:rFonts w:ascii="Calibri" w:hAnsi="Calibri"/>
                <w:b/>
                <w:szCs w:val="22"/>
              </w:rPr>
              <w:t>RELEVANT POLICIES AND SITE PLANNING HISTORY:</w:t>
            </w:r>
          </w:p>
        </w:tc>
      </w:tr>
      <w:tr w:rsidR="00F0658C" w:rsidRPr="008C75E4" w14:paraId="2B4E96F4" w14:textId="77777777" w:rsidTr="000E7E4B">
        <w:trPr>
          <w:trHeight w:val="866"/>
          <w:jc w:val="center"/>
        </w:trPr>
        <w:tc>
          <w:tcPr>
            <w:tcW w:w="9634" w:type="dxa"/>
            <w:gridSpan w:val="14"/>
            <w:tcMar>
              <w:top w:w="57" w:type="dxa"/>
              <w:bottom w:w="57" w:type="dxa"/>
            </w:tcMar>
          </w:tcPr>
          <w:p w14:paraId="623FC5F1" w14:textId="77777777" w:rsidR="00F0658C" w:rsidRPr="00504440" w:rsidRDefault="00F0658C" w:rsidP="000E7E4B">
            <w:pPr>
              <w:pStyle w:val="PLANNING"/>
              <w:rPr>
                <w:rFonts w:ascii="Calibri" w:hAnsi="Calibri"/>
                <w:b/>
                <w:bCs/>
                <w:szCs w:val="22"/>
              </w:rPr>
            </w:pPr>
            <w:r w:rsidRPr="008C75E4">
              <w:rPr>
                <w:rFonts w:ascii="Calibri" w:hAnsi="Calibri"/>
                <w:b/>
                <w:bCs/>
                <w:szCs w:val="22"/>
              </w:rPr>
              <w:t>Ribble Valley Core Strategy:</w:t>
            </w:r>
          </w:p>
          <w:p w14:paraId="439994C1" w14:textId="77777777" w:rsidR="00F0658C" w:rsidRDefault="00F0658C" w:rsidP="000E7E4B">
            <w:pPr>
              <w:jc w:val="both"/>
              <w:rPr>
                <w:rFonts w:ascii="Calibri" w:hAnsi="Calibri"/>
                <w:b/>
                <w:szCs w:val="22"/>
              </w:rPr>
            </w:pPr>
          </w:p>
          <w:p w14:paraId="75EC80A9" w14:textId="77777777" w:rsidR="00F0658C" w:rsidRPr="00222208" w:rsidRDefault="00F0658C" w:rsidP="000E7E4B">
            <w:pPr>
              <w:pStyle w:val="Default"/>
              <w:rPr>
                <w:sz w:val="22"/>
                <w:szCs w:val="22"/>
              </w:rPr>
            </w:pPr>
            <w:r w:rsidRPr="00222208">
              <w:rPr>
                <w:sz w:val="22"/>
                <w:szCs w:val="22"/>
              </w:rPr>
              <w:t xml:space="preserve">Key Statement DS1 - Development Strategy </w:t>
            </w:r>
          </w:p>
          <w:p w14:paraId="0D10B75A" w14:textId="77777777" w:rsidR="00F0658C" w:rsidRDefault="00F0658C" w:rsidP="000E7E4B">
            <w:pPr>
              <w:pStyle w:val="Default"/>
              <w:rPr>
                <w:sz w:val="22"/>
                <w:szCs w:val="22"/>
              </w:rPr>
            </w:pPr>
            <w:r w:rsidRPr="00222208">
              <w:rPr>
                <w:sz w:val="22"/>
                <w:szCs w:val="22"/>
              </w:rPr>
              <w:t>Key Statement DS2 - Presumption in Favour of Sustainable Development</w:t>
            </w:r>
          </w:p>
          <w:p w14:paraId="5556B729" w14:textId="77777777" w:rsidR="00F0658C" w:rsidRDefault="00F0658C" w:rsidP="000E7E4B">
            <w:pPr>
              <w:pStyle w:val="Default"/>
              <w:spacing w:after="30"/>
              <w:rPr>
                <w:sz w:val="22"/>
                <w:szCs w:val="22"/>
              </w:rPr>
            </w:pPr>
            <w:r>
              <w:rPr>
                <w:sz w:val="22"/>
                <w:szCs w:val="22"/>
              </w:rPr>
              <w:t>Key Statement EN5 – Heritage Assets</w:t>
            </w:r>
          </w:p>
          <w:p w14:paraId="7ABD73F6" w14:textId="77777777" w:rsidR="00F0658C" w:rsidRPr="00222208" w:rsidRDefault="00F0658C" w:rsidP="000E7E4B">
            <w:pPr>
              <w:pStyle w:val="Default"/>
              <w:spacing w:after="30"/>
              <w:rPr>
                <w:sz w:val="22"/>
                <w:szCs w:val="22"/>
              </w:rPr>
            </w:pPr>
            <w:r w:rsidRPr="00222208">
              <w:rPr>
                <w:sz w:val="22"/>
                <w:szCs w:val="22"/>
              </w:rPr>
              <w:t xml:space="preserve">Policy DMG1 – General Considerations </w:t>
            </w:r>
          </w:p>
          <w:p w14:paraId="51169CED" w14:textId="77777777" w:rsidR="00F0658C" w:rsidRDefault="00F0658C" w:rsidP="000E7E4B">
            <w:pPr>
              <w:pStyle w:val="Default"/>
              <w:spacing w:after="30"/>
              <w:rPr>
                <w:sz w:val="22"/>
                <w:szCs w:val="22"/>
              </w:rPr>
            </w:pPr>
            <w:r w:rsidRPr="00222208">
              <w:rPr>
                <w:sz w:val="22"/>
                <w:szCs w:val="22"/>
              </w:rPr>
              <w:t xml:space="preserve">Policy DMG2 – Strategic Considerations </w:t>
            </w:r>
          </w:p>
          <w:p w14:paraId="6B8F13FA" w14:textId="77777777" w:rsidR="00F0658C" w:rsidRDefault="00F0658C" w:rsidP="000E7E4B">
            <w:pPr>
              <w:pStyle w:val="Default"/>
              <w:spacing w:after="30"/>
              <w:rPr>
                <w:sz w:val="22"/>
                <w:szCs w:val="22"/>
              </w:rPr>
            </w:pPr>
            <w:r>
              <w:rPr>
                <w:sz w:val="22"/>
                <w:szCs w:val="22"/>
              </w:rPr>
              <w:t>Policy DME4 – Protecting Heritage Assets</w:t>
            </w:r>
          </w:p>
          <w:p w14:paraId="6AFE3C87" w14:textId="77777777" w:rsidR="00F0658C" w:rsidRPr="00222208" w:rsidRDefault="00F0658C" w:rsidP="000E7E4B">
            <w:pPr>
              <w:pStyle w:val="Default"/>
              <w:rPr>
                <w:sz w:val="22"/>
                <w:szCs w:val="22"/>
              </w:rPr>
            </w:pPr>
          </w:p>
          <w:p w14:paraId="3664F7A9" w14:textId="77777777" w:rsidR="00F0658C" w:rsidRPr="00EF4D96" w:rsidRDefault="00F0658C" w:rsidP="000E7E4B">
            <w:pPr>
              <w:overflowPunct/>
              <w:rPr>
                <w:rFonts w:ascii="Calibri" w:hAnsi="Calibri" w:cs="Calibri"/>
                <w:szCs w:val="22"/>
              </w:rPr>
            </w:pPr>
            <w:r w:rsidRPr="00222208">
              <w:rPr>
                <w:rFonts w:ascii="Calibri" w:hAnsi="Calibri" w:cs="Calibri"/>
              </w:rPr>
              <w:t>National Planning Policy Framework (NPPF)</w:t>
            </w:r>
          </w:p>
          <w:p w14:paraId="5A7DE888" w14:textId="77777777" w:rsidR="00F0658C" w:rsidRPr="00ED5DDE" w:rsidRDefault="00F0658C" w:rsidP="000E7E4B">
            <w:pPr>
              <w:overflowPunct/>
              <w:textAlignment w:val="auto"/>
              <w:rPr>
                <w:rFonts w:ascii="Calibri" w:hAnsi="Calibri"/>
                <w:szCs w:val="22"/>
              </w:rPr>
            </w:pPr>
          </w:p>
        </w:tc>
      </w:tr>
      <w:tr w:rsidR="00F0658C" w:rsidRPr="008C75E4" w14:paraId="50D91BA4" w14:textId="77777777" w:rsidTr="000E7E4B">
        <w:trPr>
          <w:trHeight w:val="866"/>
          <w:jc w:val="center"/>
        </w:trPr>
        <w:tc>
          <w:tcPr>
            <w:tcW w:w="9634" w:type="dxa"/>
            <w:gridSpan w:val="14"/>
            <w:tcBorders>
              <w:bottom w:val="single" w:sz="4" w:space="0" w:color="BFBFBF" w:themeColor="background1" w:themeShade="BF"/>
            </w:tcBorders>
            <w:tcMar>
              <w:top w:w="57" w:type="dxa"/>
              <w:bottom w:w="57" w:type="dxa"/>
            </w:tcMar>
          </w:tcPr>
          <w:p w14:paraId="0101D78D" w14:textId="77777777" w:rsidR="00F0658C" w:rsidRPr="008C75E4" w:rsidRDefault="00F0658C" w:rsidP="000E7E4B">
            <w:pPr>
              <w:pStyle w:val="PLANNING"/>
              <w:rPr>
                <w:rFonts w:ascii="Calibri" w:hAnsi="Calibri"/>
                <w:b/>
                <w:bCs/>
                <w:szCs w:val="22"/>
              </w:rPr>
            </w:pPr>
            <w:r w:rsidRPr="008C75E4">
              <w:rPr>
                <w:rFonts w:ascii="Calibri" w:hAnsi="Calibri"/>
                <w:b/>
                <w:bCs/>
                <w:szCs w:val="22"/>
              </w:rPr>
              <w:t>Relevant Planning History:</w:t>
            </w:r>
          </w:p>
          <w:p w14:paraId="3EB6E595" w14:textId="77777777" w:rsidR="00F0658C" w:rsidRDefault="00F0658C" w:rsidP="000E7E4B">
            <w:pPr>
              <w:pStyle w:val="PLANNING"/>
              <w:rPr>
                <w:rFonts w:ascii="Calibri" w:hAnsi="Calibri"/>
                <w:bCs/>
                <w:szCs w:val="22"/>
              </w:rPr>
            </w:pPr>
          </w:p>
          <w:p w14:paraId="1E336F08" w14:textId="77777777" w:rsidR="00F0658C" w:rsidRDefault="00F0658C" w:rsidP="000E7E4B">
            <w:pPr>
              <w:pStyle w:val="PLANNING"/>
              <w:rPr>
                <w:rFonts w:ascii="Calibri" w:hAnsi="Calibri"/>
                <w:bCs/>
                <w:szCs w:val="22"/>
              </w:rPr>
            </w:pPr>
            <w:r>
              <w:rPr>
                <w:rFonts w:ascii="Calibri" w:hAnsi="Calibri"/>
                <w:bCs/>
                <w:szCs w:val="22"/>
              </w:rPr>
              <w:t>3/2021/1221:</w:t>
            </w:r>
          </w:p>
          <w:p w14:paraId="0992692A" w14:textId="037ACA40" w:rsidR="00F0658C" w:rsidRPr="00C52703" w:rsidRDefault="00F0658C" w:rsidP="000E7E4B">
            <w:pPr>
              <w:pStyle w:val="PLANNING"/>
              <w:rPr>
                <w:rFonts w:ascii="Calibri" w:hAnsi="Calibri"/>
                <w:bCs/>
                <w:szCs w:val="22"/>
              </w:rPr>
            </w:pPr>
            <w:r w:rsidRPr="001323C7">
              <w:rPr>
                <w:rFonts w:ascii="Calibri" w:hAnsi="Calibri" w:cs="Calibri"/>
                <w:color w:val="000000"/>
                <w:szCs w:val="22"/>
              </w:rPr>
              <w:lastRenderedPageBreak/>
              <w:t>Alterations to the rear façade of the property to include removal of windows and doors to be replaced with 3 pane Bi-folds on each floor. Glass balustrade to be erected on the upper two floors. Alteration of rear drain configuration.</w:t>
            </w:r>
            <w:r>
              <w:rPr>
                <w:rFonts w:ascii="Calibri" w:hAnsi="Calibri" w:cs="Calibri"/>
                <w:color w:val="000000"/>
                <w:szCs w:val="22"/>
              </w:rPr>
              <w:t xml:space="preserve"> (Refused)</w:t>
            </w:r>
          </w:p>
        </w:tc>
      </w:tr>
      <w:tr w:rsidR="00F0658C" w:rsidRPr="008C75E4" w14:paraId="6F42BB4A" w14:textId="77777777" w:rsidTr="000E7E4B">
        <w:trPr>
          <w:trHeight w:hRule="exact" w:val="144"/>
          <w:jc w:val="center"/>
        </w:trPr>
        <w:tc>
          <w:tcPr>
            <w:tcW w:w="9634" w:type="dxa"/>
            <w:gridSpan w:val="14"/>
            <w:tcBorders>
              <w:left w:val="nil"/>
              <w:right w:val="nil"/>
            </w:tcBorders>
            <w:tcMar>
              <w:top w:w="57" w:type="dxa"/>
              <w:bottom w:w="57" w:type="dxa"/>
            </w:tcMar>
          </w:tcPr>
          <w:p w14:paraId="340642F0" w14:textId="77777777" w:rsidR="00F0658C" w:rsidRPr="00504440" w:rsidRDefault="00F0658C" w:rsidP="000E7E4B">
            <w:pPr>
              <w:rPr>
                <w:sz w:val="4"/>
                <w:szCs w:val="4"/>
              </w:rPr>
            </w:pPr>
          </w:p>
        </w:tc>
      </w:tr>
      <w:tr w:rsidR="00F0658C" w:rsidRPr="008C75E4" w14:paraId="28A04355" w14:textId="77777777" w:rsidTr="000E7E4B">
        <w:trPr>
          <w:trHeight w:val="270"/>
          <w:jc w:val="center"/>
        </w:trPr>
        <w:tc>
          <w:tcPr>
            <w:tcW w:w="9634" w:type="dxa"/>
            <w:gridSpan w:val="14"/>
            <w:tcMar>
              <w:top w:w="57" w:type="dxa"/>
              <w:bottom w:w="57" w:type="dxa"/>
            </w:tcMar>
          </w:tcPr>
          <w:p w14:paraId="6E17F85F" w14:textId="77777777" w:rsidR="00F0658C" w:rsidRPr="008C75E4" w:rsidRDefault="00F0658C" w:rsidP="000E7E4B">
            <w:pPr>
              <w:jc w:val="both"/>
              <w:rPr>
                <w:rFonts w:ascii="Calibri" w:hAnsi="Calibri"/>
                <w:b/>
                <w:szCs w:val="22"/>
              </w:rPr>
            </w:pPr>
            <w:r w:rsidRPr="008C75E4">
              <w:rPr>
                <w:rFonts w:ascii="Calibri" w:hAnsi="Calibri"/>
                <w:b/>
                <w:bCs/>
                <w:szCs w:val="22"/>
              </w:rPr>
              <w:t>ASSESSMENT OF PROPOSED DEVELOPMENT:</w:t>
            </w:r>
          </w:p>
        </w:tc>
      </w:tr>
      <w:tr w:rsidR="00F0658C" w:rsidRPr="008C75E4" w14:paraId="2D59DB5F" w14:textId="77777777" w:rsidTr="000E7E4B">
        <w:trPr>
          <w:trHeight w:val="16"/>
          <w:jc w:val="center"/>
        </w:trPr>
        <w:tc>
          <w:tcPr>
            <w:tcW w:w="9634" w:type="dxa"/>
            <w:gridSpan w:val="14"/>
            <w:tcMar>
              <w:top w:w="57" w:type="dxa"/>
              <w:bottom w:w="57" w:type="dxa"/>
            </w:tcMar>
          </w:tcPr>
          <w:p w14:paraId="2743E03C" w14:textId="77777777" w:rsidR="00F0658C" w:rsidRDefault="00F0658C" w:rsidP="000E7E4B">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1FE14CB" w14:textId="77777777" w:rsidR="00F0658C" w:rsidRDefault="00F0658C" w:rsidP="000E7E4B">
            <w:pPr>
              <w:pStyle w:val="Header"/>
              <w:tabs>
                <w:tab w:val="clear" w:pos="4153"/>
                <w:tab w:val="clear" w:pos="8306"/>
              </w:tabs>
              <w:contextualSpacing/>
              <w:jc w:val="both"/>
              <w:rPr>
                <w:rFonts w:ascii="Calibri" w:hAnsi="Calibri"/>
                <w:b/>
                <w:szCs w:val="22"/>
              </w:rPr>
            </w:pPr>
          </w:p>
          <w:p w14:paraId="3B709606" w14:textId="61DA7FB9" w:rsidR="00F0658C" w:rsidRPr="00EB6C76" w:rsidRDefault="00F0658C" w:rsidP="000E7E4B">
            <w:pPr>
              <w:pStyle w:val="Header"/>
              <w:tabs>
                <w:tab w:val="clear" w:pos="4153"/>
                <w:tab w:val="clear" w:pos="8306"/>
              </w:tabs>
              <w:contextualSpacing/>
              <w:jc w:val="both"/>
              <w:rPr>
                <w:rFonts w:ascii="Calibri" w:hAnsi="Calibri"/>
                <w:bCs/>
                <w:szCs w:val="22"/>
              </w:rPr>
            </w:pPr>
            <w:r w:rsidRPr="00EB6C76">
              <w:rPr>
                <w:rFonts w:ascii="Calibri" w:hAnsi="Calibri"/>
                <w:bCs/>
                <w:szCs w:val="22"/>
              </w:rPr>
              <w:t xml:space="preserve">The application relates to a terraced property </w:t>
            </w:r>
            <w:r>
              <w:rPr>
                <w:rFonts w:ascii="Calibri" w:hAnsi="Calibri"/>
                <w:bCs/>
                <w:szCs w:val="22"/>
              </w:rPr>
              <w:t xml:space="preserve">situated on the edge of the settlement boundary of Billington. The property consists of natural stone, with slate roof tiles and timber window and door details. The site is situated to the East of the centre of Billington, along Whalley Old Road, which is lined with terraced dwellings. The site itself is sited on the edge of Greenbelt </w:t>
            </w:r>
            <w:proofErr w:type="gramStart"/>
            <w:r>
              <w:rPr>
                <w:rFonts w:ascii="Calibri" w:hAnsi="Calibri"/>
                <w:bCs/>
                <w:szCs w:val="22"/>
              </w:rPr>
              <w:t>land, and</w:t>
            </w:r>
            <w:proofErr w:type="gramEnd"/>
            <w:r>
              <w:rPr>
                <w:rFonts w:ascii="Calibri" w:hAnsi="Calibri"/>
                <w:bCs/>
                <w:szCs w:val="22"/>
              </w:rPr>
              <w:t xml:space="preserve"> falls within the Whalley Conservation Area. </w:t>
            </w:r>
          </w:p>
          <w:p w14:paraId="69383BC5" w14:textId="77777777" w:rsidR="00F0658C" w:rsidRPr="003C0C2B" w:rsidRDefault="00F0658C" w:rsidP="000E7E4B">
            <w:pPr>
              <w:rPr>
                <w:rFonts w:asciiTheme="minorHAnsi" w:hAnsiTheme="minorHAnsi" w:cstheme="minorHAnsi"/>
                <w:szCs w:val="22"/>
              </w:rPr>
            </w:pPr>
          </w:p>
        </w:tc>
      </w:tr>
      <w:tr w:rsidR="00F0658C" w:rsidRPr="008C75E4" w14:paraId="6BD9BE5F" w14:textId="77777777" w:rsidTr="000E7E4B">
        <w:trPr>
          <w:trHeight w:val="1154"/>
          <w:jc w:val="center"/>
        </w:trPr>
        <w:tc>
          <w:tcPr>
            <w:tcW w:w="9634" w:type="dxa"/>
            <w:gridSpan w:val="14"/>
            <w:tcMar>
              <w:top w:w="57" w:type="dxa"/>
              <w:bottom w:w="57" w:type="dxa"/>
            </w:tcMar>
          </w:tcPr>
          <w:p w14:paraId="6B418714" w14:textId="77777777" w:rsidR="00F0658C" w:rsidRDefault="00F0658C" w:rsidP="000E7E4B">
            <w:pPr>
              <w:pStyle w:val="Header"/>
              <w:tabs>
                <w:tab w:val="clear" w:pos="4153"/>
                <w:tab w:val="clear" w:pos="8306"/>
              </w:tabs>
              <w:jc w:val="both"/>
              <w:rPr>
                <w:rFonts w:ascii="Calibri" w:hAnsi="Calibri"/>
                <w:b/>
                <w:szCs w:val="22"/>
              </w:rPr>
            </w:pPr>
            <w:r w:rsidRPr="008C75E4">
              <w:rPr>
                <w:rFonts w:ascii="Calibri" w:hAnsi="Calibri"/>
                <w:b/>
                <w:szCs w:val="22"/>
              </w:rPr>
              <w:t>Propose</w:t>
            </w:r>
            <w:r>
              <w:rPr>
                <w:rFonts w:ascii="Calibri" w:hAnsi="Calibri"/>
                <w:b/>
                <w:szCs w:val="22"/>
              </w:rPr>
              <w:t>d</w:t>
            </w:r>
            <w:r w:rsidRPr="008C75E4">
              <w:rPr>
                <w:rFonts w:ascii="Calibri" w:hAnsi="Calibri"/>
                <w:b/>
                <w:szCs w:val="22"/>
              </w:rPr>
              <w:t xml:space="preserve"> Development for which consent is sought:</w:t>
            </w:r>
          </w:p>
          <w:p w14:paraId="4BE7F39D" w14:textId="2E5433F6" w:rsidR="00F0658C" w:rsidRDefault="00F0658C" w:rsidP="000E7E4B">
            <w:pPr>
              <w:pStyle w:val="Header"/>
              <w:tabs>
                <w:tab w:val="clear" w:pos="4153"/>
                <w:tab w:val="clear" w:pos="8306"/>
              </w:tabs>
              <w:jc w:val="both"/>
              <w:rPr>
                <w:rFonts w:ascii="Calibri" w:hAnsi="Calibri"/>
                <w:b/>
                <w:szCs w:val="22"/>
              </w:rPr>
            </w:pPr>
          </w:p>
          <w:p w14:paraId="6F5A318A" w14:textId="5E176EFC" w:rsidR="00F0658C" w:rsidRPr="00F0658C" w:rsidRDefault="00F0658C" w:rsidP="000E7E4B">
            <w:pPr>
              <w:pStyle w:val="Header"/>
              <w:tabs>
                <w:tab w:val="clear" w:pos="4153"/>
                <w:tab w:val="clear" w:pos="8306"/>
              </w:tabs>
              <w:jc w:val="both"/>
              <w:rPr>
                <w:rFonts w:ascii="Calibri" w:hAnsi="Calibri"/>
                <w:bCs/>
                <w:szCs w:val="22"/>
              </w:rPr>
            </w:pPr>
            <w:r w:rsidRPr="00F0658C">
              <w:rPr>
                <w:rFonts w:ascii="Calibri" w:hAnsi="Calibri"/>
                <w:bCs/>
                <w:szCs w:val="22"/>
              </w:rPr>
              <w:t xml:space="preserve">Consent is sought for alterations to the rear of the property, including </w:t>
            </w:r>
            <w:r w:rsidR="00584248">
              <w:rPr>
                <w:rFonts w:ascii="Calibri" w:hAnsi="Calibri"/>
                <w:bCs/>
                <w:szCs w:val="22"/>
              </w:rPr>
              <w:t xml:space="preserve">adjustments to an existing window on the rear elevation, and the installation of a double door to allow access to the shared rear garden space North to the property. The set of doors will measure approximately 2m in height and 1.5m in width. The window on the </w:t>
            </w:r>
            <w:r w:rsidR="003E5C14">
              <w:rPr>
                <w:rFonts w:ascii="Calibri" w:hAnsi="Calibri"/>
                <w:bCs/>
                <w:szCs w:val="22"/>
              </w:rPr>
              <w:t>left-hand</w:t>
            </w:r>
            <w:r w:rsidR="00584248">
              <w:rPr>
                <w:rFonts w:ascii="Calibri" w:hAnsi="Calibri"/>
                <w:bCs/>
                <w:szCs w:val="22"/>
              </w:rPr>
              <w:t xml:space="preserve"> side of the rear elevation will be made marginally </w:t>
            </w:r>
            <w:r w:rsidR="003E5C14">
              <w:rPr>
                <w:rFonts w:ascii="Calibri" w:hAnsi="Calibri"/>
                <w:bCs/>
                <w:szCs w:val="22"/>
              </w:rPr>
              <w:t xml:space="preserve">longer by around 0.3m. Materials will include a timber double door, and a new UPVC window to the rear. </w:t>
            </w:r>
          </w:p>
          <w:p w14:paraId="0468F430" w14:textId="77777777" w:rsidR="00F0658C" w:rsidRPr="003E5C14" w:rsidRDefault="00F0658C" w:rsidP="000E7E4B">
            <w:pPr>
              <w:pStyle w:val="Header"/>
              <w:tabs>
                <w:tab w:val="clear" w:pos="4153"/>
                <w:tab w:val="clear" w:pos="8306"/>
              </w:tabs>
              <w:jc w:val="both"/>
              <w:rPr>
                <w:rFonts w:ascii="Calibri" w:hAnsi="Calibri"/>
                <w:bCs/>
                <w:szCs w:val="22"/>
              </w:rPr>
            </w:pPr>
          </w:p>
          <w:p w14:paraId="1E52732F" w14:textId="77777777" w:rsidR="00F0658C" w:rsidRDefault="00F0658C" w:rsidP="003E5C14">
            <w:pPr>
              <w:pStyle w:val="Header"/>
              <w:tabs>
                <w:tab w:val="clear" w:pos="4153"/>
                <w:tab w:val="clear" w:pos="8306"/>
              </w:tabs>
              <w:jc w:val="both"/>
              <w:rPr>
                <w:rFonts w:ascii="Calibri" w:hAnsi="Calibri"/>
                <w:bCs/>
                <w:szCs w:val="22"/>
              </w:rPr>
            </w:pPr>
            <w:r w:rsidRPr="003E5C14">
              <w:rPr>
                <w:rFonts w:ascii="Calibri" w:hAnsi="Calibri"/>
                <w:bCs/>
                <w:szCs w:val="22"/>
              </w:rPr>
              <w:t>Consent is also sought for the reconfiguration of the drainpipe to the left of the</w:t>
            </w:r>
            <w:r w:rsidR="003E5C14" w:rsidRPr="003E5C14">
              <w:rPr>
                <w:rFonts w:ascii="Calibri" w:hAnsi="Calibri"/>
                <w:bCs/>
                <w:szCs w:val="22"/>
              </w:rPr>
              <w:t xml:space="preserve"> rear elevation in order to fit with the new location of drains internally.</w:t>
            </w:r>
          </w:p>
          <w:p w14:paraId="60F32B87" w14:textId="4D7861F3" w:rsidR="003E5C14" w:rsidRPr="00096654" w:rsidRDefault="003E5C14" w:rsidP="003E5C14">
            <w:pPr>
              <w:pStyle w:val="Header"/>
              <w:tabs>
                <w:tab w:val="clear" w:pos="4153"/>
                <w:tab w:val="clear" w:pos="8306"/>
              </w:tabs>
              <w:jc w:val="both"/>
              <w:rPr>
                <w:rFonts w:ascii="Calibri" w:hAnsi="Calibri"/>
                <w:szCs w:val="22"/>
              </w:rPr>
            </w:pPr>
          </w:p>
        </w:tc>
      </w:tr>
      <w:tr w:rsidR="00F0658C" w:rsidRPr="008C75E4" w14:paraId="21ADC3FF" w14:textId="77777777" w:rsidTr="000E7E4B">
        <w:trPr>
          <w:trHeight w:val="1154"/>
          <w:jc w:val="center"/>
        </w:trPr>
        <w:tc>
          <w:tcPr>
            <w:tcW w:w="9634" w:type="dxa"/>
            <w:gridSpan w:val="14"/>
            <w:tcMar>
              <w:top w:w="57" w:type="dxa"/>
              <w:bottom w:w="57" w:type="dxa"/>
            </w:tcMar>
          </w:tcPr>
          <w:p w14:paraId="1B6924AC" w14:textId="77777777" w:rsidR="00F0658C" w:rsidRDefault="00F0658C" w:rsidP="000E7E4B">
            <w:pPr>
              <w:pStyle w:val="Header"/>
              <w:tabs>
                <w:tab w:val="clear" w:pos="4153"/>
                <w:tab w:val="clear" w:pos="8306"/>
              </w:tabs>
              <w:jc w:val="both"/>
              <w:rPr>
                <w:rFonts w:ascii="Calibri" w:hAnsi="Calibri"/>
                <w:b/>
                <w:szCs w:val="22"/>
              </w:rPr>
            </w:pPr>
            <w:r>
              <w:rPr>
                <w:rFonts w:ascii="Calibri" w:hAnsi="Calibri"/>
                <w:b/>
                <w:szCs w:val="22"/>
              </w:rPr>
              <w:t>Principle of development:</w:t>
            </w:r>
          </w:p>
          <w:p w14:paraId="2BB08C2A" w14:textId="77777777" w:rsidR="00F0658C" w:rsidRDefault="00F0658C" w:rsidP="000E7E4B">
            <w:pPr>
              <w:pStyle w:val="Header"/>
              <w:tabs>
                <w:tab w:val="clear" w:pos="4153"/>
                <w:tab w:val="clear" w:pos="8306"/>
              </w:tabs>
              <w:jc w:val="both"/>
              <w:rPr>
                <w:rFonts w:ascii="Calibri" w:hAnsi="Calibri"/>
                <w:b/>
                <w:szCs w:val="22"/>
              </w:rPr>
            </w:pPr>
          </w:p>
          <w:p w14:paraId="2EFDEB25" w14:textId="77777777" w:rsidR="00F0658C" w:rsidRDefault="00F0658C" w:rsidP="000E7E4B">
            <w:pPr>
              <w:pStyle w:val="Header"/>
              <w:tabs>
                <w:tab w:val="left" w:pos="720"/>
              </w:tabs>
              <w:jc w:val="both"/>
              <w:rPr>
                <w:rFonts w:ascii="Calibri" w:hAnsi="Calibri"/>
                <w:szCs w:val="22"/>
              </w:rPr>
            </w:pPr>
            <w:r w:rsidRPr="00CF2DD9">
              <w:rPr>
                <w:rFonts w:ascii="Calibri" w:hAnsi="Calibri"/>
                <w:szCs w:val="22"/>
              </w:rPr>
              <w:t>The proposal is a domestic extension to a dwelling and is acceptable in principle subject to an assessment of the material planning considerations.</w:t>
            </w:r>
          </w:p>
          <w:p w14:paraId="5E32B3A5" w14:textId="77777777" w:rsidR="00F0658C" w:rsidRDefault="00F0658C" w:rsidP="000E7E4B">
            <w:pPr>
              <w:pStyle w:val="Header"/>
              <w:tabs>
                <w:tab w:val="left" w:pos="720"/>
              </w:tabs>
              <w:jc w:val="both"/>
              <w:rPr>
                <w:rFonts w:ascii="Calibri" w:hAnsi="Calibri"/>
                <w:szCs w:val="22"/>
              </w:rPr>
            </w:pPr>
          </w:p>
          <w:p w14:paraId="5A22AC8A" w14:textId="77777777" w:rsidR="00F0658C" w:rsidRDefault="00F0658C" w:rsidP="000E7E4B">
            <w:pPr>
              <w:pStyle w:val="Header"/>
              <w:tabs>
                <w:tab w:val="left" w:pos="720"/>
              </w:tabs>
              <w:jc w:val="both"/>
              <w:rPr>
                <w:rFonts w:ascii="Calibri" w:hAnsi="Calibri"/>
                <w:szCs w:val="22"/>
              </w:rPr>
            </w:pPr>
            <w:r>
              <w:rPr>
                <w:rFonts w:ascii="Calibri" w:hAnsi="Calibri"/>
                <w:szCs w:val="22"/>
              </w:rPr>
              <w:t xml:space="preserve">The proposal site is situated within the Whalley Conservation Area therefore consideration will be given towards the effect of the proposal on the historic character of the surrounding area. </w:t>
            </w:r>
          </w:p>
          <w:p w14:paraId="7F41FDAD" w14:textId="77777777" w:rsidR="00F0658C" w:rsidRPr="00CE1171" w:rsidRDefault="00F0658C" w:rsidP="000E7E4B">
            <w:pPr>
              <w:pStyle w:val="Header"/>
              <w:tabs>
                <w:tab w:val="left" w:pos="720"/>
              </w:tabs>
              <w:jc w:val="both"/>
              <w:rPr>
                <w:rFonts w:ascii="Calibri" w:hAnsi="Calibri"/>
                <w:szCs w:val="22"/>
              </w:rPr>
            </w:pPr>
          </w:p>
        </w:tc>
      </w:tr>
      <w:tr w:rsidR="00F0658C" w:rsidRPr="008C75E4" w14:paraId="2A287551" w14:textId="77777777" w:rsidTr="000E7E4B">
        <w:trPr>
          <w:trHeight w:val="28"/>
          <w:jc w:val="center"/>
        </w:trPr>
        <w:tc>
          <w:tcPr>
            <w:tcW w:w="9634" w:type="dxa"/>
            <w:gridSpan w:val="14"/>
            <w:tcMar>
              <w:top w:w="57" w:type="dxa"/>
              <w:bottom w:w="57" w:type="dxa"/>
            </w:tcMar>
          </w:tcPr>
          <w:p w14:paraId="2244C1B7" w14:textId="77777777" w:rsidR="00F0658C" w:rsidRDefault="00F0658C" w:rsidP="000E7E4B">
            <w:pPr>
              <w:contextualSpacing/>
              <w:jc w:val="both"/>
              <w:rPr>
                <w:rFonts w:ascii="Calibri" w:hAnsi="Calibri"/>
                <w:b/>
                <w:szCs w:val="22"/>
              </w:rPr>
            </w:pPr>
            <w:r w:rsidRPr="00DF42DA">
              <w:rPr>
                <w:rFonts w:ascii="Calibri" w:hAnsi="Calibri"/>
                <w:b/>
                <w:szCs w:val="22"/>
              </w:rPr>
              <w:t>Residential Amenity:</w:t>
            </w:r>
          </w:p>
          <w:p w14:paraId="42C8462C" w14:textId="77777777" w:rsidR="00F0658C" w:rsidRDefault="00F0658C" w:rsidP="000E7E4B">
            <w:pPr>
              <w:contextualSpacing/>
              <w:jc w:val="both"/>
              <w:rPr>
                <w:rFonts w:ascii="Calibri" w:hAnsi="Calibri"/>
                <w:b/>
                <w:szCs w:val="22"/>
              </w:rPr>
            </w:pPr>
          </w:p>
          <w:p w14:paraId="0002371C" w14:textId="3E84EF84" w:rsidR="003E5C14" w:rsidRPr="004346C2" w:rsidRDefault="00F0658C" w:rsidP="000E7E4B">
            <w:pPr>
              <w:contextualSpacing/>
              <w:jc w:val="both"/>
              <w:rPr>
                <w:rFonts w:ascii="Calibri" w:hAnsi="Calibri"/>
                <w:bCs/>
                <w:szCs w:val="22"/>
              </w:rPr>
            </w:pPr>
            <w:r w:rsidRPr="004346C2">
              <w:rPr>
                <w:rFonts w:ascii="Calibri" w:hAnsi="Calibri"/>
                <w:bCs/>
                <w:szCs w:val="22"/>
              </w:rPr>
              <w:t xml:space="preserve">In terms of residential amenity, the property is situated within a row of terraced houses sited along Whalley Old Road, with a small garden area which is shared between No.15, No.13, No.11 and No.9 Painters Wood.  As a result, these are the neighbouring properties that </w:t>
            </w:r>
            <w:r w:rsidR="004F7A88">
              <w:rPr>
                <w:rFonts w:ascii="Calibri" w:hAnsi="Calibri"/>
                <w:bCs/>
                <w:szCs w:val="22"/>
              </w:rPr>
              <w:t xml:space="preserve">could </w:t>
            </w:r>
            <w:r w:rsidRPr="004346C2">
              <w:rPr>
                <w:rFonts w:ascii="Calibri" w:hAnsi="Calibri"/>
                <w:bCs/>
                <w:szCs w:val="22"/>
              </w:rPr>
              <w:t xml:space="preserve">be impacted the most due to the proposed development. In regard to loss of light and overshadowing, the alterations proposed to the rear of No.11 will not </w:t>
            </w:r>
            <w:r w:rsidR="003E5C14" w:rsidRPr="004346C2">
              <w:rPr>
                <w:rFonts w:ascii="Calibri" w:hAnsi="Calibri"/>
                <w:bCs/>
                <w:szCs w:val="22"/>
              </w:rPr>
              <w:t xml:space="preserve">cause an impact concerning absence of light </w:t>
            </w:r>
            <w:r w:rsidR="004346C2" w:rsidRPr="004346C2">
              <w:rPr>
                <w:rFonts w:ascii="Calibri" w:hAnsi="Calibri"/>
                <w:bCs/>
                <w:szCs w:val="22"/>
              </w:rPr>
              <w:t xml:space="preserve">due to the door at the rear not creating an additional footprint to the property. As both the door and window are replacing existing rear features it is also considered that the development will not provide any new opportunities for overlooking into neighbouring dwellings. </w:t>
            </w:r>
          </w:p>
          <w:p w14:paraId="76BC201A" w14:textId="77777777" w:rsidR="00F0658C" w:rsidRPr="00D23470" w:rsidRDefault="00F0658C" w:rsidP="004346C2">
            <w:pPr>
              <w:contextualSpacing/>
              <w:jc w:val="both"/>
              <w:rPr>
                <w:rFonts w:ascii="Calibri" w:hAnsi="Calibri"/>
                <w:szCs w:val="22"/>
              </w:rPr>
            </w:pPr>
          </w:p>
        </w:tc>
      </w:tr>
      <w:tr w:rsidR="00F0658C" w:rsidRPr="008C75E4" w14:paraId="5314ECE3" w14:textId="77777777" w:rsidTr="000E7E4B">
        <w:trPr>
          <w:trHeight w:val="866"/>
          <w:jc w:val="center"/>
        </w:trPr>
        <w:tc>
          <w:tcPr>
            <w:tcW w:w="9634" w:type="dxa"/>
            <w:gridSpan w:val="14"/>
            <w:tcMar>
              <w:top w:w="57" w:type="dxa"/>
              <w:bottom w:w="57" w:type="dxa"/>
            </w:tcMar>
          </w:tcPr>
          <w:p w14:paraId="6D295F3E" w14:textId="77777777" w:rsidR="00F0658C" w:rsidRDefault="00F0658C" w:rsidP="000E7E4B">
            <w:pPr>
              <w:contextualSpacing/>
              <w:jc w:val="both"/>
              <w:rPr>
                <w:rFonts w:ascii="Calibri" w:hAnsi="Calibri"/>
                <w:b/>
                <w:szCs w:val="22"/>
              </w:rPr>
            </w:pPr>
            <w:r w:rsidRPr="00DF42DA">
              <w:rPr>
                <w:rFonts w:ascii="Calibri" w:hAnsi="Calibri"/>
                <w:b/>
                <w:szCs w:val="22"/>
              </w:rPr>
              <w:t>Visual Amenity:</w:t>
            </w:r>
          </w:p>
          <w:p w14:paraId="6737BDEA" w14:textId="77777777" w:rsidR="00F0658C" w:rsidRDefault="00F0658C" w:rsidP="000E7E4B">
            <w:pPr>
              <w:contextualSpacing/>
              <w:jc w:val="both"/>
              <w:rPr>
                <w:rFonts w:ascii="Calibri" w:hAnsi="Calibri"/>
                <w:szCs w:val="22"/>
              </w:rPr>
            </w:pPr>
          </w:p>
          <w:p w14:paraId="607DA587" w14:textId="77777777" w:rsidR="00F0658C" w:rsidRDefault="00F0658C" w:rsidP="000E7E4B">
            <w:pPr>
              <w:jc w:val="both"/>
              <w:rPr>
                <w:rFonts w:ascii="Calibri" w:hAnsi="Calibri"/>
                <w:szCs w:val="22"/>
              </w:rPr>
            </w:pPr>
            <w:r>
              <w:rPr>
                <w:rFonts w:ascii="Calibri" w:hAnsi="Calibri"/>
                <w:szCs w:val="22"/>
              </w:rPr>
              <w:t xml:space="preserve">Ribble Valley Core Strategy Policy DMG1 states that </w:t>
            </w:r>
            <w:r w:rsidRPr="0098630C">
              <w:rPr>
                <w:rFonts w:ascii="Calibri" w:hAnsi="Calibri"/>
                <w:i/>
                <w:iCs/>
                <w:szCs w:val="22"/>
              </w:rPr>
              <w:t>“development should be sympathetic to existing and proposed land uses in terms of its size, intensity and nature”</w:t>
            </w:r>
            <w:r>
              <w:rPr>
                <w:rFonts w:ascii="Calibri" w:hAnsi="Calibri"/>
                <w:szCs w:val="22"/>
              </w:rPr>
              <w:t xml:space="preserve">. Furthermore, emphasis is placed on visual appearance and the relationship to surroundings. </w:t>
            </w:r>
          </w:p>
          <w:p w14:paraId="4F441EFB" w14:textId="4A8104CC" w:rsidR="00F0658C" w:rsidRDefault="002971AD" w:rsidP="000E7E4B">
            <w:pPr>
              <w:jc w:val="both"/>
              <w:rPr>
                <w:rFonts w:ascii="Calibri" w:hAnsi="Calibri"/>
                <w:szCs w:val="22"/>
              </w:rPr>
            </w:pPr>
            <w:r>
              <w:rPr>
                <w:rFonts w:ascii="Calibri" w:hAnsi="Calibri"/>
                <w:szCs w:val="22"/>
              </w:rPr>
              <w:lastRenderedPageBreak/>
              <w:t xml:space="preserve">The proposed alterations </w:t>
            </w:r>
            <w:r w:rsidR="00334FB6">
              <w:rPr>
                <w:rFonts w:ascii="Calibri" w:hAnsi="Calibri"/>
                <w:szCs w:val="22"/>
              </w:rPr>
              <w:t xml:space="preserve">will be sited to the rear of No.11 Painter Woods. </w:t>
            </w:r>
            <w:r w:rsidR="003374D5">
              <w:rPr>
                <w:rFonts w:ascii="Calibri" w:hAnsi="Calibri"/>
                <w:szCs w:val="22"/>
              </w:rPr>
              <w:t xml:space="preserve">Due to the topography of the land, the property is sited in an elevated position </w:t>
            </w:r>
            <w:r w:rsidR="00D57728">
              <w:rPr>
                <w:rFonts w:ascii="Calibri" w:hAnsi="Calibri"/>
                <w:szCs w:val="22"/>
              </w:rPr>
              <w:t xml:space="preserve">with the Northern elevation being visible </w:t>
            </w:r>
            <w:r w:rsidR="00FC4E76">
              <w:rPr>
                <w:rFonts w:ascii="Calibri" w:hAnsi="Calibri"/>
                <w:szCs w:val="22"/>
              </w:rPr>
              <w:t xml:space="preserve">from Whalley Road, </w:t>
            </w:r>
            <w:r w:rsidR="0040722A">
              <w:rPr>
                <w:rFonts w:ascii="Calibri" w:hAnsi="Calibri"/>
                <w:szCs w:val="22"/>
              </w:rPr>
              <w:t xml:space="preserve">a main highway running into Billington. As the proposed doors will be positioned </w:t>
            </w:r>
            <w:r w:rsidR="00EE5862">
              <w:rPr>
                <w:rFonts w:ascii="Calibri" w:hAnsi="Calibri"/>
                <w:szCs w:val="22"/>
              </w:rPr>
              <w:t xml:space="preserve">at the base of the elevation, this will be screened by an existing boundary fence spanning around the shared </w:t>
            </w:r>
            <w:r w:rsidR="00107FAC">
              <w:rPr>
                <w:rFonts w:ascii="Calibri" w:hAnsi="Calibri"/>
                <w:szCs w:val="22"/>
              </w:rPr>
              <w:t xml:space="preserve">garden space at the rear of the property. The alterations to the window and the drainpipe will be visible from the highway however as these are minor changes to the property’s appearance, they will not look </w:t>
            </w:r>
            <w:r w:rsidR="007C71A1">
              <w:rPr>
                <w:rFonts w:ascii="Calibri" w:hAnsi="Calibri"/>
                <w:szCs w:val="22"/>
              </w:rPr>
              <w:t xml:space="preserve">visually </w:t>
            </w:r>
            <w:r w:rsidR="00107FAC">
              <w:rPr>
                <w:rFonts w:ascii="Calibri" w:hAnsi="Calibri"/>
                <w:szCs w:val="22"/>
              </w:rPr>
              <w:t>incoherent</w:t>
            </w:r>
            <w:r w:rsidR="007C71A1">
              <w:rPr>
                <w:rFonts w:ascii="Calibri" w:hAnsi="Calibri"/>
                <w:szCs w:val="22"/>
              </w:rPr>
              <w:t xml:space="preserve">. The </w:t>
            </w:r>
            <w:r w:rsidR="00DD42EB">
              <w:rPr>
                <w:rFonts w:ascii="Calibri" w:hAnsi="Calibri"/>
                <w:szCs w:val="22"/>
              </w:rPr>
              <w:t xml:space="preserve">use of timber effect double doors and white UPVC to the rear would integrate effectively with the </w:t>
            </w:r>
            <w:r w:rsidR="00B65A14">
              <w:rPr>
                <w:rFonts w:ascii="Calibri" w:hAnsi="Calibri"/>
                <w:szCs w:val="22"/>
              </w:rPr>
              <w:t xml:space="preserve">existing </w:t>
            </w:r>
            <w:r w:rsidR="00DD42EB">
              <w:rPr>
                <w:rFonts w:ascii="Calibri" w:hAnsi="Calibri"/>
                <w:szCs w:val="22"/>
              </w:rPr>
              <w:t xml:space="preserve">materials on the property as well as those found within the surrounding area. </w:t>
            </w:r>
            <w:r w:rsidR="00FA0890">
              <w:rPr>
                <w:rFonts w:ascii="Calibri" w:hAnsi="Calibri"/>
                <w:szCs w:val="22"/>
              </w:rPr>
              <w:t>As such, the development will not be considered to be an over</w:t>
            </w:r>
            <w:r w:rsidR="004C68B8">
              <w:rPr>
                <w:rFonts w:ascii="Calibri" w:hAnsi="Calibri"/>
                <w:szCs w:val="22"/>
              </w:rPr>
              <w:t xml:space="preserve"> </w:t>
            </w:r>
            <w:r w:rsidR="00FA0890">
              <w:rPr>
                <w:rFonts w:ascii="Calibri" w:hAnsi="Calibri"/>
                <w:szCs w:val="22"/>
              </w:rPr>
              <w:t xml:space="preserve">dominant addition to the </w:t>
            </w:r>
            <w:r w:rsidR="00966A5E">
              <w:rPr>
                <w:rFonts w:ascii="Calibri" w:hAnsi="Calibri"/>
                <w:szCs w:val="22"/>
              </w:rPr>
              <w:t>property and</w:t>
            </w:r>
            <w:r w:rsidR="004C68B8">
              <w:rPr>
                <w:rFonts w:ascii="Calibri" w:hAnsi="Calibri"/>
                <w:szCs w:val="22"/>
              </w:rPr>
              <w:t xml:space="preserve"> would not be of detriment to the individual character of the dwelling </w:t>
            </w:r>
            <w:r w:rsidR="00796ABE">
              <w:rPr>
                <w:rFonts w:ascii="Calibri" w:hAnsi="Calibri"/>
                <w:szCs w:val="22"/>
              </w:rPr>
              <w:t xml:space="preserve">itself, nor will it create a harmful aesthetic appearance to the Whalley Conservation Area. </w:t>
            </w:r>
            <w:r w:rsidR="00107FAC">
              <w:rPr>
                <w:rFonts w:ascii="Calibri" w:hAnsi="Calibri"/>
                <w:szCs w:val="22"/>
              </w:rPr>
              <w:t xml:space="preserve"> </w:t>
            </w:r>
          </w:p>
          <w:p w14:paraId="3EF4DED2" w14:textId="77777777" w:rsidR="00F0658C" w:rsidRPr="0091595C" w:rsidRDefault="00F0658C" w:rsidP="00796ABE">
            <w:pPr>
              <w:jc w:val="both"/>
              <w:rPr>
                <w:rFonts w:ascii="Calibri" w:hAnsi="Calibri"/>
                <w:szCs w:val="22"/>
              </w:rPr>
            </w:pPr>
          </w:p>
        </w:tc>
      </w:tr>
      <w:tr w:rsidR="00F0658C" w:rsidRPr="008C75E4" w14:paraId="4980B3AA" w14:textId="77777777" w:rsidTr="000E7E4B">
        <w:trPr>
          <w:trHeight w:val="866"/>
          <w:jc w:val="center"/>
        </w:trPr>
        <w:tc>
          <w:tcPr>
            <w:tcW w:w="9634" w:type="dxa"/>
            <w:gridSpan w:val="14"/>
            <w:tcMar>
              <w:top w:w="57" w:type="dxa"/>
              <w:bottom w:w="57" w:type="dxa"/>
            </w:tcMar>
          </w:tcPr>
          <w:p w14:paraId="64D0AF0F" w14:textId="77777777" w:rsidR="00F0658C" w:rsidRDefault="00F0658C" w:rsidP="000E7E4B">
            <w:pPr>
              <w:contextualSpacing/>
              <w:jc w:val="both"/>
              <w:rPr>
                <w:rFonts w:ascii="Calibri" w:hAnsi="Calibri"/>
                <w:b/>
                <w:bCs/>
                <w:szCs w:val="22"/>
              </w:rPr>
            </w:pPr>
            <w:r>
              <w:rPr>
                <w:rFonts w:ascii="Calibri" w:hAnsi="Calibri"/>
                <w:b/>
                <w:bCs/>
                <w:szCs w:val="22"/>
              </w:rPr>
              <w:lastRenderedPageBreak/>
              <w:t xml:space="preserve">Ecology: </w:t>
            </w:r>
          </w:p>
          <w:p w14:paraId="34D8B02F" w14:textId="77777777" w:rsidR="00F0658C" w:rsidRDefault="00F0658C" w:rsidP="000E7E4B">
            <w:pPr>
              <w:contextualSpacing/>
              <w:jc w:val="both"/>
              <w:rPr>
                <w:rFonts w:ascii="Calibri" w:hAnsi="Calibri"/>
                <w:b/>
                <w:bCs/>
                <w:szCs w:val="22"/>
              </w:rPr>
            </w:pPr>
          </w:p>
          <w:p w14:paraId="77EBDDD4" w14:textId="77777777" w:rsidR="00F0658C" w:rsidRDefault="00F0658C" w:rsidP="000E7E4B">
            <w:pPr>
              <w:pStyle w:val="Header"/>
              <w:tabs>
                <w:tab w:val="left" w:pos="720"/>
              </w:tabs>
              <w:jc w:val="both"/>
              <w:rPr>
                <w:rFonts w:ascii="Calibri" w:hAnsi="Calibri"/>
              </w:rPr>
            </w:pPr>
            <w:r>
              <w:rPr>
                <w:rFonts w:ascii="Calibri" w:hAnsi="Calibri"/>
              </w:rPr>
              <w:t>No ecological constraints were identified in relation to the proposal.</w:t>
            </w:r>
          </w:p>
          <w:p w14:paraId="2EA9F74B" w14:textId="77777777" w:rsidR="00F0658C" w:rsidRPr="008C75E4" w:rsidRDefault="00F0658C" w:rsidP="000E7E4B">
            <w:pPr>
              <w:jc w:val="both"/>
              <w:rPr>
                <w:rFonts w:ascii="Calibri" w:hAnsi="Calibri"/>
                <w:b/>
                <w:bCs/>
                <w:szCs w:val="22"/>
              </w:rPr>
            </w:pPr>
          </w:p>
        </w:tc>
      </w:tr>
      <w:tr w:rsidR="00F0658C" w:rsidRPr="008C75E4" w14:paraId="12B23F1A" w14:textId="77777777" w:rsidTr="000E7E4B">
        <w:trPr>
          <w:trHeight w:val="866"/>
          <w:jc w:val="center"/>
        </w:trPr>
        <w:tc>
          <w:tcPr>
            <w:tcW w:w="9634" w:type="dxa"/>
            <w:gridSpan w:val="14"/>
            <w:tcMar>
              <w:top w:w="57" w:type="dxa"/>
              <w:bottom w:w="57" w:type="dxa"/>
            </w:tcMar>
          </w:tcPr>
          <w:p w14:paraId="69795C2B" w14:textId="77777777" w:rsidR="00F0658C" w:rsidRDefault="00F0658C" w:rsidP="000E7E4B">
            <w:pPr>
              <w:contextualSpacing/>
              <w:jc w:val="both"/>
              <w:rPr>
                <w:rFonts w:ascii="Calibri" w:hAnsi="Calibri"/>
                <w:b/>
                <w:bCs/>
                <w:szCs w:val="22"/>
              </w:rPr>
            </w:pPr>
            <w:r>
              <w:rPr>
                <w:rFonts w:ascii="Calibri" w:hAnsi="Calibri"/>
                <w:b/>
                <w:bCs/>
                <w:szCs w:val="22"/>
              </w:rPr>
              <w:t>Highways:</w:t>
            </w:r>
          </w:p>
          <w:p w14:paraId="6FD1CE89" w14:textId="77777777" w:rsidR="00F0658C" w:rsidRDefault="00F0658C" w:rsidP="000E7E4B">
            <w:pPr>
              <w:contextualSpacing/>
              <w:jc w:val="both"/>
              <w:rPr>
                <w:rFonts w:ascii="Calibri" w:hAnsi="Calibri"/>
                <w:b/>
                <w:bCs/>
                <w:szCs w:val="22"/>
              </w:rPr>
            </w:pPr>
          </w:p>
          <w:p w14:paraId="5EED53B5" w14:textId="77777777" w:rsidR="00F0658C" w:rsidRDefault="00F0658C" w:rsidP="000E7E4B">
            <w:pPr>
              <w:jc w:val="both"/>
              <w:rPr>
                <w:rFonts w:ascii="Calibri" w:hAnsi="Calibri"/>
                <w:bCs/>
              </w:rPr>
            </w:pPr>
            <w:r w:rsidRPr="000519A7">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51B11CFF" w14:textId="77777777" w:rsidR="00F0658C" w:rsidRPr="008C75E4" w:rsidRDefault="00F0658C" w:rsidP="000E7E4B">
            <w:pPr>
              <w:jc w:val="both"/>
              <w:rPr>
                <w:rFonts w:ascii="Calibri" w:hAnsi="Calibri"/>
                <w:b/>
                <w:bCs/>
                <w:szCs w:val="22"/>
              </w:rPr>
            </w:pPr>
          </w:p>
        </w:tc>
      </w:tr>
      <w:tr w:rsidR="00F0658C" w:rsidRPr="008C75E4" w14:paraId="374E7DAB" w14:textId="77777777" w:rsidTr="000E7E4B">
        <w:trPr>
          <w:trHeight w:val="866"/>
          <w:jc w:val="center"/>
        </w:trPr>
        <w:tc>
          <w:tcPr>
            <w:tcW w:w="9634" w:type="dxa"/>
            <w:gridSpan w:val="14"/>
            <w:tcMar>
              <w:top w:w="57" w:type="dxa"/>
              <w:bottom w:w="57" w:type="dxa"/>
            </w:tcMar>
          </w:tcPr>
          <w:p w14:paraId="5B2B8177" w14:textId="77777777" w:rsidR="00F0658C" w:rsidRPr="00F0658C" w:rsidRDefault="00F0658C" w:rsidP="000E7E4B">
            <w:pPr>
              <w:contextualSpacing/>
              <w:jc w:val="both"/>
              <w:rPr>
                <w:rFonts w:ascii="Calibri" w:hAnsi="Calibri"/>
                <w:b/>
                <w:bCs/>
                <w:szCs w:val="22"/>
              </w:rPr>
            </w:pPr>
            <w:r w:rsidRPr="00F0658C">
              <w:rPr>
                <w:rFonts w:ascii="Calibri" w:hAnsi="Calibri"/>
                <w:b/>
                <w:bCs/>
                <w:szCs w:val="22"/>
              </w:rPr>
              <w:t>Heritage:</w:t>
            </w:r>
          </w:p>
          <w:p w14:paraId="2F1294D6" w14:textId="77777777" w:rsidR="00F0658C" w:rsidRPr="00F0658C" w:rsidRDefault="00F0658C" w:rsidP="000E7E4B">
            <w:pPr>
              <w:contextualSpacing/>
              <w:jc w:val="both"/>
              <w:rPr>
                <w:rFonts w:ascii="Calibri" w:hAnsi="Calibri"/>
                <w:b/>
                <w:bCs/>
                <w:szCs w:val="22"/>
                <w:highlight w:val="yellow"/>
              </w:rPr>
            </w:pPr>
          </w:p>
          <w:p w14:paraId="76E4B114" w14:textId="77777777" w:rsidR="00F0658C" w:rsidRPr="00BC1476" w:rsidRDefault="00F0658C" w:rsidP="000E7E4B">
            <w:pPr>
              <w:contextualSpacing/>
              <w:jc w:val="both"/>
              <w:rPr>
                <w:rFonts w:ascii="Calibri" w:hAnsi="Calibri"/>
                <w:szCs w:val="22"/>
              </w:rPr>
            </w:pPr>
            <w:r w:rsidRPr="00BC1476">
              <w:rPr>
                <w:rFonts w:ascii="Calibri" w:hAnsi="Calibri"/>
                <w:szCs w:val="22"/>
              </w:rPr>
              <w:t xml:space="preserve">The application site is situated within the boundaries of the Whalley Conservation Area, and so consideration must be given towards the impact the proposal will have on the historic character of the surrounding area. With reference to making decisions on applications for development situated within a conservation area, Section 72 of the Planning (Listed Buildings and Conservation Areas) Act 1990 states that: </w:t>
            </w:r>
            <w:r w:rsidRPr="00BC1476">
              <w:rPr>
                <w:rFonts w:ascii="Calibri" w:hAnsi="Calibri"/>
                <w:i/>
                <w:iCs/>
                <w:szCs w:val="22"/>
              </w:rPr>
              <w:t>“…special attention shall be paid to the desirability of preserving or enhancing the character or appearance of that area.”</w:t>
            </w:r>
          </w:p>
          <w:p w14:paraId="3E6A3637" w14:textId="77777777" w:rsidR="00F0658C" w:rsidRPr="00F0658C" w:rsidRDefault="00F0658C" w:rsidP="000E7E4B">
            <w:pPr>
              <w:contextualSpacing/>
              <w:jc w:val="both"/>
              <w:rPr>
                <w:rFonts w:ascii="Calibri" w:hAnsi="Calibri"/>
                <w:b/>
                <w:bCs/>
                <w:szCs w:val="22"/>
                <w:highlight w:val="yellow"/>
              </w:rPr>
            </w:pPr>
          </w:p>
          <w:p w14:paraId="0BAEAFD4" w14:textId="77777777" w:rsidR="00F0658C" w:rsidRPr="00BC1476" w:rsidRDefault="00F0658C" w:rsidP="000E7E4B">
            <w:pPr>
              <w:contextualSpacing/>
              <w:jc w:val="both"/>
              <w:rPr>
                <w:rFonts w:ascii="Calibri" w:hAnsi="Calibri"/>
                <w:i/>
                <w:iCs/>
                <w:szCs w:val="22"/>
              </w:rPr>
            </w:pPr>
            <w:r w:rsidRPr="00BC1476">
              <w:rPr>
                <w:rFonts w:ascii="Calibri" w:hAnsi="Calibri"/>
                <w:szCs w:val="22"/>
              </w:rPr>
              <w:t xml:space="preserve">The Ribble Valley Borough Council Core Strategy also emphasizes the importance that all development within a Conservation Area should </w:t>
            </w:r>
            <w:r w:rsidRPr="00BC1476">
              <w:rPr>
                <w:rFonts w:ascii="Calibri" w:hAnsi="Calibri"/>
                <w:i/>
                <w:iCs/>
                <w:szCs w:val="22"/>
              </w:rPr>
              <w:t xml:space="preserve">“respect and safeguard the character, appearance and significance of the area”. </w:t>
            </w:r>
          </w:p>
          <w:p w14:paraId="479C154F" w14:textId="77777777" w:rsidR="00F0658C" w:rsidRPr="00124B1C" w:rsidRDefault="00F0658C" w:rsidP="000E7E4B">
            <w:pPr>
              <w:contextualSpacing/>
              <w:jc w:val="both"/>
              <w:rPr>
                <w:rFonts w:ascii="Calibri" w:hAnsi="Calibri"/>
                <w:szCs w:val="22"/>
              </w:rPr>
            </w:pPr>
          </w:p>
          <w:p w14:paraId="49EA4181" w14:textId="77777777" w:rsidR="00F0658C" w:rsidRPr="00124B1C" w:rsidRDefault="00F0658C" w:rsidP="000E7E4B">
            <w:pPr>
              <w:contextualSpacing/>
              <w:jc w:val="both"/>
              <w:rPr>
                <w:rFonts w:ascii="Calibri" w:hAnsi="Calibri"/>
                <w:szCs w:val="22"/>
              </w:rPr>
            </w:pPr>
            <w:r w:rsidRPr="00124B1C">
              <w:rPr>
                <w:rFonts w:ascii="Calibri" w:hAnsi="Calibri"/>
                <w:szCs w:val="22"/>
              </w:rPr>
              <w:t xml:space="preserve">A Whalley Conservation Area Appraisal was composed in 2005 and discusses the potential threats to losing the historic character of the region through development. One of the threats identified to the area is the </w:t>
            </w:r>
            <w:r w:rsidRPr="00124B1C">
              <w:rPr>
                <w:rFonts w:ascii="Calibri" w:hAnsi="Calibri"/>
                <w:i/>
                <w:iCs/>
                <w:szCs w:val="22"/>
              </w:rPr>
              <w:t>“Continuing loss of original architectural details and use of inappropriate modern materials or details”</w:t>
            </w:r>
            <w:r w:rsidRPr="00124B1C">
              <w:rPr>
                <w:rFonts w:ascii="Calibri" w:hAnsi="Calibri"/>
                <w:szCs w:val="22"/>
              </w:rPr>
              <w:t xml:space="preserve"> within proposals. It later discusses how many of the unlisted, and some of the listed, buildings in the conservation area have been adversely affected by the use of inappropriate modern materials, including </w:t>
            </w:r>
            <w:r w:rsidRPr="00124B1C">
              <w:rPr>
                <w:rFonts w:ascii="Calibri" w:hAnsi="Calibri"/>
                <w:i/>
                <w:iCs/>
                <w:szCs w:val="22"/>
              </w:rPr>
              <w:t>“the replacement of original timber windows with uPVC or aluminium”</w:t>
            </w:r>
            <w:r w:rsidRPr="00124B1C">
              <w:rPr>
                <w:rFonts w:ascii="Calibri" w:hAnsi="Calibri"/>
                <w:szCs w:val="22"/>
              </w:rPr>
              <w:t xml:space="preserve">. </w:t>
            </w:r>
          </w:p>
          <w:p w14:paraId="714B5397" w14:textId="77777777" w:rsidR="00966A5E" w:rsidRPr="00F0658C" w:rsidRDefault="00966A5E" w:rsidP="000E7E4B">
            <w:pPr>
              <w:contextualSpacing/>
              <w:jc w:val="both"/>
              <w:rPr>
                <w:rFonts w:ascii="Calibri" w:hAnsi="Calibri"/>
                <w:b/>
                <w:bCs/>
                <w:szCs w:val="22"/>
                <w:highlight w:val="yellow"/>
              </w:rPr>
            </w:pPr>
          </w:p>
          <w:p w14:paraId="1AEA7015" w14:textId="5C5841AD" w:rsidR="008442E8" w:rsidRPr="00D06377" w:rsidRDefault="00014D4A" w:rsidP="000E7E4B">
            <w:pPr>
              <w:contextualSpacing/>
              <w:jc w:val="both"/>
              <w:rPr>
                <w:rFonts w:ascii="Calibri" w:hAnsi="Calibri"/>
                <w:szCs w:val="22"/>
              </w:rPr>
            </w:pPr>
            <w:r>
              <w:rPr>
                <w:rFonts w:ascii="Calibri" w:hAnsi="Calibri"/>
                <w:szCs w:val="22"/>
              </w:rPr>
              <w:t>T</w:t>
            </w:r>
            <w:r w:rsidR="00F0658C" w:rsidRPr="00D06377">
              <w:rPr>
                <w:rFonts w:ascii="Calibri" w:hAnsi="Calibri"/>
                <w:szCs w:val="22"/>
              </w:rPr>
              <w:t>he large majority of the built form within a close vicinity is characterised by a combination of natural stone and render, with slate roof tiles</w:t>
            </w:r>
            <w:r w:rsidR="00D06377" w:rsidRPr="00D06377">
              <w:rPr>
                <w:rFonts w:ascii="Calibri" w:hAnsi="Calibri"/>
                <w:szCs w:val="22"/>
              </w:rPr>
              <w:t>, white UPVC windows</w:t>
            </w:r>
            <w:r w:rsidR="00F0658C" w:rsidRPr="00D06377">
              <w:rPr>
                <w:rFonts w:ascii="Calibri" w:hAnsi="Calibri"/>
                <w:szCs w:val="22"/>
              </w:rPr>
              <w:t xml:space="preserve"> and timber door features.</w:t>
            </w:r>
            <w:r w:rsidR="00D06377">
              <w:rPr>
                <w:rFonts w:ascii="Calibri" w:hAnsi="Calibri"/>
                <w:szCs w:val="22"/>
              </w:rPr>
              <w:t xml:space="preserve"> The introduction of the timber double doors </w:t>
            </w:r>
            <w:r w:rsidR="003A48A7">
              <w:rPr>
                <w:rFonts w:ascii="Calibri" w:hAnsi="Calibri"/>
                <w:szCs w:val="22"/>
              </w:rPr>
              <w:t>to the rear would be considered acceptable materials with regard to the Whalley Conservation Area as the</w:t>
            </w:r>
            <w:r w:rsidR="0023557F">
              <w:rPr>
                <w:rFonts w:ascii="Calibri" w:hAnsi="Calibri"/>
                <w:szCs w:val="22"/>
              </w:rPr>
              <w:t xml:space="preserve"> timber material is </w:t>
            </w:r>
            <w:r w:rsidR="00F20264">
              <w:rPr>
                <w:rFonts w:ascii="Calibri" w:hAnsi="Calibri"/>
                <w:szCs w:val="22"/>
              </w:rPr>
              <w:t xml:space="preserve">a common </w:t>
            </w:r>
            <w:r w:rsidR="003C472B">
              <w:rPr>
                <w:rFonts w:ascii="Calibri" w:hAnsi="Calibri"/>
                <w:szCs w:val="22"/>
              </w:rPr>
              <w:t xml:space="preserve">choice for properties within the </w:t>
            </w:r>
            <w:r>
              <w:rPr>
                <w:rFonts w:ascii="Calibri" w:hAnsi="Calibri"/>
                <w:szCs w:val="22"/>
              </w:rPr>
              <w:t xml:space="preserve">local vicinity. </w:t>
            </w:r>
            <w:r w:rsidR="00EF17A6">
              <w:rPr>
                <w:rFonts w:ascii="Calibri" w:hAnsi="Calibri"/>
                <w:szCs w:val="22"/>
              </w:rPr>
              <w:t xml:space="preserve">The statement above does outline the use of modern materials such as the replacement of windows with white UPVC </w:t>
            </w:r>
            <w:r w:rsidR="00345152">
              <w:rPr>
                <w:rFonts w:ascii="Calibri" w:hAnsi="Calibri"/>
                <w:szCs w:val="22"/>
              </w:rPr>
              <w:t xml:space="preserve">to be inappropriate for this area. However, as the replacement window will be replacing an existing white UPVC window, the proposed development would therefore be considered acceptable with regard to the rear of the application property and </w:t>
            </w:r>
            <w:r w:rsidR="00557559">
              <w:rPr>
                <w:rFonts w:ascii="Calibri" w:hAnsi="Calibri"/>
                <w:szCs w:val="22"/>
              </w:rPr>
              <w:t xml:space="preserve">with properties within the immediate </w:t>
            </w:r>
            <w:r w:rsidR="00557559">
              <w:rPr>
                <w:rFonts w:ascii="Calibri" w:hAnsi="Calibri"/>
                <w:szCs w:val="22"/>
              </w:rPr>
              <w:lastRenderedPageBreak/>
              <w:t xml:space="preserve">area. As a result, the </w:t>
            </w:r>
            <w:r w:rsidR="00F839CC">
              <w:rPr>
                <w:rFonts w:ascii="Calibri" w:hAnsi="Calibri"/>
                <w:szCs w:val="22"/>
              </w:rPr>
              <w:t>proposal would not result in the introduction of inappropriate materials</w:t>
            </w:r>
            <w:r w:rsidR="00124B1C">
              <w:rPr>
                <w:rFonts w:ascii="Calibri" w:hAnsi="Calibri"/>
                <w:szCs w:val="22"/>
              </w:rPr>
              <w:t xml:space="preserve"> and ultimately would not be harmful to the aesthetic and historic character of the surrounding Whalley Conservation Area. </w:t>
            </w:r>
          </w:p>
          <w:p w14:paraId="4F7ADBC9" w14:textId="77777777" w:rsidR="00F0658C" w:rsidRPr="00F0658C" w:rsidRDefault="00F0658C" w:rsidP="00124B1C">
            <w:pPr>
              <w:contextualSpacing/>
              <w:jc w:val="both"/>
              <w:rPr>
                <w:rFonts w:ascii="Calibri" w:hAnsi="Calibri"/>
                <w:b/>
                <w:bCs/>
                <w:szCs w:val="22"/>
                <w:highlight w:val="yellow"/>
              </w:rPr>
            </w:pPr>
          </w:p>
        </w:tc>
      </w:tr>
      <w:tr w:rsidR="00F0658C" w:rsidRPr="008C75E4" w14:paraId="69171455" w14:textId="77777777" w:rsidTr="000E7E4B">
        <w:trPr>
          <w:trHeight w:val="866"/>
          <w:jc w:val="center"/>
        </w:trPr>
        <w:tc>
          <w:tcPr>
            <w:tcW w:w="9634" w:type="dxa"/>
            <w:gridSpan w:val="14"/>
            <w:tcMar>
              <w:top w:w="57" w:type="dxa"/>
              <w:bottom w:w="57" w:type="dxa"/>
            </w:tcMar>
          </w:tcPr>
          <w:p w14:paraId="5937E62E" w14:textId="77777777" w:rsidR="00F0658C" w:rsidRPr="008C75E4" w:rsidRDefault="00F0658C" w:rsidP="000E7E4B">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39518390" w14:textId="07310322" w:rsidR="00170B5E" w:rsidRDefault="00170B5E" w:rsidP="000E7E4B">
            <w:pPr>
              <w:pStyle w:val="Header"/>
              <w:rPr>
                <w:rFonts w:ascii="Calibri" w:hAnsi="Calibri"/>
                <w:bCs/>
                <w:szCs w:val="22"/>
              </w:rPr>
            </w:pPr>
          </w:p>
          <w:p w14:paraId="25CB3873" w14:textId="00640CEF" w:rsidR="00170B5E" w:rsidRDefault="00170B5E" w:rsidP="00170B5E">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w:t>
            </w:r>
            <w:r>
              <w:rPr>
                <w:rFonts w:ascii="Calibri" w:hAnsi="Calibri"/>
                <w:color w:val="000000"/>
                <w:shd w:val="clear" w:color="auto" w:fill="FFFFFF"/>
              </w:rPr>
              <w:t xml:space="preserve"> dwelling or surrounding Conservation</w:t>
            </w:r>
            <w:r w:rsidRPr="00B06B71">
              <w:rPr>
                <w:rFonts w:ascii="Calibri" w:hAnsi="Calibri"/>
                <w:color w:val="000000"/>
                <w:shd w:val="clear" w:color="auto" w:fill="FFFFFF"/>
              </w:rPr>
              <w:t xml:space="preserve"> </w:t>
            </w:r>
            <w:r>
              <w:rPr>
                <w:rFonts w:ascii="Calibri" w:hAnsi="Calibri"/>
                <w:color w:val="000000"/>
                <w:shd w:val="clear" w:color="auto" w:fill="FFFFFF"/>
              </w:rPr>
              <w:t>A</w:t>
            </w:r>
            <w:r w:rsidRPr="00B06B71">
              <w:rPr>
                <w:rFonts w:ascii="Calibri" w:hAnsi="Calibri"/>
                <w:color w:val="000000"/>
                <w:shd w:val="clear" w:color="auto" w:fill="FFFFFF"/>
              </w:rPr>
              <w:t>rea. With all the above taken into consideration it is recommended accordingly.</w:t>
            </w:r>
          </w:p>
          <w:p w14:paraId="6734A126" w14:textId="77777777" w:rsidR="00F0658C" w:rsidRPr="002840B2" w:rsidRDefault="00F0658C" w:rsidP="000E7E4B">
            <w:pPr>
              <w:pStyle w:val="Header"/>
              <w:rPr>
                <w:rFonts w:ascii="Calibri" w:hAnsi="Calibri"/>
                <w:bCs/>
                <w:szCs w:val="22"/>
              </w:rPr>
            </w:pPr>
          </w:p>
        </w:tc>
      </w:tr>
      <w:tr w:rsidR="00F0658C" w:rsidRPr="008C75E4" w14:paraId="40E12E74" w14:textId="77777777" w:rsidTr="000E7E4B">
        <w:trPr>
          <w:trHeight w:val="285"/>
          <w:jc w:val="center"/>
        </w:trPr>
        <w:tc>
          <w:tcPr>
            <w:tcW w:w="2845" w:type="dxa"/>
            <w:gridSpan w:val="4"/>
            <w:tcMar>
              <w:top w:w="57" w:type="dxa"/>
              <w:bottom w:w="57" w:type="dxa"/>
            </w:tcMar>
          </w:tcPr>
          <w:p w14:paraId="3573DF70" w14:textId="77777777" w:rsidR="00F0658C" w:rsidRPr="008C75E4" w:rsidRDefault="00F0658C" w:rsidP="000E7E4B">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89" w:type="dxa"/>
            <w:gridSpan w:val="10"/>
          </w:tcPr>
          <w:p w14:paraId="394FAE5E" w14:textId="10808AA9" w:rsidR="00F0658C" w:rsidRPr="008C75E4" w:rsidRDefault="00F0658C" w:rsidP="000E7E4B">
            <w:pPr>
              <w:jc w:val="both"/>
              <w:rPr>
                <w:rFonts w:ascii="Calibri" w:hAnsi="Calibri"/>
                <w:bCs/>
                <w:szCs w:val="22"/>
              </w:rPr>
            </w:pPr>
            <w:r w:rsidRPr="00A533C4">
              <w:rPr>
                <w:rFonts w:ascii="Calibri" w:hAnsi="Calibri"/>
                <w:bCs/>
                <w:szCs w:val="22"/>
              </w:rPr>
              <w:t xml:space="preserve">That planning permission be </w:t>
            </w:r>
            <w:r>
              <w:rPr>
                <w:rFonts w:ascii="Calibri" w:hAnsi="Calibri"/>
                <w:bCs/>
                <w:szCs w:val="22"/>
              </w:rPr>
              <w:t>granted.</w:t>
            </w:r>
          </w:p>
        </w:tc>
      </w:tr>
    </w:tbl>
    <w:p w14:paraId="746B3CF7" w14:textId="77777777" w:rsidR="00F0658C" w:rsidRDefault="00F0658C"/>
    <w:sectPr w:rsidR="00F06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8C"/>
    <w:rsid w:val="00014D4A"/>
    <w:rsid w:val="000469BA"/>
    <w:rsid w:val="00107FAC"/>
    <w:rsid w:val="00124B1C"/>
    <w:rsid w:val="00170B5E"/>
    <w:rsid w:val="0023557F"/>
    <w:rsid w:val="002971AD"/>
    <w:rsid w:val="002F0E1F"/>
    <w:rsid w:val="00332E29"/>
    <w:rsid w:val="00334FB6"/>
    <w:rsid w:val="003374D5"/>
    <w:rsid w:val="00345152"/>
    <w:rsid w:val="003A48A7"/>
    <w:rsid w:val="003C472B"/>
    <w:rsid w:val="003E5C14"/>
    <w:rsid w:val="0040722A"/>
    <w:rsid w:val="004346C2"/>
    <w:rsid w:val="004C68B8"/>
    <w:rsid w:val="004F7A88"/>
    <w:rsid w:val="00557559"/>
    <w:rsid w:val="00584248"/>
    <w:rsid w:val="00637FC5"/>
    <w:rsid w:val="00791C82"/>
    <w:rsid w:val="007955A1"/>
    <w:rsid w:val="00796ABE"/>
    <w:rsid w:val="007C71A1"/>
    <w:rsid w:val="008442E8"/>
    <w:rsid w:val="00966A5E"/>
    <w:rsid w:val="00B65A14"/>
    <w:rsid w:val="00BC1476"/>
    <w:rsid w:val="00C40C1C"/>
    <w:rsid w:val="00CB5AE9"/>
    <w:rsid w:val="00D06377"/>
    <w:rsid w:val="00D57728"/>
    <w:rsid w:val="00DB7E08"/>
    <w:rsid w:val="00DD42EB"/>
    <w:rsid w:val="00EA17E7"/>
    <w:rsid w:val="00EE5862"/>
    <w:rsid w:val="00EF17A6"/>
    <w:rsid w:val="00F0658C"/>
    <w:rsid w:val="00F20264"/>
    <w:rsid w:val="00F839CC"/>
    <w:rsid w:val="00FA0890"/>
    <w:rsid w:val="00FC4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7944"/>
  <w15:chartTrackingRefBased/>
  <w15:docId w15:val="{9398021A-202E-492B-A135-AA2FC681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58C"/>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6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NNING">
    <w:name w:val="PLANNING"/>
    <w:basedOn w:val="Normal"/>
    <w:rsid w:val="00F0658C"/>
    <w:pPr>
      <w:jc w:val="both"/>
    </w:pPr>
  </w:style>
  <w:style w:type="paragraph" w:styleId="Header">
    <w:name w:val="header"/>
    <w:basedOn w:val="Normal"/>
    <w:link w:val="HeaderChar"/>
    <w:rsid w:val="00F0658C"/>
    <w:pPr>
      <w:tabs>
        <w:tab w:val="center" w:pos="4153"/>
        <w:tab w:val="right" w:pos="8306"/>
      </w:tabs>
    </w:pPr>
  </w:style>
  <w:style w:type="character" w:customStyle="1" w:styleId="HeaderChar">
    <w:name w:val="Header Char"/>
    <w:basedOn w:val="DefaultParagraphFont"/>
    <w:link w:val="Header"/>
    <w:rsid w:val="00F0658C"/>
    <w:rPr>
      <w:rFonts w:ascii="Arial" w:eastAsia="Times New Roman" w:hAnsi="Arial" w:cs="Times New Roman"/>
      <w:szCs w:val="20"/>
    </w:rPr>
  </w:style>
  <w:style w:type="paragraph" w:customStyle="1" w:styleId="Default">
    <w:name w:val="Default"/>
    <w:rsid w:val="00F0658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2022-05-13T10:41:00Z</dcterms:created>
  <dcterms:modified xsi:type="dcterms:W3CDTF">2022-05-13T10:41:00Z</dcterms:modified>
</cp:coreProperties>
</file>