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3"/>
        <w:gridCol w:w="69"/>
        <w:gridCol w:w="1060"/>
        <w:gridCol w:w="31"/>
        <w:gridCol w:w="144"/>
        <w:gridCol w:w="658"/>
        <w:gridCol w:w="197"/>
        <w:gridCol w:w="1030"/>
        <w:gridCol w:w="1030"/>
        <w:gridCol w:w="519"/>
        <w:gridCol w:w="579"/>
        <w:gridCol w:w="1030"/>
        <w:gridCol w:w="1030"/>
        <w:gridCol w:w="1031"/>
      </w:tblGrid>
      <w:tr w:rsidR="004A5EA9" w:rsidRPr="00D2449B" w14:paraId="649CDED8" w14:textId="77777777" w:rsidTr="00901D34">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72CFDC"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34E917A2" w14:textId="77777777" w:rsidTr="00901D34">
        <w:trPr>
          <w:jc w:val="center"/>
        </w:trPr>
        <w:tc>
          <w:tcPr>
            <w:tcW w:w="10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1DFFF3"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0F44E"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D924E3"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68D60F"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E8BCC3"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9E7156"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6ECAAE"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625845"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E1077D" w14:textId="77777777" w:rsidR="004936A6" w:rsidRPr="00D2449B" w:rsidRDefault="004936A6" w:rsidP="00D2449B">
            <w:pPr>
              <w:jc w:val="center"/>
              <w:rPr>
                <w:rFonts w:ascii="Calibri" w:hAnsi="Calibri"/>
                <w:b/>
                <w:szCs w:val="22"/>
              </w:rPr>
            </w:pPr>
          </w:p>
        </w:tc>
      </w:tr>
      <w:tr w:rsidR="004A5EA9" w:rsidRPr="00D2449B" w14:paraId="43CC8DB3" w14:textId="77777777" w:rsidTr="00901D34">
        <w:trPr>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3C77CB" w14:textId="77777777" w:rsidR="004A5EA9" w:rsidRPr="00D2449B" w:rsidRDefault="004A5EA9" w:rsidP="004A5EA9">
            <w:pPr>
              <w:jc w:val="center"/>
              <w:rPr>
                <w:rFonts w:ascii="Calibri" w:hAnsi="Calibri"/>
                <w:b/>
                <w:szCs w:val="22"/>
              </w:rPr>
            </w:pPr>
          </w:p>
        </w:tc>
      </w:tr>
      <w:tr w:rsidR="004A5EA9" w:rsidRPr="00D2449B" w14:paraId="3E517D24" w14:textId="77777777" w:rsidTr="00901D34">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64D5AF"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666341" w14:textId="564CCAF0"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901D34">
              <w:rPr>
                <w:rFonts w:ascii="Calibri" w:hAnsi="Calibri"/>
                <w:szCs w:val="22"/>
              </w:rPr>
              <w:t>2</w:t>
            </w:r>
            <w:r w:rsidR="00C0704D">
              <w:rPr>
                <w:rFonts w:ascii="Calibri" w:hAnsi="Calibri"/>
                <w:szCs w:val="22"/>
              </w:rPr>
              <w:t>/</w:t>
            </w:r>
            <w:r w:rsidR="00B31F80">
              <w:rPr>
                <w:rFonts w:ascii="Calibri" w:hAnsi="Calibri"/>
                <w:szCs w:val="22"/>
              </w:rPr>
              <w:t>0</w:t>
            </w:r>
            <w:r w:rsidR="00901D34">
              <w:rPr>
                <w:rFonts w:ascii="Calibri" w:hAnsi="Calibri"/>
                <w:szCs w:val="22"/>
              </w:rPr>
              <w:t>281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FA95CC"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115CE497" wp14:editId="33BA371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9ECA34D" w14:textId="77777777" w:rsidTr="00901D34">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3A933C"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2F57BC" w14:textId="1DC8311E" w:rsidR="004A5EA9" w:rsidRPr="00C0704D" w:rsidRDefault="00901D34"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45B991" w14:textId="77777777" w:rsidR="004A5EA9" w:rsidRPr="00D2449B" w:rsidRDefault="004A5EA9">
            <w:pPr>
              <w:rPr>
                <w:rFonts w:ascii="Calibri" w:hAnsi="Calibri"/>
                <w:szCs w:val="22"/>
              </w:rPr>
            </w:pPr>
          </w:p>
        </w:tc>
      </w:tr>
      <w:tr w:rsidR="004A5EA9" w:rsidRPr="00D2449B" w14:paraId="4DCBE146" w14:textId="77777777" w:rsidTr="00901D34">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41A095"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BA4546" w14:textId="77777777"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083C5" w14:textId="77777777" w:rsidR="004A5EA9" w:rsidRPr="00D2449B" w:rsidRDefault="004A5EA9">
            <w:pPr>
              <w:rPr>
                <w:rFonts w:ascii="Calibri" w:hAnsi="Calibri"/>
                <w:szCs w:val="22"/>
              </w:rPr>
            </w:pPr>
          </w:p>
        </w:tc>
      </w:tr>
      <w:tr w:rsidR="004A5EA9" w:rsidRPr="00D2449B" w14:paraId="0951F274" w14:textId="77777777" w:rsidTr="00901D34">
        <w:trPr>
          <w:jc w:val="center"/>
        </w:trPr>
        <w:tc>
          <w:tcPr>
            <w:tcW w:w="572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8E29ED"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EB275C"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4E2DBFAB" w14:textId="77777777" w:rsidTr="00901D34">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7CF138D"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F0B58D7" w14:textId="77777777" w:rsidTr="00901D34">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1EECD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70FF9F" w14:textId="7048371B" w:rsidR="004A5EA9" w:rsidRPr="002C6277" w:rsidRDefault="00651F53" w:rsidP="00651F53">
            <w:pPr>
              <w:jc w:val="both"/>
              <w:rPr>
                <w:rFonts w:ascii="Calibri" w:hAnsi="Calibri"/>
                <w:szCs w:val="22"/>
              </w:rPr>
            </w:pPr>
            <w:r w:rsidRPr="00651F53">
              <w:rPr>
                <w:rFonts w:ascii="Calibri" w:hAnsi="Calibri"/>
                <w:szCs w:val="22"/>
              </w:rPr>
              <w:t>Variation of S106 Agreement of planning application 3/1995/0325 and first variation 3/2000/0627. Proposed removal of the remaining occupancy restriction within the S106 to allow the property to be sold as an independent dwelling.</w:t>
            </w:r>
          </w:p>
        </w:tc>
      </w:tr>
      <w:tr w:rsidR="002A01CF" w:rsidRPr="00D2449B" w14:paraId="1A1694EA" w14:textId="77777777" w:rsidTr="00901D34">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5C2764"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6007C2" w14:textId="158F76C8" w:rsidR="002A01CF" w:rsidRPr="002C6277" w:rsidRDefault="00651F53" w:rsidP="00A42E82">
            <w:pPr>
              <w:rPr>
                <w:rFonts w:ascii="Calibri" w:hAnsi="Calibri"/>
                <w:szCs w:val="22"/>
              </w:rPr>
            </w:pPr>
            <w:r w:rsidRPr="00651F53">
              <w:rPr>
                <w:rFonts w:ascii="Calibri" w:hAnsi="Calibri"/>
                <w:szCs w:val="22"/>
              </w:rPr>
              <w:t>The Follies Bungalow Vicarage Lane Wilpshire BB1 9HY</w:t>
            </w:r>
          </w:p>
        </w:tc>
      </w:tr>
      <w:tr w:rsidR="00A95D89" w:rsidRPr="00D2449B" w14:paraId="28A36B49" w14:textId="77777777" w:rsidTr="00901D34">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F5B9D03"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639F2309" w14:textId="77777777" w:rsidTr="00901D34">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579847"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799D94"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5F49C6AD" w14:textId="77777777" w:rsidTr="00901D34">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0FFC2A" w14:textId="73943186" w:rsidR="002A01CF" w:rsidRPr="00B31F80" w:rsidRDefault="00651F53">
            <w:pPr>
              <w:rPr>
                <w:rFonts w:ascii="Calibri" w:hAnsi="Calibri"/>
                <w:szCs w:val="22"/>
              </w:rPr>
            </w:pPr>
            <w:r>
              <w:rPr>
                <w:rFonts w:ascii="Calibri" w:hAnsi="Calibri"/>
                <w:szCs w:val="22"/>
              </w:rPr>
              <w:t>No objections raised.</w:t>
            </w:r>
          </w:p>
        </w:tc>
      </w:tr>
      <w:tr w:rsidR="00C618DB" w:rsidRPr="00D2449B" w14:paraId="3C510EE3" w14:textId="77777777" w:rsidTr="00901D34">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C57B896" w14:textId="77777777" w:rsidR="00C618DB" w:rsidRPr="00D2449B" w:rsidRDefault="00C618DB">
            <w:pPr>
              <w:rPr>
                <w:rFonts w:ascii="Calibri" w:hAnsi="Calibri"/>
                <w:bCs/>
                <w:szCs w:val="22"/>
              </w:rPr>
            </w:pPr>
          </w:p>
        </w:tc>
      </w:tr>
      <w:tr w:rsidR="00C618DB" w:rsidRPr="00D2449B" w14:paraId="644D6192" w14:textId="77777777" w:rsidTr="00901D34">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B4DD61"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9D8D96"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55136FD8" w14:textId="77777777" w:rsidTr="00901D34">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A51315"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D9B577" w14:textId="77777777" w:rsidR="002A01CF" w:rsidRPr="00D2449B" w:rsidRDefault="002A01CF">
            <w:pPr>
              <w:rPr>
                <w:rFonts w:ascii="Calibri" w:hAnsi="Calibri"/>
                <w:b/>
                <w:szCs w:val="22"/>
              </w:rPr>
            </w:pPr>
          </w:p>
        </w:tc>
      </w:tr>
      <w:tr w:rsidR="00C0704D" w:rsidRPr="00D2449B" w14:paraId="286F9756" w14:textId="77777777" w:rsidTr="00901D34">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B69499" w14:textId="1F665E48" w:rsidR="00C0704D" w:rsidRPr="00C0704D" w:rsidRDefault="00C0704D" w:rsidP="00D74711">
            <w:pPr>
              <w:rPr>
                <w:rFonts w:ascii="Calibri" w:hAnsi="Calibri"/>
                <w:szCs w:val="22"/>
              </w:rPr>
            </w:pPr>
            <w:r w:rsidRPr="00C0704D">
              <w:rPr>
                <w:rFonts w:ascii="Calibri" w:hAnsi="Calibri"/>
                <w:szCs w:val="22"/>
              </w:rPr>
              <w:t xml:space="preserve">No </w:t>
            </w:r>
            <w:r w:rsidR="00651F53">
              <w:rPr>
                <w:rFonts w:ascii="Calibri" w:hAnsi="Calibri"/>
                <w:szCs w:val="22"/>
              </w:rPr>
              <w:t>objections raised.</w:t>
            </w:r>
          </w:p>
        </w:tc>
      </w:tr>
      <w:tr w:rsidR="00C0704D" w:rsidRPr="00D2449B" w14:paraId="4BB124F3" w14:textId="77777777" w:rsidTr="00901D34">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0D8B58"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A7854A"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5DEEE61D" w14:textId="77777777" w:rsidTr="00901D34">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E3598A" w14:textId="1DDAF257" w:rsidR="00C0704D" w:rsidRPr="00C0704D" w:rsidRDefault="00651F53" w:rsidP="00692B60">
            <w:pPr>
              <w:rPr>
                <w:rFonts w:ascii="Calibri" w:hAnsi="Calibri"/>
                <w:szCs w:val="22"/>
              </w:rPr>
            </w:pPr>
            <w:r>
              <w:rPr>
                <w:rFonts w:ascii="Calibri" w:hAnsi="Calibri"/>
                <w:szCs w:val="22"/>
              </w:rPr>
              <w:t>No representations received in respect of the application.</w:t>
            </w:r>
          </w:p>
        </w:tc>
      </w:tr>
      <w:tr w:rsidR="00C0704D" w:rsidRPr="00D2449B" w14:paraId="37D9580A" w14:textId="77777777" w:rsidTr="00901D34">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FEBE5A" w14:textId="77777777" w:rsidR="00C0704D" w:rsidRPr="00D2449B" w:rsidRDefault="00C0704D">
            <w:pPr>
              <w:rPr>
                <w:rFonts w:ascii="Calibri" w:hAnsi="Calibri"/>
                <w:color w:val="FF0000"/>
                <w:szCs w:val="22"/>
              </w:rPr>
            </w:pPr>
          </w:p>
        </w:tc>
      </w:tr>
      <w:tr w:rsidR="00C0704D" w:rsidRPr="00D2449B" w14:paraId="07858801" w14:textId="77777777" w:rsidTr="00901D34">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134D34"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34C435B6" w14:textId="77777777" w:rsidTr="00901D34">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BF461D"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17F68" w14:textId="77777777" w:rsidR="00C0704D" w:rsidRDefault="00C0704D" w:rsidP="00C0704D">
            <w:pPr>
              <w:rPr>
                <w:rFonts w:ascii="Calibri" w:hAnsi="Calibri"/>
                <w:b/>
                <w:szCs w:val="22"/>
              </w:rPr>
            </w:pPr>
          </w:p>
          <w:p w14:paraId="5183B567" w14:textId="77777777" w:rsidR="00D1059B" w:rsidRPr="00DD7F04" w:rsidRDefault="00D1059B" w:rsidP="00D1059B">
            <w:pPr>
              <w:rPr>
                <w:rFonts w:ascii="Calibri" w:hAnsi="Calibri"/>
                <w:bCs/>
                <w:szCs w:val="22"/>
              </w:rPr>
            </w:pPr>
            <w:r w:rsidRPr="00DD7F04">
              <w:rPr>
                <w:rFonts w:ascii="Calibri" w:hAnsi="Calibri"/>
                <w:bCs/>
                <w:szCs w:val="22"/>
              </w:rPr>
              <w:t>Key Statement DS1 – Development Strategy</w:t>
            </w:r>
          </w:p>
          <w:p w14:paraId="44D312A6" w14:textId="77777777" w:rsidR="00D1059B" w:rsidRPr="00DD7F04" w:rsidRDefault="00D1059B" w:rsidP="00D1059B">
            <w:pPr>
              <w:rPr>
                <w:rFonts w:ascii="Calibri" w:hAnsi="Calibri"/>
                <w:bCs/>
                <w:szCs w:val="22"/>
              </w:rPr>
            </w:pPr>
            <w:r w:rsidRPr="00DD7F04">
              <w:rPr>
                <w:rFonts w:ascii="Calibri" w:hAnsi="Calibri"/>
                <w:bCs/>
                <w:szCs w:val="22"/>
              </w:rPr>
              <w:t>Key Statement DS2 – Sustainable Development</w:t>
            </w:r>
          </w:p>
          <w:p w14:paraId="707F4929" w14:textId="77777777" w:rsidR="00D1059B" w:rsidRPr="00DD7F04" w:rsidRDefault="00D1059B" w:rsidP="00D1059B">
            <w:pPr>
              <w:rPr>
                <w:rFonts w:ascii="Calibri" w:hAnsi="Calibri"/>
                <w:bCs/>
                <w:szCs w:val="22"/>
              </w:rPr>
            </w:pPr>
            <w:r w:rsidRPr="00DD7F04">
              <w:rPr>
                <w:rFonts w:ascii="Calibri" w:hAnsi="Calibri"/>
                <w:bCs/>
                <w:szCs w:val="22"/>
              </w:rPr>
              <w:t>Key Statement DMI2 – Transport Considerations</w:t>
            </w:r>
          </w:p>
          <w:p w14:paraId="5E26A872" w14:textId="77777777" w:rsidR="00D1059B" w:rsidRPr="00DD7F04" w:rsidRDefault="00D1059B" w:rsidP="00D1059B">
            <w:pPr>
              <w:rPr>
                <w:rFonts w:ascii="Calibri" w:hAnsi="Calibri"/>
                <w:bCs/>
                <w:szCs w:val="22"/>
              </w:rPr>
            </w:pPr>
          </w:p>
          <w:p w14:paraId="0C1915AD" w14:textId="77777777" w:rsidR="00D1059B" w:rsidRPr="00DD7F04" w:rsidRDefault="00D1059B" w:rsidP="00D1059B">
            <w:pPr>
              <w:rPr>
                <w:rFonts w:ascii="Calibri" w:hAnsi="Calibri"/>
                <w:bCs/>
                <w:szCs w:val="22"/>
              </w:rPr>
            </w:pPr>
            <w:r w:rsidRPr="00DD7F04">
              <w:rPr>
                <w:rFonts w:ascii="Calibri" w:hAnsi="Calibri"/>
                <w:bCs/>
                <w:szCs w:val="22"/>
              </w:rPr>
              <w:t>Policy DMG1 – General Considerations</w:t>
            </w:r>
          </w:p>
          <w:p w14:paraId="396155C8" w14:textId="77777777" w:rsidR="00D1059B" w:rsidRPr="00DD7F04" w:rsidRDefault="00D1059B" w:rsidP="00D1059B">
            <w:pPr>
              <w:rPr>
                <w:rFonts w:ascii="Calibri" w:hAnsi="Calibri"/>
                <w:bCs/>
                <w:szCs w:val="22"/>
              </w:rPr>
            </w:pPr>
            <w:r w:rsidRPr="00DD7F04">
              <w:rPr>
                <w:rFonts w:ascii="Calibri" w:hAnsi="Calibri"/>
                <w:bCs/>
                <w:szCs w:val="22"/>
              </w:rPr>
              <w:t>Policy DMG2 – Strategic Considerations</w:t>
            </w:r>
          </w:p>
          <w:p w14:paraId="66249B84" w14:textId="77777777" w:rsidR="00D1059B" w:rsidRPr="00DD7F04" w:rsidRDefault="00D1059B" w:rsidP="00D1059B">
            <w:pPr>
              <w:rPr>
                <w:rFonts w:ascii="Calibri" w:hAnsi="Calibri"/>
                <w:bCs/>
                <w:szCs w:val="22"/>
              </w:rPr>
            </w:pPr>
            <w:r w:rsidRPr="00DD7F04">
              <w:rPr>
                <w:rFonts w:ascii="Calibri" w:hAnsi="Calibri"/>
                <w:bCs/>
                <w:szCs w:val="22"/>
              </w:rPr>
              <w:t>Policy DMG3 – Transport &amp; Mobility</w:t>
            </w:r>
          </w:p>
          <w:p w14:paraId="256F0A32" w14:textId="77777777" w:rsidR="00D1059B" w:rsidRPr="00DD7F04" w:rsidRDefault="00D1059B" w:rsidP="00D1059B">
            <w:pPr>
              <w:rPr>
                <w:rFonts w:ascii="Calibri" w:hAnsi="Calibri"/>
                <w:bCs/>
                <w:szCs w:val="22"/>
              </w:rPr>
            </w:pPr>
            <w:r w:rsidRPr="00DD7F04">
              <w:rPr>
                <w:rFonts w:ascii="Calibri" w:hAnsi="Calibri"/>
                <w:bCs/>
                <w:szCs w:val="22"/>
              </w:rPr>
              <w:t>Policy DMH3 – Dwellings in the Open Countryside</w:t>
            </w:r>
          </w:p>
          <w:p w14:paraId="20A5C385" w14:textId="77777777" w:rsidR="00D1059B" w:rsidRPr="00D1059B" w:rsidRDefault="00D1059B" w:rsidP="00D1059B">
            <w:pPr>
              <w:rPr>
                <w:rFonts w:ascii="Calibri" w:hAnsi="Calibri"/>
                <w:b/>
                <w:szCs w:val="22"/>
              </w:rPr>
            </w:pPr>
          </w:p>
          <w:p w14:paraId="6A5E42F9" w14:textId="124A8E3A" w:rsidR="008542DE" w:rsidRDefault="00D1059B" w:rsidP="00D1059B">
            <w:pPr>
              <w:rPr>
                <w:rFonts w:ascii="Calibri" w:hAnsi="Calibri"/>
                <w:b/>
                <w:szCs w:val="22"/>
              </w:rPr>
            </w:pPr>
            <w:r w:rsidRPr="00D1059B">
              <w:rPr>
                <w:rFonts w:ascii="Calibri" w:hAnsi="Calibri"/>
                <w:b/>
                <w:szCs w:val="22"/>
              </w:rPr>
              <w:t>National Planning Policy Framework (NPPF)</w:t>
            </w:r>
          </w:p>
          <w:p w14:paraId="474ECABB" w14:textId="738FAFF5" w:rsidR="00651F53" w:rsidRPr="00D2449B" w:rsidRDefault="00651F53" w:rsidP="00651F53">
            <w:pPr>
              <w:rPr>
                <w:rFonts w:ascii="Calibri" w:hAnsi="Calibri"/>
                <w:b/>
                <w:szCs w:val="22"/>
              </w:rPr>
            </w:pPr>
          </w:p>
        </w:tc>
      </w:tr>
      <w:tr w:rsidR="00C0704D" w:rsidRPr="00D2449B" w14:paraId="29C669D1" w14:textId="77777777" w:rsidTr="00901D34">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4D4F6C"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3EECC6F0" w14:textId="77777777" w:rsidR="00C0704D" w:rsidRDefault="00C0704D" w:rsidP="00C0704D">
            <w:pPr>
              <w:pStyle w:val="PLANNING"/>
              <w:rPr>
                <w:rFonts w:ascii="Calibri" w:hAnsi="Calibri"/>
                <w:b/>
                <w:bCs/>
                <w:szCs w:val="22"/>
              </w:rPr>
            </w:pPr>
          </w:p>
          <w:p w14:paraId="1C98C3D3" w14:textId="58469E6C" w:rsidR="00B31F80" w:rsidRPr="00A565BC" w:rsidRDefault="00B31F80" w:rsidP="00C0704D">
            <w:pPr>
              <w:pStyle w:val="PLANNING"/>
              <w:rPr>
                <w:rFonts w:ascii="Calibri" w:hAnsi="Calibri"/>
                <w:b/>
                <w:bCs/>
                <w:szCs w:val="22"/>
              </w:rPr>
            </w:pPr>
            <w:r w:rsidRPr="00A565BC">
              <w:rPr>
                <w:rFonts w:ascii="Calibri" w:hAnsi="Calibri"/>
                <w:b/>
                <w:bCs/>
                <w:szCs w:val="22"/>
              </w:rPr>
              <w:t>3/</w:t>
            </w:r>
            <w:r w:rsidR="00A565BC" w:rsidRPr="00A565BC">
              <w:rPr>
                <w:rFonts w:ascii="Calibri" w:hAnsi="Calibri"/>
                <w:b/>
                <w:bCs/>
                <w:szCs w:val="22"/>
              </w:rPr>
              <w:t>1995</w:t>
            </w:r>
            <w:r w:rsidRPr="00A565BC">
              <w:rPr>
                <w:rFonts w:ascii="Calibri" w:hAnsi="Calibri"/>
                <w:b/>
                <w:bCs/>
                <w:szCs w:val="22"/>
              </w:rPr>
              <w:t>/0</w:t>
            </w:r>
            <w:r w:rsidR="00A565BC" w:rsidRPr="00A565BC">
              <w:rPr>
                <w:rFonts w:ascii="Calibri" w:hAnsi="Calibri"/>
                <w:b/>
                <w:bCs/>
                <w:szCs w:val="22"/>
              </w:rPr>
              <w:t>325</w:t>
            </w:r>
            <w:r w:rsidRPr="00A565BC">
              <w:rPr>
                <w:rFonts w:ascii="Calibri" w:hAnsi="Calibri"/>
                <w:b/>
                <w:bCs/>
                <w:szCs w:val="22"/>
              </w:rPr>
              <w:t>:</w:t>
            </w:r>
          </w:p>
          <w:p w14:paraId="375714E7" w14:textId="03D8F18F" w:rsidR="00B31F80" w:rsidRPr="00A565BC" w:rsidRDefault="00A565BC" w:rsidP="00651F53">
            <w:pPr>
              <w:pStyle w:val="PLANNING"/>
              <w:rPr>
                <w:rFonts w:ascii="Calibri" w:hAnsi="Calibri"/>
                <w:szCs w:val="22"/>
              </w:rPr>
            </w:pPr>
            <w:r w:rsidRPr="00A565BC">
              <w:rPr>
                <w:rFonts w:ascii="Calibri" w:hAnsi="Calibri"/>
                <w:szCs w:val="22"/>
              </w:rPr>
              <w:t>Retirement Annexe.  (Approved)</w:t>
            </w:r>
          </w:p>
          <w:p w14:paraId="34B79D91" w14:textId="03249A5F" w:rsidR="00A565BC" w:rsidRPr="00A565BC" w:rsidRDefault="00A565BC" w:rsidP="00651F53">
            <w:pPr>
              <w:pStyle w:val="PLANNING"/>
              <w:rPr>
                <w:rFonts w:ascii="Calibri" w:hAnsi="Calibri"/>
                <w:b/>
                <w:bCs/>
                <w:szCs w:val="22"/>
              </w:rPr>
            </w:pPr>
          </w:p>
          <w:p w14:paraId="2E42E80F" w14:textId="489539F9" w:rsidR="00A565BC" w:rsidRPr="00A565BC" w:rsidRDefault="00A565BC" w:rsidP="00651F53">
            <w:pPr>
              <w:pStyle w:val="PLANNING"/>
              <w:rPr>
                <w:rFonts w:ascii="Calibri" w:hAnsi="Calibri"/>
                <w:b/>
                <w:bCs/>
                <w:szCs w:val="22"/>
              </w:rPr>
            </w:pPr>
            <w:r w:rsidRPr="00A565BC">
              <w:rPr>
                <w:rFonts w:ascii="Calibri" w:hAnsi="Calibri"/>
                <w:b/>
                <w:bCs/>
                <w:szCs w:val="22"/>
              </w:rPr>
              <w:t>3/2000/0627:</w:t>
            </w:r>
          </w:p>
          <w:p w14:paraId="1FDDD8B4" w14:textId="20FA2EC4" w:rsidR="00A565BC" w:rsidRPr="00A565BC" w:rsidRDefault="00A565BC" w:rsidP="00651F53">
            <w:pPr>
              <w:pStyle w:val="PLANNING"/>
              <w:rPr>
                <w:rFonts w:ascii="Calibri" w:hAnsi="Calibri"/>
                <w:szCs w:val="22"/>
              </w:rPr>
            </w:pPr>
            <w:r w:rsidRPr="00A565BC">
              <w:rPr>
                <w:rFonts w:ascii="Calibri" w:hAnsi="Calibri"/>
                <w:szCs w:val="22"/>
              </w:rPr>
              <w:t>Variation of section 106 agreement and condition 3 of 3/95/0325 to permit the bungalow to be let separately from The Follies.  (Approved)</w:t>
            </w:r>
          </w:p>
          <w:p w14:paraId="38E0EA3F" w14:textId="278752F2" w:rsidR="00A565BC" w:rsidRPr="00A565BC" w:rsidRDefault="00A565BC" w:rsidP="00651F53">
            <w:pPr>
              <w:pStyle w:val="PLANNING"/>
              <w:rPr>
                <w:rFonts w:ascii="Calibri" w:hAnsi="Calibri"/>
                <w:szCs w:val="22"/>
              </w:rPr>
            </w:pPr>
          </w:p>
          <w:p w14:paraId="0D85E283" w14:textId="6CF72B9A" w:rsidR="00A565BC" w:rsidRPr="00A565BC" w:rsidRDefault="00A565BC" w:rsidP="00651F53">
            <w:pPr>
              <w:pStyle w:val="PLANNING"/>
              <w:rPr>
                <w:rFonts w:ascii="Calibri" w:hAnsi="Calibri"/>
                <w:b/>
                <w:bCs/>
                <w:szCs w:val="22"/>
              </w:rPr>
            </w:pPr>
            <w:r w:rsidRPr="00A565BC">
              <w:rPr>
                <w:rFonts w:ascii="Calibri" w:hAnsi="Calibri"/>
                <w:b/>
                <w:bCs/>
                <w:szCs w:val="22"/>
              </w:rPr>
              <w:t>3/2003/0873:</w:t>
            </w:r>
          </w:p>
          <w:p w14:paraId="6150A549" w14:textId="576C19F9" w:rsidR="00A565BC" w:rsidRPr="00A565BC" w:rsidRDefault="00A565BC" w:rsidP="00651F53">
            <w:pPr>
              <w:pStyle w:val="PLANNING"/>
              <w:rPr>
                <w:rFonts w:ascii="Calibri" w:hAnsi="Calibri"/>
                <w:szCs w:val="22"/>
              </w:rPr>
            </w:pPr>
            <w:r w:rsidRPr="00A565BC">
              <w:rPr>
                <w:rFonts w:ascii="Calibri" w:hAnsi="Calibri"/>
                <w:szCs w:val="22"/>
              </w:rPr>
              <w:lastRenderedPageBreak/>
              <w:t>Use of building as an independent dwelling.  (Refused) (Appeal dismissed)</w:t>
            </w:r>
          </w:p>
          <w:p w14:paraId="3A60AC7F" w14:textId="197EFA5A" w:rsidR="00A565BC" w:rsidRPr="00D2449B" w:rsidRDefault="00A565BC" w:rsidP="00651F53">
            <w:pPr>
              <w:pStyle w:val="PLANNING"/>
              <w:rPr>
                <w:rFonts w:ascii="Calibri" w:hAnsi="Calibri"/>
                <w:b/>
                <w:bCs/>
                <w:szCs w:val="22"/>
              </w:rPr>
            </w:pPr>
          </w:p>
        </w:tc>
      </w:tr>
      <w:tr w:rsidR="00C0704D" w:rsidRPr="00D2449B" w14:paraId="24F142E4" w14:textId="77777777" w:rsidTr="00901D34">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BD63D0F" w14:textId="77777777" w:rsidR="00C0704D" w:rsidRPr="006A71AD" w:rsidRDefault="00C0704D" w:rsidP="006A71AD">
            <w:pPr>
              <w:pStyle w:val="PLANNING"/>
              <w:rPr>
                <w:rFonts w:ascii="Calibri" w:hAnsi="Calibri"/>
                <w:b/>
                <w:bCs/>
                <w:szCs w:val="22"/>
              </w:rPr>
            </w:pPr>
          </w:p>
        </w:tc>
      </w:tr>
      <w:tr w:rsidR="00C0704D" w:rsidRPr="00D2449B" w14:paraId="4E9B8A1A" w14:textId="77777777" w:rsidTr="00901D34">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9FE185"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276CA705" w14:textId="77777777" w:rsidTr="00901D34">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0DD8A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E3DEE10" w14:textId="77777777" w:rsidR="00C0704D" w:rsidRDefault="00C0704D" w:rsidP="00811771">
            <w:pPr>
              <w:pStyle w:val="Header"/>
              <w:tabs>
                <w:tab w:val="clear" w:pos="4153"/>
                <w:tab w:val="clear" w:pos="8306"/>
              </w:tabs>
              <w:contextualSpacing/>
              <w:jc w:val="both"/>
              <w:rPr>
                <w:rFonts w:ascii="Calibri" w:hAnsi="Calibri"/>
                <w:bCs/>
                <w:szCs w:val="22"/>
              </w:rPr>
            </w:pPr>
          </w:p>
          <w:p w14:paraId="5AFC4CED" w14:textId="6205D4F1" w:rsidR="000304A2" w:rsidRDefault="00580951" w:rsidP="00690ED4">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690ED4">
              <w:rPr>
                <w:rFonts w:ascii="Calibri" w:hAnsi="Calibri"/>
                <w:bCs/>
                <w:szCs w:val="22"/>
              </w:rPr>
              <w:t>an existing ‘annexe’ associated with The Follies off Vicarage Lane, Wilpshire.  The site is located within the defined open countryside being on land located outwith any defined settlement limits.</w:t>
            </w:r>
          </w:p>
          <w:p w14:paraId="5AE1E720" w14:textId="3F91E49E" w:rsidR="00690ED4" w:rsidRPr="006C2BFA" w:rsidRDefault="00690ED4" w:rsidP="00690ED4">
            <w:pPr>
              <w:pStyle w:val="Header"/>
              <w:tabs>
                <w:tab w:val="clear" w:pos="4153"/>
                <w:tab w:val="clear" w:pos="8306"/>
              </w:tabs>
              <w:contextualSpacing/>
              <w:jc w:val="both"/>
              <w:rPr>
                <w:rFonts w:ascii="Calibri" w:hAnsi="Calibri"/>
                <w:bCs/>
                <w:szCs w:val="22"/>
              </w:rPr>
            </w:pPr>
          </w:p>
        </w:tc>
      </w:tr>
      <w:tr w:rsidR="00901D34" w:rsidRPr="00D2449B" w14:paraId="2D7DCB2D" w14:textId="77777777" w:rsidTr="00901D34">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71749C" w14:textId="60B33B89" w:rsidR="00901D34" w:rsidRDefault="00BF2460" w:rsidP="00440CB6">
            <w:pPr>
              <w:pStyle w:val="Header"/>
              <w:tabs>
                <w:tab w:val="clear" w:pos="4153"/>
                <w:tab w:val="clear" w:pos="8306"/>
              </w:tabs>
              <w:jc w:val="both"/>
              <w:rPr>
                <w:rFonts w:ascii="Calibri" w:hAnsi="Calibri"/>
                <w:b/>
                <w:szCs w:val="22"/>
              </w:rPr>
            </w:pPr>
            <w:r>
              <w:rPr>
                <w:rFonts w:ascii="Calibri" w:hAnsi="Calibri"/>
                <w:b/>
                <w:szCs w:val="22"/>
              </w:rPr>
              <w:t>Principle of development:</w:t>
            </w:r>
          </w:p>
          <w:p w14:paraId="56FFF2A0" w14:textId="7D428672" w:rsidR="00BF2460" w:rsidRDefault="00BF2460" w:rsidP="00440CB6">
            <w:pPr>
              <w:pStyle w:val="Header"/>
              <w:tabs>
                <w:tab w:val="clear" w:pos="4153"/>
                <w:tab w:val="clear" w:pos="8306"/>
              </w:tabs>
              <w:jc w:val="both"/>
              <w:rPr>
                <w:rFonts w:ascii="Calibri" w:hAnsi="Calibri"/>
                <w:b/>
                <w:szCs w:val="22"/>
              </w:rPr>
            </w:pPr>
          </w:p>
          <w:p w14:paraId="7C2CB800" w14:textId="3A6E7927" w:rsidR="00A11BCC" w:rsidRPr="00A11BCC" w:rsidRDefault="00A11BCC" w:rsidP="00440CB6">
            <w:pPr>
              <w:pStyle w:val="Header"/>
              <w:tabs>
                <w:tab w:val="clear" w:pos="4153"/>
                <w:tab w:val="clear" w:pos="8306"/>
              </w:tabs>
              <w:jc w:val="both"/>
              <w:rPr>
                <w:rFonts w:ascii="Calibri" w:hAnsi="Calibri"/>
                <w:bCs/>
                <w:szCs w:val="22"/>
              </w:rPr>
            </w:pPr>
            <w:r w:rsidRPr="00A11BCC">
              <w:rPr>
                <w:rFonts w:ascii="Calibri" w:hAnsi="Calibri"/>
                <w:bCs/>
                <w:szCs w:val="22"/>
              </w:rPr>
              <w:t>The application seeks to vary the section 106 agreement relating to ‘The Follies’ Vicarage Lane Wilpshire.  The submitted details propose the removal of the restriction that precludes the ability for the ‘annexe’ to be sold off independently from that of the primary dwelling to which it relates.</w:t>
            </w:r>
          </w:p>
          <w:p w14:paraId="25A5ACF4" w14:textId="77777777" w:rsidR="00A11BCC" w:rsidRDefault="00A11BCC" w:rsidP="00440CB6">
            <w:pPr>
              <w:pStyle w:val="Header"/>
              <w:tabs>
                <w:tab w:val="clear" w:pos="4153"/>
                <w:tab w:val="clear" w:pos="8306"/>
              </w:tabs>
              <w:jc w:val="both"/>
              <w:rPr>
                <w:rFonts w:ascii="Calibri" w:hAnsi="Calibri"/>
                <w:b/>
                <w:szCs w:val="22"/>
              </w:rPr>
            </w:pPr>
          </w:p>
          <w:p w14:paraId="42F64DB8" w14:textId="6D920ED8" w:rsidR="00BF2460" w:rsidRPr="00BF2460" w:rsidRDefault="00BF2460" w:rsidP="00440CB6">
            <w:pPr>
              <w:pStyle w:val="Header"/>
              <w:tabs>
                <w:tab w:val="clear" w:pos="4153"/>
                <w:tab w:val="clear" w:pos="8306"/>
              </w:tabs>
              <w:jc w:val="both"/>
              <w:rPr>
                <w:rFonts w:ascii="Calibri" w:hAnsi="Calibri"/>
                <w:bCs/>
                <w:szCs w:val="22"/>
              </w:rPr>
            </w:pPr>
            <w:r>
              <w:rPr>
                <w:rFonts w:ascii="Calibri" w:hAnsi="Calibri"/>
                <w:bCs/>
                <w:szCs w:val="22"/>
              </w:rPr>
              <w:t>In this respect s</w:t>
            </w:r>
            <w:r w:rsidRPr="00BF2460">
              <w:rPr>
                <w:rFonts w:ascii="Calibri" w:hAnsi="Calibri"/>
                <w:bCs/>
                <w:szCs w:val="22"/>
              </w:rPr>
              <w:t>ection 106A (Modification and discharge of planning obligations) of the Town and Country planning Act (1990) states the following:</w:t>
            </w:r>
          </w:p>
          <w:p w14:paraId="336B74C8" w14:textId="77777777" w:rsidR="00BF2460" w:rsidRPr="00BF2460" w:rsidRDefault="00BF2460" w:rsidP="00440CB6">
            <w:pPr>
              <w:pStyle w:val="Header"/>
              <w:tabs>
                <w:tab w:val="clear" w:pos="4153"/>
                <w:tab w:val="clear" w:pos="8306"/>
              </w:tabs>
              <w:jc w:val="both"/>
              <w:rPr>
                <w:rFonts w:ascii="Calibri" w:hAnsi="Calibri"/>
                <w:bCs/>
                <w:szCs w:val="22"/>
              </w:rPr>
            </w:pPr>
          </w:p>
          <w:p w14:paraId="6500E9C7" w14:textId="7CAC6C77" w:rsidR="00901D34" w:rsidRPr="00BF2460" w:rsidRDefault="00BF2460" w:rsidP="00901D34">
            <w:pPr>
              <w:pStyle w:val="Header"/>
              <w:jc w:val="both"/>
              <w:rPr>
                <w:rFonts w:ascii="Calibri" w:hAnsi="Calibri"/>
                <w:bCs/>
                <w:i/>
                <w:iCs/>
                <w:szCs w:val="22"/>
              </w:rPr>
            </w:pPr>
            <w:r w:rsidRPr="00BF2460">
              <w:rPr>
                <w:rFonts w:ascii="Calibri" w:hAnsi="Calibri"/>
                <w:bCs/>
                <w:i/>
                <w:iCs/>
                <w:szCs w:val="22"/>
              </w:rPr>
              <w:t xml:space="preserve">106A </w:t>
            </w:r>
            <w:r w:rsidR="00901D34" w:rsidRPr="00BF2460">
              <w:rPr>
                <w:rFonts w:ascii="Calibri" w:hAnsi="Calibri"/>
                <w:bCs/>
                <w:i/>
                <w:iCs/>
                <w:szCs w:val="22"/>
              </w:rPr>
              <w:t>(6</w:t>
            </w:r>
            <w:r w:rsidRPr="00BF2460">
              <w:rPr>
                <w:rFonts w:ascii="Calibri" w:hAnsi="Calibri"/>
                <w:bCs/>
                <w:i/>
                <w:iCs/>
                <w:szCs w:val="22"/>
              </w:rPr>
              <w:t xml:space="preserve">) </w:t>
            </w:r>
            <w:r w:rsidR="00901D34" w:rsidRPr="00BF2460">
              <w:rPr>
                <w:rFonts w:ascii="Calibri" w:hAnsi="Calibri"/>
                <w:bCs/>
                <w:i/>
                <w:iCs/>
                <w:szCs w:val="22"/>
              </w:rPr>
              <w:t>Where an application is made to an authority under subsection (3), the authority may determine</w:t>
            </w:r>
          </w:p>
          <w:p w14:paraId="760A3B3A" w14:textId="77777777" w:rsidR="00BF2460" w:rsidRPr="00BF2460" w:rsidRDefault="00BF2460" w:rsidP="00901D34">
            <w:pPr>
              <w:pStyle w:val="Header"/>
              <w:jc w:val="both"/>
              <w:rPr>
                <w:rFonts w:ascii="Calibri" w:hAnsi="Calibri"/>
                <w:bCs/>
                <w:i/>
                <w:iCs/>
                <w:szCs w:val="22"/>
              </w:rPr>
            </w:pPr>
          </w:p>
          <w:p w14:paraId="4D62F699" w14:textId="77777777" w:rsidR="00BF2460" w:rsidRPr="00BF2460" w:rsidRDefault="00901D34" w:rsidP="00901D34">
            <w:pPr>
              <w:pStyle w:val="Header"/>
              <w:numPr>
                <w:ilvl w:val="0"/>
                <w:numId w:val="2"/>
              </w:numPr>
              <w:jc w:val="both"/>
              <w:rPr>
                <w:rFonts w:ascii="Calibri" w:hAnsi="Calibri"/>
                <w:bCs/>
                <w:i/>
                <w:iCs/>
                <w:szCs w:val="22"/>
              </w:rPr>
            </w:pPr>
            <w:r w:rsidRPr="00BF2460">
              <w:rPr>
                <w:rFonts w:ascii="Calibri" w:hAnsi="Calibri"/>
                <w:bCs/>
                <w:i/>
                <w:iCs/>
                <w:szCs w:val="22"/>
              </w:rPr>
              <w:t>that the planning obligation shall continue to have effect without modification;</w:t>
            </w:r>
          </w:p>
          <w:p w14:paraId="18F5B688" w14:textId="77777777" w:rsidR="00BF2460" w:rsidRPr="00BF2460" w:rsidRDefault="00901D34" w:rsidP="00901D34">
            <w:pPr>
              <w:pStyle w:val="Header"/>
              <w:numPr>
                <w:ilvl w:val="0"/>
                <w:numId w:val="2"/>
              </w:numPr>
              <w:jc w:val="both"/>
              <w:rPr>
                <w:rFonts w:ascii="Calibri" w:hAnsi="Calibri"/>
                <w:bCs/>
                <w:i/>
                <w:iCs/>
                <w:szCs w:val="22"/>
              </w:rPr>
            </w:pPr>
            <w:r w:rsidRPr="00BF2460">
              <w:rPr>
                <w:rFonts w:ascii="Calibri" w:hAnsi="Calibri"/>
                <w:bCs/>
                <w:i/>
                <w:iCs/>
                <w:szCs w:val="22"/>
              </w:rPr>
              <w:t>if the obligation no longer serves a useful purpose, that it shall be discharged; or</w:t>
            </w:r>
          </w:p>
          <w:p w14:paraId="3E85EC42" w14:textId="25684A1D" w:rsidR="00901D34" w:rsidRPr="00BF2460" w:rsidRDefault="00901D34" w:rsidP="00901D34">
            <w:pPr>
              <w:pStyle w:val="Header"/>
              <w:numPr>
                <w:ilvl w:val="0"/>
                <w:numId w:val="2"/>
              </w:numPr>
              <w:jc w:val="both"/>
              <w:rPr>
                <w:rFonts w:ascii="Calibri" w:hAnsi="Calibri"/>
                <w:bCs/>
                <w:i/>
                <w:iCs/>
                <w:szCs w:val="22"/>
              </w:rPr>
            </w:pPr>
            <w:r w:rsidRPr="00BF2460">
              <w:rPr>
                <w:rFonts w:ascii="Calibri" w:hAnsi="Calibri"/>
                <w:bCs/>
                <w:i/>
                <w:iCs/>
                <w:szCs w:val="22"/>
              </w:rPr>
              <w:t>if the obligation continues to serve a useful purpose, but would serve that purpose equally well if it had effect subject to the modifications specified in the application, that it shall have effect subject to those modifications</w:t>
            </w:r>
          </w:p>
          <w:p w14:paraId="2CEFF1AF" w14:textId="2F0E96E1" w:rsidR="00BF2460" w:rsidRDefault="00BF2460" w:rsidP="00BF2460">
            <w:pPr>
              <w:pStyle w:val="Header"/>
              <w:jc w:val="both"/>
              <w:rPr>
                <w:rFonts w:ascii="Calibri" w:hAnsi="Calibri"/>
                <w:b/>
                <w:szCs w:val="22"/>
              </w:rPr>
            </w:pPr>
          </w:p>
          <w:p w14:paraId="0A1ADFB5" w14:textId="77777777" w:rsidR="00651F53" w:rsidRPr="00651F53" w:rsidRDefault="00651F53" w:rsidP="00651F53">
            <w:pPr>
              <w:pStyle w:val="Header"/>
              <w:tabs>
                <w:tab w:val="clear" w:pos="4153"/>
                <w:tab w:val="clear" w:pos="8306"/>
              </w:tabs>
              <w:jc w:val="both"/>
              <w:rPr>
                <w:rFonts w:ascii="Calibri" w:hAnsi="Calibri"/>
                <w:bCs/>
                <w:szCs w:val="22"/>
              </w:rPr>
            </w:pPr>
            <w:r w:rsidRPr="00651F53">
              <w:rPr>
                <w:rFonts w:ascii="Calibri" w:hAnsi="Calibri"/>
                <w:bCs/>
                <w:szCs w:val="22"/>
              </w:rPr>
              <w:t>Consent for the ‘annexe’ was granted in 1995 (3/1995/0325) with an associated section 106 agreement that limited occupation of the building to that which would be considered ancillary to the primary household with an additional restriction that precluded the ability for the ‘annexe’ to be sold separately in independently of the primary household.</w:t>
            </w:r>
          </w:p>
          <w:p w14:paraId="4404E55E" w14:textId="77777777" w:rsidR="00651F53" w:rsidRPr="00651F53" w:rsidRDefault="00651F53" w:rsidP="00651F53">
            <w:pPr>
              <w:pStyle w:val="Header"/>
              <w:tabs>
                <w:tab w:val="clear" w:pos="4153"/>
                <w:tab w:val="clear" w:pos="8306"/>
              </w:tabs>
              <w:jc w:val="both"/>
              <w:rPr>
                <w:rFonts w:ascii="Calibri" w:hAnsi="Calibri"/>
                <w:bCs/>
                <w:szCs w:val="22"/>
              </w:rPr>
            </w:pPr>
          </w:p>
          <w:p w14:paraId="0AE00CFC" w14:textId="77777777" w:rsidR="00651F53" w:rsidRDefault="00651F53" w:rsidP="00651F53">
            <w:pPr>
              <w:pStyle w:val="Header"/>
              <w:tabs>
                <w:tab w:val="clear" w:pos="4153"/>
                <w:tab w:val="clear" w:pos="8306"/>
              </w:tabs>
              <w:jc w:val="both"/>
              <w:rPr>
                <w:rFonts w:ascii="Calibri" w:hAnsi="Calibri"/>
                <w:b/>
                <w:szCs w:val="22"/>
              </w:rPr>
            </w:pPr>
            <w:r w:rsidRPr="00651F53">
              <w:rPr>
                <w:rFonts w:ascii="Calibri" w:hAnsi="Calibri"/>
                <w:bCs/>
                <w:szCs w:val="22"/>
              </w:rPr>
              <w:t>A subsequent variation to this agreement was granted in November 2000 (3/2000/0627) which allowed for the removal of the sub-letting restriction allowing for the property to be let to individuals not related to or functionally associated with the primary household</w:t>
            </w:r>
            <w:r>
              <w:rPr>
                <w:rFonts w:ascii="Calibri" w:hAnsi="Calibri"/>
                <w:b/>
                <w:szCs w:val="22"/>
              </w:rPr>
              <w:t>.</w:t>
            </w:r>
          </w:p>
          <w:p w14:paraId="3E60293D" w14:textId="77777777" w:rsidR="00651F53" w:rsidRDefault="00651F53" w:rsidP="00BF2460">
            <w:pPr>
              <w:pStyle w:val="Header"/>
              <w:jc w:val="both"/>
              <w:rPr>
                <w:rFonts w:ascii="Calibri" w:hAnsi="Calibri"/>
                <w:b/>
                <w:szCs w:val="22"/>
              </w:rPr>
            </w:pPr>
          </w:p>
          <w:p w14:paraId="2ACFCEBA" w14:textId="4242E267" w:rsidR="003A3E04" w:rsidRPr="000B5BD3" w:rsidRDefault="00887F7D" w:rsidP="00BF2460">
            <w:pPr>
              <w:pStyle w:val="Header"/>
              <w:jc w:val="both"/>
              <w:rPr>
                <w:rFonts w:ascii="Calibri" w:hAnsi="Calibri"/>
                <w:bCs/>
                <w:szCs w:val="22"/>
              </w:rPr>
            </w:pPr>
            <w:r w:rsidRPr="000B5BD3">
              <w:rPr>
                <w:rFonts w:ascii="Calibri" w:hAnsi="Calibri"/>
                <w:bCs/>
                <w:szCs w:val="22"/>
              </w:rPr>
              <w:t xml:space="preserve">In respect of the above matter, the granting of the variation of the section 106 agreement, pursuant to consent 3/2000/0627 allowed the ‘annexe’ to be sub-let to and occupied by individuals not directly related to the occupants of the primary dwelling know as </w:t>
            </w:r>
            <w:r w:rsidR="003A3E04" w:rsidRPr="000B5BD3">
              <w:rPr>
                <w:rFonts w:ascii="Calibri" w:hAnsi="Calibri"/>
                <w:bCs/>
                <w:szCs w:val="22"/>
              </w:rPr>
              <w:t>‘The Follies’.  As such, the controlling mechanisms that would limit the use of the property to solely that of an ‘annexe’ were in effect removed</w:t>
            </w:r>
            <w:r w:rsidR="00651F53">
              <w:rPr>
                <w:rFonts w:ascii="Calibri" w:hAnsi="Calibri"/>
                <w:bCs/>
                <w:szCs w:val="22"/>
              </w:rPr>
              <w:t xml:space="preserve">, </w:t>
            </w:r>
            <w:r w:rsidR="003A3E04" w:rsidRPr="000B5BD3">
              <w:rPr>
                <w:rFonts w:ascii="Calibri" w:hAnsi="Calibri"/>
                <w:bCs/>
                <w:szCs w:val="22"/>
              </w:rPr>
              <w:t xml:space="preserve">with the only controlling mechanism remaining engaged being that which precludes the ability for the ‘annexe’ to be sold off separately </w:t>
            </w:r>
            <w:r w:rsidR="000B5BD3" w:rsidRPr="000B5BD3">
              <w:rPr>
                <w:rFonts w:ascii="Calibri" w:hAnsi="Calibri"/>
                <w:bCs/>
                <w:szCs w:val="22"/>
              </w:rPr>
              <w:t>from the primary dwelling.</w:t>
            </w:r>
          </w:p>
          <w:p w14:paraId="1E9899A3" w14:textId="5F4AD682" w:rsidR="000B5BD3" w:rsidRDefault="000B5BD3" w:rsidP="00BF2460">
            <w:pPr>
              <w:pStyle w:val="Header"/>
              <w:jc w:val="both"/>
              <w:rPr>
                <w:rFonts w:ascii="Calibri" w:hAnsi="Calibri"/>
                <w:b/>
                <w:szCs w:val="22"/>
              </w:rPr>
            </w:pPr>
          </w:p>
          <w:p w14:paraId="1FFFE551" w14:textId="52D13C61" w:rsidR="000B5BD3" w:rsidRPr="00A11BCC" w:rsidRDefault="000B5BD3" w:rsidP="00BF2460">
            <w:pPr>
              <w:pStyle w:val="Header"/>
              <w:jc w:val="both"/>
              <w:rPr>
                <w:rFonts w:ascii="Calibri" w:hAnsi="Calibri"/>
                <w:bCs/>
                <w:szCs w:val="22"/>
              </w:rPr>
            </w:pPr>
            <w:r w:rsidRPr="00A11BCC">
              <w:rPr>
                <w:rFonts w:ascii="Calibri" w:hAnsi="Calibri"/>
                <w:bCs/>
                <w:szCs w:val="22"/>
              </w:rPr>
              <w:t xml:space="preserve">The permitting of the sub-letting of the ‘annex’ to individuals not directly related to the occupants of the main dwelling would, in my opinion, constitute a change of use </w:t>
            </w:r>
            <w:r w:rsidR="00651F53">
              <w:rPr>
                <w:rFonts w:ascii="Calibri" w:hAnsi="Calibri"/>
                <w:bCs/>
                <w:szCs w:val="22"/>
              </w:rPr>
              <w:t xml:space="preserve">of the ‘annexe’ </w:t>
            </w:r>
            <w:r w:rsidRPr="00A11BCC">
              <w:rPr>
                <w:rFonts w:ascii="Calibri" w:hAnsi="Calibri"/>
                <w:bCs/>
                <w:szCs w:val="22"/>
              </w:rPr>
              <w:t xml:space="preserve">to that of an independent </w:t>
            </w:r>
            <w:r w:rsidR="00651F53">
              <w:rPr>
                <w:rFonts w:ascii="Calibri" w:hAnsi="Calibri"/>
                <w:bCs/>
                <w:szCs w:val="22"/>
              </w:rPr>
              <w:t>residential p</w:t>
            </w:r>
            <w:r w:rsidR="00651F53" w:rsidRPr="00A11BCC">
              <w:rPr>
                <w:rFonts w:ascii="Calibri" w:hAnsi="Calibri"/>
                <w:bCs/>
                <w:szCs w:val="22"/>
              </w:rPr>
              <w:t>lanning</w:t>
            </w:r>
            <w:r w:rsidRPr="00A11BCC">
              <w:rPr>
                <w:rFonts w:ascii="Calibri" w:hAnsi="Calibri"/>
                <w:bCs/>
                <w:szCs w:val="22"/>
              </w:rPr>
              <w:t xml:space="preserve"> unit, particularly insofar that it could no longer be reasonably considered ‘ancillary’ to the primary household.  </w:t>
            </w:r>
          </w:p>
          <w:p w14:paraId="0D02D76B" w14:textId="77777777" w:rsidR="000B5BD3" w:rsidRPr="00A11BCC" w:rsidRDefault="000B5BD3" w:rsidP="00BF2460">
            <w:pPr>
              <w:pStyle w:val="Header"/>
              <w:jc w:val="both"/>
              <w:rPr>
                <w:rFonts w:ascii="Calibri" w:hAnsi="Calibri"/>
                <w:bCs/>
                <w:szCs w:val="22"/>
              </w:rPr>
            </w:pPr>
          </w:p>
          <w:p w14:paraId="24481EF8" w14:textId="77777777" w:rsidR="00DD7F04" w:rsidRDefault="000B5BD3" w:rsidP="00BF2460">
            <w:pPr>
              <w:pStyle w:val="Header"/>
              <w:jc w:val="both"/>
              <w:rPr>
                <w:rFonts w:ascii="Calibri" w:hAnsi="Calibri"/>
                <w:bCs/>
                <w:szCs w:val="22"/>
              </w:rPr>
            </w:pPr>
            <w:r w:rsidRPr="00A11BCC">
              <w:rPr>
                <w:rFonts w:ascii="Calibri" w:hAnsi="Calibri"/>
                <w:bCs/>
                <w:szCs w:val="22"/>
              </w:rPr>
              <w:t>As such, the granting of the variation to the original section 106 agreement pursuant to 3/2000/0627 has precluded the ability for the authority to ensure its occupation is ancillary to the primary household in any case.  As such, it is not considered that the proposal to vary the existing section 1906 agreement</w:t>
            </w:r>
            <w:r w:rsidR="00A11BCC" w:rsidRPr="00A11BCC">
              <w:rPr>
                <w:rFonts w:ascii="Calibri" w:hAnsi="Calibri"/>
                <w:bCs/>
                <w:szCs w:val="22"/>
              </w:rPr>
              <w:t xml:space="preserve">, </w:t>
            </w:r>
            <w:r w:rsidR="00A11BCC" w:rsidRPr="00A11BCC">
              <w:rPr>
                <w:rFonts w:ascii="Calibri" w:hAnsi="Calibri"/>
                <w:bCs/>
                <w:szCs w:val="22"/>
              </w:rPr>
              <w:lastRenderedPageBreak/>
              <w:t xml:space="preserve">to allow for the ‘annexe’ to be sold of separately, </w:t>
            </w:r>
            <w:r w:rsidRPr="00A11BCC">
              <w:rPr>
                <w:rFonts w:ascii="Calibri" w:hAnsi="Calibri"/>
                <w:bCs/>
                <w:szCs w:val="22"/>
              </w:rPr>
              <w:t xml:space="preserve">would result in any additional harm over and above that which </w:t>
            </w:r>
            <w:r w:rsidR="00A11BCC" w:rsidRPr="00A11BCC">
              <w:rPr>
                <w:rFonts w:ascii="Calibri" w:hAnsi="Calibri"/>
                <w:bCs/>
                <w:szCs w:val="22"/>
              </w:rPr>
              <w:t>was resultant from the granting of the variation</w:t>
            </w:r>
            <w:r w:rsidR="00651F53">
              <w:rPr>
                <w:rFonts w:ascii="Calibri" w:hAnsi="Calibri"/>
                <w:bCs/>
                <w:szCs w:val="22"/>
              </w:rPr>
              <w:t xml:space="preserve"> to the original section 106 agreement</w:t>
            </w:r>
            <w:r w:rsidR="00A11BCC" w:rsidRPr="00A11BCC">
              <w:rPr>
                <w:rFonts w:ascii="Calibri" w:hAnsi="Calibri"/>
                <w:bCs/>
                <w:szCs w:val="22"/>
              </w:rPr>
              <w:t>.</w:t>
            </w:r>
            <w:r w:rsidR="00DD7F04">
              <w:rPr>
                <w:rFonts w:ascii="Calibri" w:hAnsi="Calibri"/>
                <w:bCs/>
                <w:szCs w:val="22"/>
              </w:rPr>
              <w:t xml:space="preserve">  </w:t>
            </w:r>
          </w:p>
          <w:p w14:paraId="025D2C7D" w14:textId="77777777" w:rsidR="00DD7F04" w:rsidRDefault="00DD7F04" w:rsidP="00BF2460">
            <w:pPr>
              <w:pStyle w:val="Header"/>
              <w:jc w:val="both"/>
              <w:rPr>
                <w:rFonts w:ascii="Calibri" w:hAnsi="Calibri"/>
                <w:bCs/>
                <w:szCs w:val="22"/>
              </w:rPr>
            </w:pPr>
          </w:p>
          <w:p w14:paraId="55142054" w14:textId="41C64CA6" w:rsidR="000B5BD3" w:rsidRPr="00A11BCC" w:rsidRDefault="00DD7F04" w:rsidP="00BF2460">
            <w:pPr>
              <w:pStyle w:val="Header"/>
              <w:jc w:val="both"/>
              <w:rPr>
                <w:rFonts w:ascii="Calibri" w:hAnsi="Calibri"/>
                <w:bCs/>
                <w:szCs w:val="22"/>
              </w:rPr>
            </w:pPr>
            <w:r>
              <w:rPr>
                <w:rFonts w:ascii="Calibri" w:hAnsi="Calibri"/>
                <w:bCs/>
                <w:szCs w:val="22"/>
              </w:rPr>
              <w:t xml:space="preserve">As such, it is not considered that the proposal need be assessed for direct conflict with </w:t>
            </w:r>
            <w:r w:rsidRPr="00DD7F04">
              <w:rPr>
                <w:rFonts w:ascii="Calibri" w:hAnsi="Calibri"/>
                <w:bCs/>
                <w:szCs w:val="22"/>
              </w:rPr>
              <w:t>Key Statements DS1, DS2, and Policies DMG2</w:t>
            </w:r>
            <w:r>
              <w:rPr>
                <w:rFonts w:ascii="Calibri" w:hAnsi="Calibri"/>
                <w:bCs/>
                <w:szCs w:val="22"/>
              </w:rPr>
              <w:t xml:space="preserve">, DMG3 </w:t>
            </w:r>
            <w:r w:rsidRPr="00DD7F04">
              <w:rPr>
                <w:rFonts w:ascii="Calibri" w:hAnsi="Calibri"/>
                <w:bCs/>
                <w:szCs w:val="22"/>
              </w:rPr>
              <w:t>and DMH3 of the Ribble Valley Core Strategy</w:t>
            </w:r>
            <w:r>
              <w:rPr>
                <w:rFonts w:ascii="Calibri" w:hAnsi="Calibri"/>
                <w:bCs/>
                <w:szCs w:val="22"/>
              </w:rPr>
              <w:t xml:space="preserve"> insofar that the granting of consent 3/2000/0627 allowed for the occupation of the ‘annexe’ as an independent residential planning unit in any case.</w:t>
            </w:r>
          </w:p>
          <w:p w14:paraId="36BD9902" w14:textId="22A3A34B" w:rsidR="00A11BCC" w:rsidRPr="00A11BCC" w:rsidRDefault="00A11BCC" w:rsidP="00BF2460">
            <w:pPr>
              <w:pStyle w:val="Header"/>
              <w:jc w:val="both"/>
              <w:rPr>
                <w:rFonts w:ascii="Calibri" w:hAnsi="Calibri"/>
                <w:bCs/>
                <w:szCs w:val="22"/>
              </w:rPr>
            </w:pPr>
          </w:p>
          <w:p w14:paraId="7ABC3C40" w14:textId="6334F1F0" w:rsidR="00A11BCC" w:rsidRPr="00A11BCC" w:rsidRDefault="00DD7F04" w:rsidP="00BF2460">
            <w:pPr>
              <w:pStyle w:val="Header"/>
              <w:jc w:val="both"/>
              <w:rPr>
                <w:rFonts w:ascii="Calibri" w:hAnsi="Calibri"/>
                <w:bCs/>
                <w:szCs w:val="22"/>
              </w:rPr>
            </w:pPr>
            <w:r>
              <w:rPr>
                <w:rFonts w:ascii="Calibri" w:hAnsi="Calibri"/>
                <w:bCs/>
                <w:szCs w:val="22"/>
              </w:rPr>
              <w:t>Taking account of the above</w:t>
            </w:r>
            <w:r w:rsidR="00A11BCC" w:rsidRPr="00A11BCC">
              <w:rPr>
                <w:rFonts w:ascii="Calibri" w:hAnsi="Calibri"/>
                <w:bCs/>
                <w:szCs w:val="22"/>
              </w:rPr>
              <w:t xml:space="preserve"> and taking account of the provisions of section 106A (6) (B) of the </w:t>
            </w:r>
            <w:r w:rsidR="00A11BCC" w:rsidRPr="00A11BCC">
              <w:rPr>
                <w:rFonts w:asciiTheme="minorHAnsi" w:hAnsiTheme="minorHAnsi"/>
                <w:bCs/>
                <w:szCs w:val="22"/>
              </w:rPr>
              <w:t>Town and Country Planning Act (1990), it is considered that the existing agreement no longer serves a useful purpose and therefore should be considered to be discharged.</w:t>
            </w:r>
          </w:p>
          <w:p w14:paraId="375E08A1" w14:textId="12937897" w:rsidR="00901D34" w:rsidRDefault="00901D34" w:rsidP="00440CB6">
            <w:pPr>
              <w:pStyle w:val="Header"/>
              <w:tabs>
                <w:tab w:val="clear" w:pos="4153"/>
                <w:tab w:val="clear" w:pos="8306"/>
              </w:tabs>
              <w:jc w:val="both"/>
              <w:rPr>
                <w:rFonts w:ascii="Calibri" w:hAnsi="Calibri"/>
                <w:b/>
                <w:szCs w:val="22"/>
              </w:rPr>
            </w:pPr>
          </w:p>
        </w:tc>
      </w:tr>
      <w:tr w:rsidR="00C0704D" w:rsidRPr="00D2449B" w14:paraId="14E669F8" w14:textId="77777777" w:rsidTr="00901D34">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1BF41E"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4770F94A" w14:textId="77777777" w:rsidR="00C0704D" w:rsidRPr="00DD62F6" w:rsidRDefault="00C0704D" w:rsidP="00DD62F6">
            <w:pPr>
              <w:contextualSpacing/>
              <w:rPr>
                <w:rFonts w:ascii="Calibri" w:hAnsi="Calibri"/>
                <w:bCs/>
                <w:color w:val="548DD4" w:themeColor="text2" w:themeTint="99"/>
                <w:szCs w:val="22"/>
              </w:rPr>
            </w:pPr>
          </w:p>
          <w:p w14:paraId="54187648" w14:textId="7AFC8B2E"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w:t>
            </w:r>
            <w:r w:rsidR="00B31F80" w:rsidRPr="00B31F80">
              <w:rPr>
                <w:rFonts w:ascii="Calibri" w:hAnsi="Calibri"/>
                <w:bCs/>
                <w:szCs w:val="22"/>
              </w:rPr>
              <w:t xml:space="preserve">the application </w:t>
            </w:r>
            <w:r w:rsidR="00BF2460">
              <w:rPr>
                <w:rFonts w:ascii="Calibri" w:hAnsi="Calibri"/>
                <w:bCs/>
                <w:szCs w:val="22"/>
              </w:rPr>
              <w:t xml:space="preserve">for the variation to the section 106 agreement </w:t>
            </w:r>
            <w:r w:rsidR="00B31F80" w:rsidRPr="00B31F80">
              <w:rPr>
                <w:rFonts w:ascii="Calibri" w:hAnsi="Calibri"/>
                <w:bCs/>
                <w:szCs w:val="22"/>
              </w:rPr>
              <w:t>is recommended for approval.</w:t>
            </w:r>
          </w:p>
          <w:p w14:paraId="497E7F4C"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3FABBF99" w14:textId="77777777" w:rsidTr="00901D34">
        <w:trPr>
          <w:jc w:val="center"/>
        </w:trPr>
        <w:tc>
          <w:tcPr>
            <w:tcW w:w="21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7BFD06"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A6B648" w14:textId="63F25CBC" w:rsidR="00C0704D" w:rsidRPr="00D2449B" w:rsidRDefault="00C0704D" w:rsidP="00CD2CEF">
            <w:pPr>
              <w:rPr>
                <w:rFonts w:ascii="Calibri" w:hAnsi="Calibri"/>
                <w:bCs/>
                <w:szCs w:val="22"/>
              </w:rPr>
            </w:pPr>
            <w:r w:rsidRPr="008E0D46">
              <w:rPr>
                <w:rFonts w:asciiTheme="minorHAnsi" w:hAnsiTheme="minorHAnsi"/>
                <w:bCs/>
                <w:szCs w:val="22"/>
              </w:rPr>
              <w:t xml:space="preserve">That </w:t>
            </w:r>
            <w:r w:rsidR="00901D34">
              <w:rPr>
                <w:rFonts w:asciiTheme="minorHAnsi" w:hAnsiTheme="minorHAnsi"/>
                <w:bCs/>
                <w:szCs w:val="22"/>
              </w:rPr>
              <w:t>the variation to the S106 Agreement</w:t>
            </w:r>
            <w:r w:rsidRPr="008E0D46">
              <w:rPr>
                <w:rFonts w:asciiTheme="minorHAnsi" w:hAnsiTheme="minorHAnsi"/>
                <w:bCs/>
                <w:szCs w:val="22"/>
              </w:rPr>
              <w:t xml:space="preserve"> be granted</w:t>
            </w:r>
            <w:r w:rsidR="00B31F80">
              <w:rPr>
                <w:rFonts w:asciiTheme="minorHAnsi" w:hAnsiTheme="minorHAnsi"/>
                <w:bCs/>
                <w:szCs w:val="22"/>
              </w:rPr>
              <w:t xml:space="preserve"> subject to the imposition of </w:t>
            </w:r>
            <w:r w:rsidR="00901D34">
              <w:rPr>
                <w:rFonts w:asciiTheme="minorHAnsi" w:hAnsiTheme="minorHAnsi"/>
                <w:bCs/>
                <w:szCs w:val="22"/>
              </w:rPr>
              <w:t>the following condition.</w:t>
            </w:r>
          </w:p>
        </w:tc>
      </w:tr>
      <w:tr w:rsidR="00BF2460" w:rsidRPr="00D2449B" w14:paraId="0E11A832" w14:textId="77777777" w:rsidTr="00BF2460">
        <w:trPr>
          <w:jc w:val="center"/>
        </w:trPr>
        <w:tc>
          <w:tcPr>
            <w:tcW w:w="9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DEB4A6" w14:textId="77777777" w:rsidR="00BF2460" w:rsidRDefault="00BF2460" w:rsidP="00BF2460">
            <w:pPr>
              <w:rPr>
                <w:rFonts w:asciiTheme="minorHAnsi" w:hAnsiTheme="minorHAnsi"/>
                <w:b/>
                <w:szCs w:val="22"/>
              </w:rPr>
            </w:pPr>
          </w:p>
          <w:p w14:paraId="7BD6097E" w14:textId="45620821" w:rsidR="00BF2460" w:rsidRPr="00BF2460" w:rsidRDefault="00BF2460" w:rsidP="00BF2460">
            <w:pPr>
              <w:jc w:val="center"/>
              <w:rPr>
                <w:rFonts w:asciiTheme="minorHAnsi" w:hAnsiTheme="minorHAnsi"/>
                <w:b/>
                <w:szCs w:val="22"/>
              </w:rPr>
            </w:pPr>
            <w:r w:rsidRPr="00BF2460">
              <w:rPr>
                <w:rFonts w:asciiTheme="minorHAnsi" w:hAnsiTheme="minorHAnsi"/>
                <w:b/>
                <w:szCs w:val="22"/>
              </w:rPr>
              <w:t>01</w:t>
            </w:r>
          </w:p>
        </w:tc>
        <w:tc>
          <w:tcPr>
            <w:tcW w:w="8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56437D" w14:textId="77777777" w:rsidR="00887F7D" w:rsidRDefault="00887F7D" w:rsidP="00092ACF">
            <w:pPr>
              <w:jc w:val="both"/>
              <w:rPr>
                <w:rFonts w:asciiTheme="minorHAnsi" w:hAnsiTheme="minorHAnsi"/>
                <w:bCs/>
                <w:szCs w:val="22"/>
              </w:rPr>
            </w:pPr>
          </w:p>
          <w:p w14:paraId="30F2D8E5" w14:textId="34DD5E64" w:rsidR="00BF2460" w:rsidRDefault="00BF2460" w:rsidP="00092ACF">
            <w:pPr>
              <w:jc w:val="both"/>
              <w:rPr>
                <w:rFonts w:asciiTheme="minorHAnsi" w:hAnsiTheme="minorHAnsi"/>
                <w:bCs/>
                <w:szCs w:val="22"/>
              </w:rPr>
            </w:pPr>
            <w:r>
              <w:rPr>
                <w:rFonts w:asciiTheme="minorHAnsi" w:hAnsiTheme="minorHAnsi"/>
                <w:bCs/>
                <w:szCs w:val="22"/>
              </w:rPr>
              <w:t>Pursuant to S106A (6)(B) of the Town and Country Planning Act (1990)</w:t>
            </w:r>
            <w:r w:rsidR="00092ACF">
              <w:rPr>
                <w:rFonts w:asciiTheme="minorHAnsi" w:hAnsiTheme="minorHAnsi"/>
                <w:bCs/>
                <w:szCs w:val="22"/>
              </w:rPr>
              <w:t xml:space="preserve">, </w:t>
            </w:r>
            <w:r>
              <w:rPr>
                <w:rFonts w:asciiTheme="minorHAnsi" w:hAnsiTheme="minorHAnsi"/>
                <w:bCs/>
                <w:szCs w:val="22"/>
              </w:rPr>
              <w:t>the Section 106 agreement dated 15</w:t>
            </w:r>
            <w:r w:rsidRPr="00BF3CD8">
              <w:rPr>
                <w:rFonts w:asciiTheme="minorHAnsi" w:hAnsiTheme="minorHAnsi"/>
                <w:bCs/>
                <w:szCs w:val="22"/>
                <w:vertAlign w:val="superscript"/>
              </w:rPr>
              <w:t>th</w:t>
            </w:r>
            <w:r>
              <w:rPr>
                <w:rFonts w:asciiTheme="minorHAnsi" w:hAnsiTheme="minorHAnsi"/>
                <w:bCs/>
                <w:szCs w:val="22"/>
              </w:rPr>
              <w:t xml:space="preserve"> of August 1995</w:t>
            </w:r>
            <w:r w:rsidR="00887F7D">
              <w:rPr>
                <w:rFonts w:asciiTheme="minorHAnsi" w:hAnsiTheme="minorHAnsi"/>
                <w:bCs/>
                <w:szCs w:val="22"/>
              </w:rPr>
              <w:t xml:space="preserve"> (and subsequent variation) </w:t>
            </w:r>
            <w:r>
              <w:rPr>
                <w:rFonts w:asciiTheme="minorHAnsi" w:hAnsiTheme="minorHAnsi"/>
                <w:bCs/>
                <w:szCs w:val="22"/>
              </w:rPr>
              <w:t xml:space="preserve">relating to the property known as ‘The Follies Bungalow’ </w:t>
            </w:r>
            <w:r w:rsidR="00887F7D">
              <w:rPr>
                <w:rFonts w:asciiTheme="minorHAnsi" w:hAnsiTheme="minorHAnsi"/>
                <w:bCs/>
                <w:szCs w:val="22"/>
              </w:rPr>
              <w:t>are</w:t>
            </w:r>
            <w:r>
              <w:rPr>
                <w:rFonts w:asciiTheme="minorHAnsi" w:hAnsiTheme="minorHAnsi"/>
                <w:bCs/>
                <w:szCs w:val="22"/>
              </w:rPr>
              <w:t xml:space="preserve"> considered to no longer serve a useful purpose and as such </w:t>
            </w:r>
            <w:r w:rsidR="00887F7D">
              <w:rPr>
                <w:rFonts w:asciiTheme="minorHAnsi" w:hAnsiTheme="minorHAnsi"/>
                <w:bCs/>
                <w:szCs w:val="22"/>
              </w:rPr>
              <w:t>are</w:t>
            </w:r>
            <w:r>
              <w:rPr>
                <w:rFonts w:asciiTheme="minorHAnsi" w:hAnsiTheme="minorHAnsi"/>
                <w:bCs/>
                <w:szCs w:val="22"/>
              </w:rPr>
              <w:t xml:space="preserve"> considered discharged.</w:t>
            </w:r>
          </w:p>
          <w:p w14:paraId="7E6BF136" w14:textId="48C7B836" w:rsidR="00BF2460" w:rsidRPr="008E0D46" w:rsidRDefault="00BF2460" w:rsidP="00CD2CEF">
            <w:pPr>
              <w:rPr>
                <w:rFonts w:asciiTheme="minorHAnsi" w:hAnsiTheme="minorHAnsi"/>
                <w:bCs/>
                <w:szCs w:val="22"/>
              </w:rPr>
            </w:pPr>
          </w:p>
        </w:tc>
      </w:tr>
    </w:tbl>
    <w:p w14:paraId="3AE22973" w14:textId="77777777" w:rsidR="0031197A" w:rsidRPr="00D2449B" w:rsidRDefault="009B6DC4">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1423" w14:textId="77777777" w:rsidR="006D0B5F" w:rsidRDefault="006D0B5F" w:rsidP="006D0B5F">
      <w:r>
        <w:separator/>
      </w:r>
    </w:p>
  </w:endnote>
  <w:endnote w:type="continuationSeparator" w:id="0">
    <w:p w14:paraId="1884196F"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05D14" w14:textId="77777777" w:rsidR="006D0B5F" w:rsidRDefault="006D0B5F" w:rsidP="006D0B5F">
      <w:r>
        <w:separator/>
      </w:r>
    </w:p>
  </w:footnote>
  <w:footnote w:type="continuationSeparator" w:id="0">
    <w:p w14:paraId="0C1B2535"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4ED4"/>
    <w:multiLevelType w:val="hybridMultilevel"/>
    <w:tmpl w:val="B4C810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412838">
    <w:abstractNumId w:val="1"/>
  </w:num>
  <w:num w:numId="2" w16cid:durableId="154568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92ACF"/>
    <w:rsid w:val="000B5BD3"/>
    <w:rsid w:val="000B5CB5"/>
    <w:rsid w:val="000C6C89"/>
    <w:rsid w:val="00130035"/>
    <w:rsid w:val="001B3138"/>
    <w:rsid w:val="001D4F7A"/>
    <w:rsid w:val="00212730"/>
    <w:rsid w:val="00250879"/>
    <w:rsid w:val="0029334A"/>
    <w:rsid w:val="002A01CF"/>
    <w:rsid w:val="002C6277"/>
    <w:rsid w:val="002F2580"/>
    <w:rsid w:val="00321B6E"/>
    <w:rsid w:val="003A3E04"/>
    <w:rsid w:val="00440CB6"/>
    <w:rsid w:val="004936A6"/>
    <w:rsid w:val="004947BB"/>
    <w:rsid w:val="004A5EA9"/>
    <w:rsid w:val="004C2434"/>
    <w:rsid w:val="004F0649"/>
    <w:rsid w:val="00510FA2"/>
    <w:rsid w:val="00556ECD"/>
    <w:rsid w:val="00580951"/>
    <w:rsid w:val="005E1C6C"/>
    <w:rsid w:val="005E65DF"/>
    <w:rsid w:val="00651F53"/>
    <w:rsid w:val="00690ED4"/>
    <w:rsid w:val="00692B60"/>
    <w:rsid w:val="006A71AD"/>
    <w:rsid w:val="006C2BFA"/>
    <w:rsid w:val="006D0B5F"/>
    <w:rsid w:val="0070054B"/>
    <w:rsid w:val="00776AE2"/>
    <w:rsid w:val="007C791C"/>
    <w:rsid w:val="007D7DF4"/>
    <w:rsid w:val="007E0D23"/>
    <w:rsid w:val="00811771"/>
    <w:rsid w:val="008542DE"/>
    <w:rsid w:val="00887F7D"/>
    <w:rsid w:val="008A28C8"/>
    <w:rsid w:val="00901D34"/>
    <w:rsid w:val="00907E17"/>
    <w:rsid w:val="009B6DC4"/>
    <w:rsid w:val="00A11BCC"/>
    <w:rsid w:val="00A42E82"/>
    <w:rsid w:val="00A53FEB"/>
    <w:rsid w:val="00A565BC"/>
    <w:rsid w:val="00A579BB"/>
    <w:rsid w:val="00A63D55"/>
    <w:rsid w:val="00A95D89"/>
    <w:rsid w:val="00B136D3"/>
    <w:rsid w:val="00B31F80"/>
    <w:rsid w:val="00B93EB5"/>
    <w:rsid w:val="00BC0809"/>
    <w:rsid w:val="00BD3F03"/>
    <w:rsid w:val="00BF2460"/>
    <w:rsid w:val="00BF3CD8"/>
    <w:rsid w:val="00C0704D"/>
    <w:rsid w:val="00C25722"/>
    <w:rsid w:val="00C618DB"/>
    <w:rsid w:val="00D1059B"/>
    <w:rsid w:val="00D11007"/>
    <w:rsid w:val="00D2449B"/>
    <w:rsid w:val="00D54E67"/>
    <w:rsid w:val="00DD62F6"/>
    <w:rsid w:val="00DD7F04"/>
    <w:rsid w:val="00DF2300"/>
    <w:rsid w:val="00E26FDC"/>
    <w:rsid w:val="00E46243"/>
    <w:rsid w:val="00E66534"/>
    <w:rsid w:val="00E72F6C"/>
    <w:rsid w:val="00EA09F9"/>
    <w:rsid w:val="00EC23C7"/>
    <w:rsid w:val="00ED00B7"/>
    <w:rsid w:val="00EF44E6"/>
    <w:rsid w:val="00F26E92"/>
    <w:rsid w:val="00F85A2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270F"/>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BC0809"/>
    <w:rPr>
      <w:sz w:val="16"/>
      <w:szCs w:val="16"/>
    </w:rPr>
  </w:style>
  <w:style w:type="paragraph" w:styleId="CommentText">
    <w:name w:val="annotation text"/>
    <w:basedOn w:val="Normal"/>
    <w:link w:val="CommentTextChar"/>
    <w:uiPriority w:val="99"/>
    <w:semiHidden/>
    <w:unhideWhenUsed/>
    <w:rsid w:val="00BC0809"/>
    <w:rPr>
      <w:sz w:val="20"/>
    </w:rPr>
  </w:style>
  <w:style w:type="character" w:customStyle="1" w:styleId="CommentTextChar">
    <w:name w:val="Comment Text Char"/>
    <w:basedOn w:val="DefaultParagraphFont"/>
    <w:link w:val="CommentText"/>
    <w:uiPriority w:val="99"/>
    <w:semiHidden/>
    <w:rsid w:val="00BC080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C0809"/>
    <w:rPr>
      <w:b/>
      <w:bCs/>
    </w:rPr>
  </w:style>
  <w:style w:type="character" w:customStyle="1" w:styleId="CommentSubjectChar">
    <w:name w:val="Comment Subject Char"/>
    <w:basedOn w:val="CommentTextChar"/>
    <w:link w:val="CommentSubject"/>
    <w:uiPriority w:val="99"/>
    <w:semiHidden/>
    <w:rsid w:val="00BC080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2022-05-23T15:54:00Z</cp:lastPrinted>
  <dcterms:created xsi:type="dcterms:W3CDTF">2022-05-23T16:00:00Z</dcterms:created>
  <dcterms:modified xsi:type="dcterms:W3CDTF">2022-05-23T16:00:00Z</dcterms:modified>
</cp:coreProperties>
</file>