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39"/>
        <w:gridCol w:w="162"/>
        <w:gridCol w:w="1030"/>
        <w:gridCol w:w="1278"/>
        <w:gridCol w:w="519"/>
        <w:gridCol w:w="579"/>
        <w:gridCol w:w="428"/>
        <w:gridCol w:w="602"/>
        <w:gridCol w:w="1030"/>
        <w:gridCol w:w="1061"/>
      </w:tblGrid>
      <w:tr w:rsidR="008C75E4" w:rsidRPr="008C75E4" w14:paraId="78671895" w14:textId="77777777" w:rsidTr="00261C7F">
        <w:trPr>
          <w:jc w:val="center"/>
        </w:trPr>
        <w:tc>
          <w:tcPr>
            <w:tcW w:w="9803" w:type="dxa"/>
            <w:gridSpan w:val="15"/>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261C7F">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5"/>
          </w:tcPr>
          <w:p w14:paraId="4A77C4B3" w14:textId="551DE342" w:rsidR="004936A6" w:rsidRPr="00AF1D93" w:rsidRDefault="002028F4" w:rsidP="00D2449B">
            <w:pPr>
              <w:jc w:val="center"/>
              <w:rPr>
                <w:rFonts w:ascii="Calibri" w:hAnsi="Calibri"/>
                <w:bCs/>
                <w:szCs w:val="22"/>
              </w:rPr>
            </w:pPr>
            <w:r>
              <w:rPr>
                <w:rFonts w:ascii="Calibri" w:hAnsi="Calibri"/>
                <w:bCs/>
                <w:szCs w:val="22"/>
              </w:rPr>
              <w:t>MW</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shd w:val="clear" w:color="auto" w:fill="auto"/>
          </w:tcPr>
          <w:p w14:paraId="7C4C9146" w14:textId="3CC864A4" w:rsidR="004936A6" w:rsidRPr="000C58E9" w:rsidRDefault="00D06E98" w:rsidP="00D2449B">
            <w:pPr>
              <w:jc w:val="center"/>
              <w:rPr>
                <w:rFonts w:ascii="Calibri" w:hAnsi="Calibri"/>
                <w:bCs/>
                <w:szCs w:val="22"/>
              </w:rPr>
            </w:pPr>
            <w:r>
              <w:rPr>
                <w:rFonts w:ascii="Calibri" w:hAnsi="Calibri"/>
                <w:bCs/>
                <w:szCs w:val="22"/>
              </w:rPr>
              <w:t>1</w:t>
            </w:r>
            <w:r w:rsidR="008F4DED">
              <w:rPr>
                <w:rFonts w:ascii="Calibri" w:hAnsi="Calibri"/>
                <w:bCs/>
                <w:szCs w:val="22"/>
              </w:rPr>
              <w:t>6</w:t>
            </w:r>
            <w:r>
              <w:rPr>
                <w:rFonts w:ascii="Calibri" w:hAnsi="Calibri"/>
                <w:bCs/>
                <w:szCs w:val="22"/>
              </w:rPr>
              <w:t>/06</w:t>
            </w:r>
            <w:r w:rsidR="00312B8B">
              <w:rPr>
                <w:rFonts w:ascii="Calibri" w:hAnsi="Calibri"/>
                <w:bCs/>
                <w:szCs w:val="22"/>
              </w:rPr>
              <w:t>/2022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77777777" w:rsidR="004936A6" w:rsidRPr="008C75E4" w:rsidRDefault="004936A6" w:rsidP="00D2449B">
            <w:pPr>
              <w:jc w:val="center"/>
              <w:rPr>
                <w:rFonts w:ascii="Calibri" w:hAnsi="Calibri"/>
                <w:b/>
                <w:szCs w:val="22"/>
              </w:rPr>
            </w:pP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77777777" w:rsidR="004936A6" w:rsidRPr="008C75E4" w:rsidRDefault="004936A6" w:rsidP="00D2449B">
            <w:pPr>
              <w:jc w:val="center"/>
              <w:rPr>
                <w:rFonts w:ascii="Calibri" w:hAnsi="Calibri"/>
                <w:b/>
                <w:szCs w:val="22"/>
              </w:rPr>
            </w:pPr>
          </w:p>
        </w:tc>
      </w:tr>
      <w:tr w:rsidR="00E06DFC" w:rsidRPr="008C75E4" w14:paraId="5FE0E321" w14:textId="77777777" w:rsidTr="00261C7F">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0DCAB196" w:rsidR="00E06DFC" w:rsidRPr="008C75E4" w:rsidRDefault="00503C36" w:rsidP="00D2449B">
            <w:pPr>
              <w:jc w:val="center"/>
              <w:rPr>
                <w:rFonts w:ascii="Calibri" w:hAnsi="Calibri"/>
                <w:b/>
                <w:szCs w:val="22"/>
              </w:rPr>
            </w:pPr>
            <w:r>
              <w:rPr>
                <w:rFonts w:ascii="Calibri" w:hAnsi="Calibri"/>
                <w:b/>
                <w:szCs w:val="22"/>
              </w:rPr>
              <w:t>YES</w:t>
            </w:r>
          </w:p>
        </w:tc>
        <w:tc>
          <w:tcPr>
            <w:tcW w:w="1080" w:type="dxa"/>
            <w:gridSpan w:val="5"/>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497"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261C7F">
        <w:trPr>
          <w:jc w:val="center"/>
        </w:trPr>
        <w:tc>
          <w:tcPr>
            <w:tcW w:w="9803" w:type="dxa"/>
            <w:gridSpan w:val="15"/>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261C7F">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7"/>
          </w:tcPr>
          <w:p w14:paraId="085BDC08" w14:textId="448AC68F" w:rsidR="004A5EA9" w:rsidRPr="008C75E4" w:rsidRDefault="00AF1D93" w:rsidP="008F6B58">
            <w:pPr>
              <w:rPr>
                <w:rFonts w:ascii="Calibri" w:hAnsi="Calibri"/>
                <w:szCs w:val="22"/>
              </w:rPr>
            </w:pPr>
            <w:r>
              <w:rPr>
                <w:rFonts w:ascii="Calibri" w:hAnsi="Calibri"/>
                <w:szCs w:val="22"/>
              </w:rPr>
              <w:t>3/2022/0</w:t>
            </w:r>
            <w:r w:rsidR="002028F4">
              <w:rPr>
                <w:rFonts w:ascii="Calibri" w:hAnsi="Calibri"/>
                <w:szCs w:val="22"/>
              </w:rPr>
              <w:t>3</w:t>
            </w:r>
            <w:r w:rsidR="00D06E98">
              <w:rPr>
                <w:rFonts w:ascii="Calibri" w:hAnsi="Calibri"/>
                <w:szCs w:val="22"/>
              </w:rPr>
              <w:t>41</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261C7F">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7"/>
          </w:tcPr>
          <w:p w14:paraId="1C7299BB" w14:textId="00764FE1" w:rsidR="004A5EA9" w:rsidRPr="008C75E4" w:rsidRDefault="00D06E98" w:rsidP="002C6277">
            <w:pPr>
              <w:rPr>
                <w:rFonts w:ascii="Calibri" w:hAnsi="Calibri"/>
                <w:szCs w:val="22"/>
              </w:rPr>
            </w:pPr>
            <w:r>
              <w:rPr>
                <w:rFonts w:ascii="Calibri" w:hAnsi="Calibri"/>
                <w:szCs w:val="22"/>
              </w:rPr>
              <w:t>23</w:t>
            </w:r>
            <w:r w:rsidR="002028F4">
              <w:rPr>
                <w:rFonts w:ascii="Calibri" w:hAnsi="Calibri"/>
                <w:szCs w:val="22"/>
              </w:rPr>
              <w:t>/05/2022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261C7F">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7"/>
          </w:tcPr>
          <w:p w14:paraId="0E6D7E6B" w14:textId="0F66AC47" w:rsidR="004A5EA9" w:rsidRPr="00454754" w:rsidRDefault="00AF1D93" w:rsidP="00811771">
            <w:pPr>
              <w:rPr>
                <w:rFonts w:ascii="Calibri" w:hAnsi="Calibri"/>
                <w:b/>
                <w:szCs w:val="22"/>
              </w:rPr>
            </w:pPr>
            <w:r>
              <w:rPr>
                <w:rFonts w:ascii="Calibri" w:hAnsi="Calibri"/>
                <w:b/>
                <w:szCs w:val="22"/>
              </w:rPr>
              <w:t>MW</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261C7F">
        <w:trPr>
          <w:jc w:val="center"/>
        </w:trPr>
        <w:tc>
          <w:tcPr>
            <w:tcW w:w="6103" w:type="dxa"/>
            <w:gridSpan w:val="10"/>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1F0D3D25" w:rsidR="00FD334A" w:rsidRPr="008C75E4" w:rsidRDefault="00AF1D93" w:rsidP="00BB7909">
            <w:pPr>
              <w:jc w:val="center"/>
              <w:rPr>
                <w:rFonts w:ascii="Calibri" w:hAnsi="Calibri"/>
                <w:b/>
                <w:szCs w:val="22"/>
              </w:rPr>
            </w:pPr>
            <w:r>
              <w:rPr>
                <w:rFonts w:ascii="Calibri" w:hAnsi="Calibri"/>
                <w:b/>
                <w:szCs w:val="22"/>
              </w:rPr>
              <w:t>APPROVAL</w:t>
            </w:r>
          </w:p>
        </w:tc>
      </w:tr>
      <w:tr w:rsidR="008C75E4" w:rsidRPr="008C75E4" w14:paraId="1D46A840" w14:textId="77777777" w:rsidTr="00261C7F">
        <w:trPr>
          <w:trHeight w:hRule="exact" w:val="144"/>
          <w:jc w:val="center"/>
        </w:trPr>
        <w:tc>
          <w:tcPr>
            <w:tcW w:w="9803" w:type="dxa"/>
            <w:gridSpan w:val="15"/>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261C7F">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10"/>
          </w:tcPr>
          <w:p w14:paraId="41210B56" w14:textId="04785083" w:rsidR="004A5EA9" w:rsidRPr="008C75E4" w:rsidRDefault="00D06E98">
            <w:pPr>
              <w:rPr>
                <w:rFonts w:ascii="Calibri" w:hAnsi="Calibri"/>
                <w:szCs w:val="22"/>
              </w:rPr>
            </w:pPr>
            <w:r>
              <w:rPr>
                <w:rFonts w:ascii="Calibri" w:hAnsi="Calibri"/>
                <w:szCs w:val="22"/>
              </w:rPr>
              <w:t>Demolish existing side conservatory and replace with single storey side extension.</w:t>
            </w:r>
            <w:r w:rsidR="002028F4">
              <w:rPr>
                <w:rFonts w:ascii="Calibri" w:hAnsi="Calibri"/>
                <w:szCs w:val="22"/>
              </w:rPr>
              <w:t xml:space="preserve"> </w:t>
            </w:r>
          </w:p>
        </w:tc>
      </w:tr>
      <w:tr w:rsidR="008C75E4" w:rsidRPr="008C75E4" w14:paraId="29D448B2" w14:textId="77777777" w:rsidTr="00261C7F">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10"/>
            <w:tcBorders>
              <w:bottom w:val="single" w:sz="4" w:space="0" w:color="BFBFBF" w:themeColor="background1" w:themeShade="BF"/>
            </w:tcBorders>
          </w:tcPr>
          <w:p w14:paraId="36E928F0" w14:textId="351C8473" w:rsidR="002A01CF" w:rsidRPr="008C75E4" w:rsidRDefault="00D06E98" w:rsidP="00A42E82">
            <w:pPr>
              <w:rPr>
                <w:rFonts w:ascii="Calibri" w:hAnsi="Calibri"/>
                <w:szCs w:val="22"/>
              </w:rPr>
            </w:pPr>
            <w:r>
              <w:rPr>
                <w:rFonts w:ascii="Calibri" w:hAnsi="Calibri"/>
                <w:szCs w:val="22"/>
              </w:rPr>
              <w:t>8 Homeacre Avenue Sabden BB7 9HG</w:t>
            </w:r>
          </w:p>
        </w:tc>
      </w:tr>
      <w:tr w:rsidR="002C6332" w:rsidRPr="008C75E4" w14:paraId="386FA4B2" w14:textId="77777777" w:rsidTr="00261C7F">
        <w:trPr>
          <w:jc w:val="center"/>
        </w:trPr>
        <w:tc>
          <w:tcPr>
            <w:tcW w:w="9803" w:type="dxa"/>
            <w:gridSpan w:val="15"/>
            <w:tcBorders>
              <w:left w:val="nil"/>
              <w:bottom w:val="single" w:sz="4" w:space="0" w:color="BFBFBF" w:themeColor="background1" w:themeShade="BF"/>
              <w:right w:val="nil"/>
            </w:tcBorders>
            <w:tcMar>
              <w:top w:w="57" w:type="dxa"/>
              <w:bottom w:w="57" w:type="dxa"/>
            </w:tcMar>
          </w:tcPr>
          <w:p w14:paraId="4AA85FCA" w14:textId="77777777" w:rsidR="002C6332" w:rsidRDefault="002C6332" w:rsidP="00A42E82">
            <w:pPr>
              <w:rPr>
                <w:rFonts w:ascii="Calibri" w:hAnsi="Calibri"/>
                <w:szCs w:val="22"/>
              </w:rPr>
            </w:pPr>
          </w:p>
        </w:tc>
      </w:tr>
      <w:tr w:rsidR="008C75E4" w:rsidRPr="008C75E4" w14:paraId="1FF7D5F3" w14:textId="77777777" w:rsidTr="00261C7F">
        <w:trPr>
          <w:jc w:val="center"/>
        </w:trPr>
        <w:tc>
          <w:tcPr>
            <w:tcW w:w="3075" w:type="dxa"/>
            <w:gridSpan w:val="5"/>
            <w:tcMar>
              <w:top w:w="57" w:type="dxa"/>
              <w:bottom w:w="57" w:type="dxa"/>
            </w:tcMar>
          </w:tcPr>
          <w:p w14:paraId="7F08DD1A" w14:textId="36A2D4DC" w:rsidR="00C618DB" w:rsidRPr="008C75E4" w:rsidRDefault="00C618DB" w:rsidP="006126D1">
            <w:pPr>
              <w:jc w:val="both"/>
              <w:rPr>
                <w:rFonts w:ascii="Calibri" w:hAnsi="Calibri"/>
                <w:b/>
                <w:szCs w:val="22"/>
              </w:rPr>
            </w:pPr>
            <w:r w:rsidRPr="008C75E4">
              <w:rPr>
                <w:rFonts w:ascii="Calibri" w:hAnsi="Calibri"/>
                <w:b/>
                <w:szCs w:val="22"/>
              </w:rPr>
              <w:t xml:space="preserve">CONSULTATION: </w:t>
            </w:r>
          </w:p>
        </w:tc>
        <w:tc>
          <w:tcPr>
            <w:tcW w:w="6728" w:type="dxa"/>
            <w:gridSpan w:val="10"/>
          </w:tcPr>
          <w:p w14:paraId="12173924" w14:textId="5BAF1DFB" w:rsidR="00C618DB" w:rsidRPr="008C75E4" w:rsidRDefault="00D06E98" w:rsidP="006126D1">
            <w:pPr>
              <w:jc w:val="both"/>
              <w:rPr>
                <w:rFonts w:ascii="Calibri" w:hAnsi="Calibri"/>
                <w:b/>
                <w:szCs w:val="22"/>
              </w:rPr>
            </w:pPr>
            <w:r>
              <w:rPr>
                <w:rFonts w:ascii="Calibri" w:hAnsi="Calibri"/>
                <w:b/>
                <w:szCs w:val="22"/>
              </w:rPr>
              <w:t>Sabden</w:t>
            </w:r>
            <w:r w:rsidR="002028F4">
              <w:rPr>
                <w:rFonts w:ascii="Calibri" w:hAnsi="Calibri"/>
                <w:b/>
                <w:szCs w:val="22"/>
              </w:rPr>
              <w:t xml:space="preserve"> Parish Council</w:t>
            </w:r>
          </w:p>
        </w:tc>
      </w:tr>
      <w:tr w:rsidR="00BB7909" w:rsidRPr="008C75E4" w14:paraId="14084617" w14:textId="77777777" w:rsidTr="00261C7F">
        <w:trPr>
          <w:jc w:val="center"/>
        </w:trPr>
        <w:tc>
          <w:tcPr>
            <w:tcW w:w="9803" w:type="dxa"/>
            <w:gridSpan w:val="15"/>
            <w:tcBorders>
              <w:bottom w:val="single" w:sz="4" w:space="0" w:color="BFBFBF" w:themeColor="background1" w:themeShade="BF"/>
            </w:tcBorders>
            <w:shd w:val="clear" w:color="auto" w:fill="auto"/>
            <w:tcMar>
              <w:top w:w="57" w:type="dxa"/>
              <w:bottom w:w="57" w:type="dxa"/>
            </w:tcMar>
          </w:tcPr>
          <w:p w14:paraId="43E71B1F" w14:textId="61082C2D" w:rsidR="00BB7909" w:rsidRPr="002C2334" w:rsidRDefault="002C2334" w:rsidP="006126D1">
            <w:pPr>
              <w:jc w:val="both"/>
              <w:rPr>
                <w:rFonts w:ascii="Calibri" w:hAnsi="Calibri"/>
                <w:bCs/>
                <w:color w:val="FF0000"/>
                <w:szCs w:val="22"/>
              </w:rPr>
            </w:pPr>
            <w:r w:rsidRPr="002C2334">
              <w:rPr>
                <w:rFonts w:ascii="Calibri" w:hAnsi="Calibri"/>
                <w:bCs/>
                <w:szCs w:val="22"/>
              </w:rPr>
              <w:t>No comments have been received in respect of the application.</w:t>
            </w:r>
          </w:p>
        </w:tc>
      </w:tr>
      <w:tr w:rsidR="00EC3E83" w:rsidRPr="008C75E4" w14:paraId="635A5217" w14:textId="77777777" w:rsidTr="00261C7F">
        <w:trPr>
          <w:jc w:val="center"/>
        </w:trPr>
        <w:tc>
          <w:tcPr>
            <w:tcW w:w="9803" w:type="dxa"/>
            <w:gridSpan w:val="15"/>
            <w:tcBorders>
              <w:top w:val="single" w:sz="4" w:space="0" w:color="BFBFBF" w:themeColor="background1" w:themeShade="BF"/>
              <w:left w:val="nil"/>
              <w:bottom w:val="single" w:sz="4" w:space="0" w:color="BFBFBF" w:themeColor="background1" w:themeShade="BF"/>
              <w:right w:val="nil"/>
            </w:tcBorders>
            <w:shd w:val="clear" w:color="auto" w:fill="auto"/>
            <w:tcMar>
              <w:top w:w="57" w:type="dxa"/>
              <w:bottom w:w="57" w:type="dxa"/>
            </w:tcMar>
          </w:tcPr>
          <w:p w14:paraId="5B3D8D15" w14:textId="77777777" w:rsidR="00EC3E83" w:rsidRDefault="00EC3E83" w:rsidP="006126D1">
            <w:pPr>
              <w:jc w:val="both"/>
              <w:rPr>
                <w:rFonts w:ascii="Calibri" w:hAnsi="Calibri"/>
                <w:bCs/>
                <w:color w:val="FF0000"/>
                <w:szCs w:val="22"/>
              </w:rPr>
            </w:pPr>
          </w:p>
        </w:tc>
      </w:tr>
      <w:tr w:rsidR="00E33D2D" w:rsidRPr="008C75E4" w14:paraId="388386FE" w14:textId="77777777" w:rsidTr="00261C7F">
        <w:trPr>
          <w:jc w:val="center"/>
        </w:trPr>
        <w:tc>
          <w:tcPr>
            <w:tcW w:w="3114" w:type="dxa"/>
            <w:gridSpan w:val="6"/>
            <w:shd w:val="clear" w:color="auto" w:fill="auto"/>
            <w:tcMar>
              <w:top w:w="57" w:type="dxa"/>
              <w:bottom w:w="57" w:type="dxa"/>
            </w:tcMar>
          </w:tcPr>
          <w:p w14:paraId="50D44190" w14:textId="4BD74DE6" w:rsidR="00E33D2D" w:rsidRPr="00E33D2D" w:rsidRDefault="00E33D2D" w:rsidP="006126D1">
            <w:pPr>
              <w:jc w:val="both"/>
              <w:rPr>
                <w:rFonts w:ascii="Calibri" w:hAnsi="Calibri"/>
                <w:b/>
                <w:szCs w:val="22"/>
              </w:rPr>
            </w:pPr>
            <w:r w:rsidRPr="00E33D2D">
              <w:rPr>
                <w:rFonts w:ascii="Calibri" w:hAnsi="Calibri"/>
                <w:b/>
                <w:szCs w:val="22"/>
              </w:rPr>
              <w:t>CONSULTATION:</w:t>
            </w:r>
          </w:p>
        </w:tc>
        <w:tc>
          <w:tcPr>
            <w:tcW w:w="6689" w:type="dxa"/>
            <w:gridSpan w:val="9"/>
            <w:shd w:val="clear" w:color="auto" w:fill="auto"/>
          </w:tcPr>
          <w:p w14:paraId="1910E73B" w14:textId="69BE7D3C" w:rsidR="00E33D2D" w:rsidRPr="00E33D2D" w:rsidRDefault="00E33D2D" w:rsidP="006126D1">
            <w:pPr>
              <w:jc w:val="both"/>
              <w:rPr>
                <w:rFonts w:ascii="Calibri" w:hAnsi="Calibri"/>
                <w:b/>
                <w:szCs w:val="22"/>
              </w:rPr>
            </w:pPr>
            <w:r w:rsidRPr="00E33D2D">
              <w:rPr>
                <w:rFonts w:ascii="Calibri" w:hAnsi="Calibri"/>
                <w:b/>
                <w:szCs w:val="22"/>
              </w:rPr>
              <w:t>Additional Representations</w:t>
            </w:r>
          </w:p>
        </w:tc>
      </w:tr>
      <w:tr w:rsidR="00E33D2D" w:rsidRPr="008C75E4" w14:paraId="079BA239" w14:textId="77777777" w:rsidTr="00261C7F">
        <w:trPr>
          <w:jc w:val="center"/>
        </w:trPr>
        <w:tc>
          <w:tcPr>
            <w:tcW w:w="9803" w:type="dxa"/>
            <w:gridSpan w:val="15"/>
            <w:shd w:val="clear" w:color="auto" w:fill="auto"/>
            <w:tcMar>
              <w:top w:w="57" w:type="dxa"/>
              <w:bottom w:w="57" w:type="dxa"/>
            </w:tcMar>
          </w:tcPr>
          <w:p w14:paraId="69269128" w14:textId="6F4F53F0" w:rsidR="00E33D2D" w:rsidRPr="00E33D2D" w:rsidRDefault="00E33D2D" w:rsidP="006126D1">
            <w:pPr>
              <w:jc w:val="both"/>
              <w:rPr>
                <w:rFonts w:ascii="Calibri" w:hAnsi="Calibri"/>
                <w:bCs/>
                <w:szCs w:val="22"/>
              </w:rPr>
            </w:pPr>
            <w:r w:rsidRPr="00E33D2D">
              <w:rPr>
                <w:rFonts w:ascii="Calibri" w:hAnsi="Calibri"/>
                <w:bCs/>
                <w:szCs w:val="22"/>
              </w:rPr>
              <w:t xml:space="preserve">No additional representations have been received in respect of the </w:t>
            </w:r>
            <w:r w:rsidR="00704432">
              <w:rPr>
                <w:rFonts w:ascii="Calibri" w:hAnsi="Calibri"/>
                <w:bCs/>
                <w:szCs w:val="22"/>
              </w:rPr>
              <w:t>application</w:t>
            </w:r>
            <w:r w:rsidRPr="00E33D2D">
              <w:rPr>
                <w:rFonts w:ascii="Calibri" w:hAnsi="Calibri"/>
                <w:bCs/>
                <w:szCs w:val="22"/>
              </w:rPr>
              <w:t>.</w:t>
            </w:r>
          </w:p>
        </w:tc>
      </w:tr>
      <w:tr w:rsidR="008C75E4" w:rsidRPr="008C75E4" w14:paraId="57B30470" w14:textId="77777777" w:rsidTr="00261C7F">
        <w:trPr>
          <w:trHeight w:hRule="exact" w:val="144"/>
          <w:jc w:val="center"/>
        </w:trPr>
        <w:tc>
          <w:tcPr>
            <w:tcW w:w="9803" w:type="dxa"/>
            <w:gridSpan w:val="15"/>
            <w:tcBorders>
              <w:left w:val="nil"/>
              <w:right w:val="nil"/>
            </w:tcBorders>
            <w:tcMar>
              <w:top w:w="57" w:type="dxa"/>
              <w:bottom w:w="57" w:type="dxa"/>
            </w:tcMar>
          </w:tcPr>
          <w:p w14:paraId="2B2C25CD" w14:textId="77777777" w:rsidR="00C0704D" w:rsidRPr="001E291D" w:rsidRDefault="00C0704D" w:rsidP="006126D1">
            <w:pPr>
              <w:jc w:val="both"/>
              <w:rPr>
                <w:rFonts w:ascii="Calibri" w:hAnsi="Calibri"/>
                <w:bCs/>
                <w:sz w:val="4"/>
                <w:szCs w:val="4"/>
              </w:rPr>
            </w:pPr>
          </w:p>
        </w:tc>
      </w:tr>
      <w:tr w:rsidR="008C75E4" w:rsidRPr="008C75E4" w14:paraId="5BAF9382" w14:textId="77777777" w:rsidTr="00261C7F">
        <w:trPr>
          <w:jc w:val="center"/>
        </w:trPr>
        <w:tc>
          <w:tcPr>
            <w:tcW w:w="9803" w:type="dxa"/>
            <w:gridSpan w:val="15"/>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261C7F">
        <w:trPr>
          <w:trHeight w:val="864"/>
          <w:jc w:val="center"/>
        </w:trPr>
        <w:tc>
          <w:tcPr>
            <w:tcW w:w="9803" w:type="dxa"/>
            <w:gridSpan w:val="15"/>
            <w:tcMar>
              <w:top w:w="57" w:type="dxa"/>
              <w:bottom w:w="57" w:type="dxa"/>
            </w:tcMar>
          </w:tcPr>
          <w:p w14:paraId="79BAC74D"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480F1D74" w14:textId="77777777" w:rsidR="00E12289" w:rsidRDefault="00E12289" w:rsidP="003D365F">
            <w:pPr>
              <w:jc w:val="both"/>
              <w:rPr>
                <w:rFonts w:ascii="Calibri" w:hAnsi="Calibri"/>
                <w:b/>
                <w:szCs w:val="22"/>
              </w:rPr>
            </w:pPr>
          </w:p>
          <w:p w14:paraId="58C5B2D9" w14:textId="0745E2E1" w:rsidR="00E539FD" w:rsidRDefault="00F03FC1" w:rsidP="00F03FC1">
            <w:pPr>
              <w:jc w:val="both"/>
              <w:rPr>
                <w:rFonts w:ascii="Calibri" w:hAnsi="Calibri"/>
                <w:szCs w:val="22"/>
              </w:rPr>
            </w:pPr>
            <w:r w:rsidRPr="00B6639D">
              <w:rPr>
                <w:rFonts w:ascii="Calibri" w:hAnsi="Calibri"/>
                <w:szCs w:val="22"/>
              </w:rPr>
              <w:t>Key Statement EN</w:t>
            </w:r>
            <w:r>
              <w:rPr>
                <w:rFonts w:ascii="Calibri" w:hAnsi="Calibri"/>
                <w:szCs w:val="22"/>
              </w:rPr>
              <w:t>5</w:t>
            </w:r>
            <w:r w:rsidRPr="00B6639D">
              <w:rPr>
                <w:rFonts w:ascii="Calibri" w:hAnsi="Calibri"/>
                <w:szCs w:val="22"/>
              </w:rPr>
              <w:t xml:space="preserve"> – </w:t>
            </w:r>
            <w:r>
              <w:rPr>
                <w:rFonts w:ascii="Calibri" w:hAnsi="Calibri"/>
                <w:szCs w:val="22"/>
              </w:rPr>
              <w:t>Heritage Assets</w:t>
            </w:r>
          </w:p>
          <w:p w14:paraId="1F1D8597" w14:textId="6DE83FF3" w:rsidR="004C792D" w:rsidRPr="00B6639D" w:rsidRDefault="004C792D" w:rsidP="00F03FC1">
            <w:pPr>
              <w:jc w:val="both"/>
              <w:rPr>
                <w:rFonts w:ascii="Calibri" w:hAnsi="Calibri"/>
                <w:szCs w:val="22"/>
              </w:rPr>
            </w:pPr>
            <w:r>
              <w:rPr>
                <w:rFonts w:ascii="Calibri" w:hAnsi="Calibri"/>
                <w:szCs w:val="22"/>
              </w:rPr>
              <w:t>Key Statement EN2: Landscape</w:t>
            </w:r>
          </w:p>
          <w:p w14:paraId="698BDDC8" w14:textId="2039B882" w:rsidR="00E12289" w:rsidRDefault="00E12289" w:rsidP="003D365F">
            <w:pPr>
              <w:jc w:val="both"/>
              <w:rPr>
                <w:rFonts w:ascii="Calibri" w:hAnsi="Calibri"/>
                <w:bCs/>
                <w:szCs w:val="22"/>
              </w:rPr>
            </w:pPr>
            <w:r>
              <w:rPr>
                <w:rFonts w:ascii="Calibri" w:hAnsi="Calibri"/>
                <w:bCs/>
                <w:szCs w:val="22"/>
              </w:rPr>
              <w:t>Policy DMG1 – General Considerations</w:t>
            </w:r>
          </w:p>
          <w:p w14:paraId="61682798" w14:textId="736EAED6" w:rsidR="00CB773D" w:rsidRDefault="00CB773D" w:rsidP="003D365F">
            <w:pPr>
              <w:jc w:val="both"/>
              <w:rPr>
                <w:rFonts w:ascii="Calibri" w:hAnsi="Calibri"/>
                <w:bCs/>
                <w:szCs w:val="22"/>
              </w:rPr>
            </w:pPr>
            <w:r>
              <w:rPr>
                <w:rFonts w:ascii="Calibri" w:hAnsi="Calibri"/>
                <w:bCs/>
                <w:szCs w:val="22"/>
              </w:rPr>
              <w:t>Policy DMG2 – Strategic Considerations</w:t>
            </w:r>
          </w:p>
          <w:p w14:paraId="78363103" w14:textId="6763F6E4" w:rsidR="00EA233A" w:rsidRDefault="00EA233A" w:rsidP="003D365F">
            <w:pPr>
              <w:jc w:val="both"/>
              <w:rPr>
                <w:rFonts w:ascii="Calibri" w:hAnsi="Calibri"/>
                <w:bCs/>
                <w:szCs w:val="22"/>
              </w:rPr>
            </w:pPr>
            <w:r>
              <w:rPr>
                <w:rFonts w:ascii="Calibri" w:hAnsi="Calibri"/>
                <w:bCs/>
                <w:szCs w:val="22"/>
              </w:rPr>
              <w:t>Policy DMH5 – Residential and Curtilage Extensions</w:t>
            </w:r>
          </w:p>
          <w:p w14:paraId="1D808B36" w14:textId="7771B9DA" w:rsidR="00CB773D" w:rsidRPr="00F03FC1" w:rsidRDefault="00F33445" w:rsidP="00CB773D">
            <w:pPr>
              <w:jc w:val="both"/>
              <w:rPr>
                <w:rFonts w:ascii="Calibri" w:hAnsi="Calibri"/>
                <w:bCs/>
                <w:szCs w:val="22"/>
              </w:rPr>
            </w:pPr>
            <w:r>
              <w:rPr>
                <w:rFonts w:ascii="Calibri" w:hAnsi="Calibri"/>
                <w:bCs/>
                <w:szCs w:val="22"/>
              </w:rPr>
              <w:t>Policy DME4 – Protecting Heritage Assets</w:t>
            </w:r>
          </w:p>
          <w:p w14:paraId="364789D6" w14:textId="77777777" w:rsidR="00691667" w:rsidRDefault="00691667" w:rsidP="003D365F">
            <w:pPr>
              <w:jc w:val="both"/>
              <w:rPr>
                <w:rFonts w:ascii="Calibri" w:hAnsi="Calibri"/>
                <w:bCs/>
                <w:szCs w:val="22"/>
              </w:rPr>
            </w:pPr>
          </w:p>
          <w:p w14:paraId="66995214" w14:textId="5FC25E04" w:rsidR="002A5019" w:rsidRDefault="009D31CF" w:rsidP="003D365F">
            <w:pPr>
              <w:jc w:val="both"/>
              <w:rPr>
                <w:rFonts w:ascii="Calibri" w:hAnsi="Calibri"/>
                <w:b/>
                <w:szCs w:val="22"/>
              </w:rPr>
            </w:pPr>
            <w:r w:rsidRPr="000B3BF7">
              <w:rPr>
                <w:rFonts w:ascii="Calibri" w:hAnsi="Calibri"/>
                <w:b/>
                <w:szCs w:val="22"/>
              </w:rPr>
              <w:t>National Planning Policy Framework</w:t>
            </w:r>
          </w:p>
          <w:p w14:paraId="044FBF58" w14:textId="77777777" w:rsidR="0046199D" w:rsidRPr="000B3BF7" w:rsidRDefault="0046199D" w:rsidP="003D365F">
            <w:pPr>
              <w:jc w:val="both"/>
              <w:rPr>
                <w:rFonts w:ascii="Calibri" w:hAnsi="Calibri"/>
                <w:b/>
                <w:szCs w:val="22"/>
              </w:rPr>
            </w:pPr>
          </w:p>
          <w:p w14:paraId="6389059D" w14:textId="77777777" w:rsidR="002A5019" w:rsidRDefault="002A5019" w:rsidP="003D365F">
            <w:pPr>
              <w:jc w:val="both"/>
              <w:rPr>
                <w:rFonts w:ascii="Calibri" w:hAnsi="Calibri"/>
                <w:b/>
                <w:szCs w:val="22"/>
              </w:rPr>
            </w:pPr>
            <w:r w:rsidRPr="000B3BF7">
              <w:rPr>
                <w:rFonts w:ascii="Calibri" w:hAnsi="Calibri"/>
                <w:b/>
                <w:szCs w:val="22"/>
              </w:rPr>
              <w:t>Planning (Listed Buildings and Conservation Areas) Act 1990</w:t>
            </w:r>
          </w:p>
          <w:p w14:paraId="0D7CD674" w14:textId="681E0A96" w:rsidR="00D06E98" w:rsidRPr="009D31CF" w:rsidRDefault="00D06E98" w:rsidP="003D365F">
            <w:pPr>
              <w:jc w:val="both"/>
              <w:rPr>
                <w:rFonts w:ascii="Calibri" w:hAnsi="Calibri"/>
                <w:b/>
                <w:szCs w:val="22"/>
              </w:rPr>
            </w:pPr>
          </w:p>
        </w:tc>
      </w:tr>
      <w:tr w:rsidR="008C75E4" w:rsidRPr="008C75E4" w14:paraId="41D1C0B6" w14:textId="77777777" w:rsidTr="00261C7F">
        <w:trPr>
          <w:trHeight w:val="864"/>
          <w:jc w:val="center"/>
        </w:trPr>
        <w:tc>
          <w:tcPr>
            <w:tcW w:w="9803" w:type="dxa"/>
            <w:gridSpan w:val="15"/>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B4BB01" w14:textId="0CA9DA64" w:rsidR="00A61275" w:rsidRDefault="00A61275" w:rsidP="00F33445">
            <w:pPr>
              <w:pStyle w:val="PLANNING"/>
              <w:rPr>
                <w:rFonts w:ascii="Calibri" w:hAnsi="Calibri"/>
                <w:bCs/>
                <w:szCs w:val="22"/>
              </w:rPr>
            </w:pPr>
          </w:p>
          <w:p w14:paraId="6B2BE326" w14:textId="2E03FD08" w:rsidR="0046199D" w:rsidRDefault="0046199D" w:rsidP="00F33445">
            <w:pPr>
              <w:pStyle w:val="PLANNING"/>
              <w:rPr>
                <w:rFonts w:ascii="Calibri" w:hAnsi="Calibri"/>
                <w:bCs/>
                <w:szCs w:val="22"/>
              </w:rPr>
            </w:pPr>
            <w:r>
              <w:rPr>
                <w:rFonts w:ascii="Calibri" w:hAnsi="Calibri"/>
                <w:bCs/>
                <w:szCs w:val="22"/>
              </w:rPr>
              <w:t>None.</w:t>
            </w:r>
          </w:p>
          <w:p w14:paraId="2850E0EE" w14:textId="1ADE7F27" w:rsidR="00E609EF" w:rsidRPr="001946E0" w:rsidRDefault="00E609EF" w:rsidP="00D06E98">
            <w:pPr>
              <w:pStyle w:val="PLANNING"/>
              <w:rPr>
                <w:rFonts w:ascii="Calibri" w:hAnsi="Calibri"/>
                <w:bCs/>
                <w:szCs w:val="22"/>
              </w:rPr>
            </w:pPr>
          </w:p>
        </w:tc>
      </w:tr>
      <w:tr w:rsidR="008C75E4" w:rsidRPr="008C75E4" w14:paraId="32FA2C44" w14:textId="77777777" w:rsidTr="00261C7F">
        <w:trPr>
          <w:trHeight w:hRule="exact" w:val="144"/>
          <w:jc w:val="center"/>
        </w:trPr>
        <w:tc>
          <w:tcPr>
            <w:tcW w:w="9803" w:type="dxa"/>
            <w:gridSpan w:val="15"/>
            <w:tcBorders>
              <w:left w:val="nil"/>
              <w:bottom w:val="single" w:sz="4" w:space="0" w:color="BFBFBF" w:themeColor="background1" w:themeShade="BF"/>
              <w:right w:val="nil"/>
            </w:tcBorders>
            <w:tcMar>
              <w:top w:w="57" w:type="dxa"/>
              <w:bottom w:w="57" w:type="dxa"/>
            </w:tcMar>
          </w:tcPr>
          <w:p w14:paraId="5EC4406A" w14:textId="77777777" w:rsidR="003F16AA" w:rsidRDefault="003F16AA" w:rsidP="00504440">
            <w:pPr>
              <w:rPr>
                <w:sz w:val="4"/>
                <w:szCs w:val="4"/>
              </w:rPr>
            </w:pPr>
          </w:p>
          <w:p w14:paraId="45A5DE89" w14:textId="77777777" w:rsidR="008C49A6" w:rsidRDefault="008C49A6" w:rsidP="00504440">
            <w:pPr>
              <w:rPr>
                <w:sz w:val="4"/>
                <w:szCs w:val="4"/>
              </w:rPr>
            </w:pPr>
          </w:p>
          <w:p w14:paraId="26DACD13" w14:textId="29E808C9" w:rsidR="008C49A6" w:rsidRPr="00504440" w:rsidRDefault="008C49A6" w:rsidP="00504440">
            <w:pPr>
              <w:rPr>
                <w:sz w:val="4"/>
                <w:szCs w:val="4"/>
              </w:rPr>
            </w:pPr>
          </w:p>
        </w:tc>
      </w:tr>
      <w:tr w:rsidR="008C75E4" w:rsidRPr="008C75E4" w14:paraId="6B3B1049" w14:textId="77777777" w:rsidTr="00261C7F">
        <w:trPr>
          <w:jc w:val="center"/>
        </w:trPr>
        <w:tc>
          <w:tcPr>
            <w:tcW w:w="9803" w:type="dxa"/>
            <w:gridSpan w:val="15"/>
            <w:tcBorders>
              <w:top w:val="single" w:sz="4" w:space="0" w:color="BFBFBF" w:themeColor="background1" w:themeShade="BF"/>
            </w:tcBorders>
            <w:tcMar>
              <w:top w:w="57" w:type="dxa"/>
              <w:bottom w:w="57" w:type="dxa"/>
            </w:tcMar>
          </w:tcPr>
          <w:p w14:paraId="428108CA" w14:textId="6082B38F"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DB674C">
        <w:trPr>
          <w:trHeight w:val="629"/>
          <w:jc w:val="center"/>
        </w:trPr>
        <w:tc>
          <w:tcPr>
            <w:tcW w:w="9803" w:type="dxa"/>
            <w:gridSpan w:val="15"/>
            <w:tcMar>
              <w:top w:w="57" w:type="dxa"/>
              <w:bottom w:w="57" w:type="dxa"/>
            </w:tcMar>
          </w:tcPr>
          <w:p w14:paraId="40EF5B02" w14:textId="1AA9522C" w:rsidR="00DF1B0B"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CC2184E" w14:textId="77777777" w:rsidR="00D06E98" w:rsidRDefault="00D06E98" w:rsidP="00454754">
            <w:pPr>
              <w:pStyle w:val="Header"/>
              <w:tabs>
                <w:tab w:val="clear" w:pos="4153"/>
                <w:tab w:val="clear" w:pos="8306"/>
              </w:tabs>
              <w:contextualSpacing/>
              <w:jc w:val="both"/>
              <w:rPr>
                <w:rFonts w:ascii="Calibri" w:hAnsi="Calibri"/>
                <w:b/>
                <w:szCs w:val="22"/>
              </w:rPr>
            </w:pPr>
          </w:p>
          <w:p w14:paraId="7C9539DC" w14:textId="77777777" w:rsidR="00B1781E" w:rsidRDefault="005F2644" w:rsidP="00261C7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B1781E">
              <w:rPr>
                <w:rFonts w:ascii="Calibri" w:hAnsi="Calibri"/>
                <w:bCs/>
                <w:szCs w:val="22"/>
              </w:rPr>
              <w:t>semi-</w:t>
            </w:r>
            <w:r>
              <w:rPr>
                <w:rFonts w:ascii="Calibri" w:hAnsi="Calibri"/>
                <w:bCs/>
                <w:szCs w:val="22"/>
              </w:rPr>
              <w:t>detached</w:t>
            </w:r>
            <w:r w:rsidR="00704432">
              <w:rPr>
                <w:rFonts w:ascii="Calibri" w:hAnsi="Calibri"/>
                <w:bCs/>
                <w:szCs w:val="22"/>
              </w:rPr>
              <w:t xml:space="preserve"> residential</w:t>
            </w:r>
            <w:r>
              <w:rPr>
                <w:rFonts w:ascii="Calibri" w:hAnsi="Calibri"/>
                <w:bCs/>
                <w:szCs w:val="22"/>
              </w:rPr>
              <w:t xml:space="preserve"> property </w:t>
            </w:r>
            <w:r w:rsidR="00D52BA9">
              <w:rPr>
                <w:rFonts w:ascii="Calibri" w:hAnsi="Calibri"/>
                <w:bCs/>
                <w:szCs w:val="22"/>
              </w:rPr>
              <w:t xml:space="preserve">at the end of Homeacre Avenue </w:t>
            </w:r>
            <w:r w:rsidR="00A42376">
              <w:rPr>
                <w:rFonts w:ascii="Calibri" w:hAnsi="Calibri"/>
                <w:bCs/>
                <w:szCs w:val="22"/>
              </w:rPr>
              <w:t>within the defined settlement limits of</w:t>
            </w:r>
            <w:r>
              <w:rPr>
                <w:rFonts w:ascii="Calibri" w:hAnsi="Calibri"/>
                <w:bCs/>
                <w:szCs w:val="22"/>
              </w:rPr>
              <w:t xml:space="preserve"> </w:t>
            </w:r>
            <w:r w:rsidR="00D06E98">
              <w:rPr>
                <w:rFonts w:ascii="Calibri" w:hAnsi="Calibri"/>
                <w:bCs/>
                <w:szCs w:val="22"/>
              </w:rPr>
              <w:t>Sabden</w:t>
            </w:r>
            <w:r w:rsidR="00704432">
              <w:rPr>
                <w:rFonts w:ascii="Calibri" w:hAnsi="Calibri"/>
                <w:bCs/>
                <w:szCs w:val="22"/>
              </w:rPr>
              <w:t xml:space="preserve">. </w:t>
            </w:r>
            <w:r w:rsidR="00AB0EA9">
              <w:rPr>
                <w:rFonts w:ascii="Calibri" w:hAnsi="Calibri"/>
                <w:bCs/>
                <w:szCs w:val="22"/>
              </w:rPr>
              <w:t xml:space="preserve">The </w:t>
            </w:r>
            <w:r w:rsidR="00D06E98">
              <w:rPr>
                <w:rFonts w:ascii="Calibri" w:hAnsi="Calibri"/>
                <w:bCs/>
                <w:szCs w:val="22"/>
              </w:rPr>
              <w:t>dwelling</w:t>
            </w:r>
            <w:r w:rsidR="00AB0EA9">
              <w:rPr>
                <w:rFonts w:ascii="Calibri" w:hAnsi="Calibri"/>
                <w:bCs/>
                <w:szCs w:val="22"/>
              </w:rPr>
              <w:t xml:space="preserve"> </w:t>
            </w:r>
            <w:r w:rsidR="00A42376">
              <w:rPr>
                <w:rFonts w:ascii="Calibri" w:hAnsi="Calibri"/>
                <w:bCs/>
                <w:szCs w:val="22"/>
              </w:rPr>
              <w:t xml:space="preserve">is faced in white pebble render with roof tiles and uPVC </w:t>
            </w:r>
            <w:r w:rsidR="00AB0EA9">
              <w:rPr>
                <w:rFonts w:ascii="Calibri" w:hAnsi="Calibri"/>
                <w:bCs/>
                <w:szCs w:val="22"/>
              </w:rPr>
              <w:lastRenderedPageBreak/>
              <w:t>framed windows</w:t>
            </w:r>
            <w:r w:rsidR="00A8081E">
              <w:rPr>
                <w:rFonts w:ascii="Calibri" w:hAnsi="Calibri"/>
                <w:bCs/>
                <w:szCs w:val="22"/>
              </w:rPr>
              <w:t xml:space="preserve">, with a </w:t>
            </w:r>
            <w:r w:rsidR="00796CCE">
              <w:rPr>
                <w:rFonts w:ascii="Calibri" w:hAnsi="Calibri"/>
                <w:bCs/>
                <w:szCs w:val="22"/>
              </w:rPr>
              <w:t xml:space="preserve">surrounding area largely </w:t>
            </w:r>
            <w:r w:rsidR="00A8081E">
              <w:rPr>
                <w:rFonts w:ascii="Calibri" w:hAnsi="Calibri"/>
                <w:bCs/>
                <w:szCs w:val="22"/>
              </w:rPr>
              <w:t xml:space="preserve">characterised by </w:t>
            </w:r>
            <w:r w:rsidR="00796CCE">
              <w:rPr>
                <w:rFonts w:ascii="Calibri" w:hAnsi="Calibri"/>
                <w:bCs/>
                <w:szCs w:val="22"/>
              </w:rPr>
              <w:t>20</w:t>
            </w:r>
            <w:r w:rsidR="00796CCE" w:rsidRPr="00796CCE">
              <w:rPr>
                <w:rFonts w:ascii="Calibri" w:hAnsi="Calibri"/>
                <w:bCs/>
                <w:szCs w:val="22"/>
                <w:vertAlign w:val="superscript"/>
              </w:rPr>
              <w:t>th</w:t>
            </w:r>
            <w:r w:rsidR="00796CCE">
              <w:rPr>
                <w:rFonts w:ascii="Calibri" w:hAnsi="Calibri"/>
                <w:bCs/>
                <w:szCs w:val="22"/>
              </w:rPr>
              <w:t xml:space="preserve"> century </w:t>
            </w:r>
            <w:r w:rsidR="00A8081E">
              <w:rPr>
                <w:rFonts w:ascii="Calibri" w:hAnsi="Calibri"/>
                <w:bCs/>
                <w:szCs w:val="22"/>
              </w:rPr>
              <w:t xml:space="preserve">residential properties of </w:t>
            </w:r>
            <w:r w:rsidR="00796CCE">
              <w:rPr>
                <w:rFonts w:ascii="Calibri" w:hAnsi="Calibri"/>
                <w:bCs/>
                <w:szCs w:val="22"/>
              </w:rPr>
              <w:t xml:space="preserve">detached and semi-detached </w:t>
            </w:r>
            <w:r w:rsidR="00A8081E">
              <w:rPr>
                <w:rFonts w:ascii="Calibri" w:hAnsi="Calibri"/>
                <w:bCs/>
                <w:szCs w:val="22"/>
              </w:rPr>
              <w:t>nature</w:t>
            </w:r>
            <w:r w:rsidR="005317EB">
              <w:rPr>
                <w:rFonts w:ascii="Calibri" w:hAnsi="Calibri"/>
                <w:bCs/>
                <w:szCs w:val="22"/>
              </w:rPr>
              <w:t xml:space="preserve">, with </w:t>
            </w:r>
            <w:r w:rsidR="00131F6F">
              <w:rPr>
                <w:rFonts w:ascii="Calibri" w:hAnsi="Calibri"/>
                <w:bCs/>
                <w:szCs w:val="22"/>
              </w:rPr>
              <w:t>agricultural land directly north of the property.</w:t>
            </w:r>
          </w:p>
          <w:p w14:paraId="53ECB7BB" w14:textId="2EA7F600" w:rsidR="00D11142" w:rsidRPr="00DF1B0B" w:rsidRDefault="00D11142" w:rsidP="00261C7F">
            <w:pPr>
              <w:pStyle w:val="Header"/>
              <w:tabs>
                <w:tab w:val="clear" w:pos="4153"/>
                <w:tab w:val="clear" w:pos="8306"/>
              </w:tabs>
              <w:contextualSpacing/>
              <w:jc w:val="both"/>
              <w:rPr>
                <w:rFonts w:ascii="Calibri" w:hAnsi="Calibri"/>
                <w:bCs/>
                <w:szCs w:val="22"/>
              </w:rPr>
            </w:pPr>
          </w:p>
        </w:tc>
      </w:tr>
      <w:tr w:rsidR="008C75E4" w:rsidRPr="008C75E4" w14:paraId="19AF70A9" w14:textId="77777777" w:rsidTr="00261C7F">
        <w:trPr>
          <w:trHeight w:val="1152"/>
          <w:jc w:val="center"/>
        </w:trPr>
        <w:tc>
          <w:tcPr>
            <w:tcW w:w="9803" w:type="dxa"/>
            <w:gridSpan w:val="15"/>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199CAFDB" w14:textId="77777777" w:rsidR="00454754" w:rsidRDefault="00454754" w:rsidP="00454754">
            <w:pPr>
              <w:pStyle w:val="Header"/>
              <w:tabs>
                <w:tab w:val="clear" w:pos="4153"/>
                <w:tab w:val="clear" w:pos="8306"/>
              </w:tabs>
              <w:jc w:val="both"/>
              <w:rPr>
                <w:rFonts w:ascii="Calibri" w:hAnsi="Calibri"/>
                <w:szCs w:val="22"/>
              </w:rPr>
            </w:pPr>
          </w:p>
          <w:p w14:paraId="45258D42" w14:textId="0BFF5F84" w:rsidR="00395993" w:rsidRDefault="002A78DA" w:rsidP="00EA233A">
            <w:pPr>
              <w:pStyle w:val="Header"/>
              <w:tabs>
                <w:tab w:val="clear" w:pos="4153"/>
                <w:tab w:val="clear" w:pos="8306"/>
              </w:tabs>
              <w:jc w:val="both"/>
              <w:rPr>
                <w:rFonts w:ascii="Calibri" w:hAnsi="Calibri"/>
                <w:szCs w:val="22"/>
              </w:rPr>
            </w:pPr>
            <w:r>
              <w:rPr>
                <w:rFonts w:ascii="Calibri" w:hAnsi="Calibri"/>
                <w:szCs w:val="22"/>
              </w:rPr>
              <w:t xml:space="preserve">Consent is sought for external alterations including </w:t>
            </w:r>
            <w:r w:rsidR="00EA233A">
              <w:rPr>
                <w:rFonts w:ascii="Calibri" w:hAnsi="Calibri"/>
                <w:szCs w:val="22"/>
              </w:rPr>
              <w:t xml:space="preserve">the </w:t>
            </w:r>
            <w:r w:rsidR="0046199D">
              <w:rPr>
                <w:rFonts w:ascii="Calibri" w:hAnsi="Calibri"/>
                <w:szCs w:val="22"/>
              </w:rPr>
              <w:t xml:space="preserve">demolition of an existing conservatory and </w:t>
            </w:r>
            <w:r w:rsidR="00EA233A">
              <w:rPr>
                <w:rFonts w:ascii="Calibri" w:hAnsi="Calibri"/>
                <w:szCs w:val="22"/>
              </w:rPr>
              <w:t>r</w:t>
            </w:r>
            <w:r w:rsidR="00A42376">
              <w:rPr>
                <w:rFonts w:ascii="Calibri" w:hAnsi="Calibri"/>
                <w:szCs w:val="22"/>
              </w:rPr>
              <w:t xml:space="preserve">eplacement with a single storey extension </w:t>
            </w:r>
            <w:r w:rsidR="00395993">
              <w:rPr>
                <w:rFonts w:ascii="Calibri" w:hAnsi="Calibri"/>
                <w:szCs w:val="22"/>
              </w:rPr>
              <w:t xml:space="preserve">on the side elevation of the property. </w:t>
            </w:r>
            <w:r w:rsidR="0046199D">
              <w:rPr>
                <w:rFonts w:ascii="Calibri" w:hAnsi="Calibri"/>
                <w:szCs w:val="22"/>
              </w:rPr>
              <w:t xml:space="preserve">The proposed </w:t>
            </w:r>
            <w:r w:rsidR="00390E35">
              <w:rPr>
                <w:rFonts w:ascii="Calibri" w:hAnsi="Calibri"/>
                <w:szCs w:val="22"/>
              </w:rPr>
              <w:t xml:space="preserve">extension introduces </w:t>
            </w:r>
            <w:r w:rsidR="00606F44">
              <w:rPr>
                <w:rFonts w:ascii="Calibri" w:hAnsi="Calibri"/>
                <w:szCs w:val="22"/>
              </w:rPr>
              <w:t>rooflights to</w:t>
            </w:r>
            <w:r w:rsidR="00390E35">
              <w:rPr>
                <w:rFonts w:ascii="Calibri" w:hAnsi="Calibri"/>
                <w:szCs w:val="22"/>
              </w:rPr>
              <w:t xml:space="preserve"> front </w:t>
            </w:r>
            <w:r w:rsidR="00606F44">
              <w:rPr>
                <w:rFonts w:ascii="Calibri" w:hAnsi="Calibri"/>
                <w:szCs w:val="22"/>
              </w:rPr>
              <w:t xml:space="preserve">and rear </w:t>
            </w:r>
            <w:r w:rsidR="00390E35">
              <w:rPr>
                <w:rFonts w:ascii="Calibri" w:hAnsi="Calibri"/>
                <w:szCs w:val="22"/>
              </w:rPr>
              <w:t>elevation</w:t>
            </w:r>
            <w:r w:rsidR="00606F44">
              <w:rPr>
                <w:rFonts w:ascii="Calibri" w:hAnsi="Calibri"/>
                <w:szCs w:val="22"/>
              </w:rPr>
              <w:t>s</w:t>
            </w:r>
            <w:r w:rsidR="00390E35">
              <w:rPr>
                <w:rFonts w:ascii="Calibri" w:hAnsi="Calibri"/>
                <w:szCs w:val="22"/>
              </w:rPr>
              <w:t xml:space="preserve"> of the extension with uPVC doors to the rear providing access to the garden. </w:t>
            </w:r>
            <w:r w:rsidR="00CF0E17">
              <w:rPr>
                <w:rFonts w:ascii="Calibri" w:hAnsi="Calibri"/>
                <w:szCs w:val="22"/>
              </w:rPr>
              <w:t xml:space="preserve">The proposed extension footprint is </w:t>
            </w:r>
            <w:proofErr w:type="gramStart"/>
            <w:r w:rsidR="00CF0E17">
              <w:rPr>
                <w:rFonts w:ascii="Calibri" w:hAnsi="Calibri"/>
                <w:szCs w:val="22"/>
              </w:rPr>
              <w:t>similar to</w:t>
            </w:r>
            <w:proofErr w:type="gramEnd"/>
            <w:r w:rsidR="00CF0E17">
              <w:rPr>
                <w:rFonts w:ascii="Calibri" w:hAnsi="Calibri"/>
                <w:szCs w:val="22"/>
              </w:rPr>
              <w:t xml:space="preserve"> the conservatory and would feature a material palette akin to that in place within the host property with a render finish on all elevations, tiled roof, grey UPVC fascia boards and windows and black guttering.</w:t>
            </w:r>
          </w:p>
          <w:p w14:paraId="575958C5" w14:textId="06A60AA4" w:rsidR="00C84B9E" w:rsidRPr="00F012FA" w:rsidRDefault="00C84B9E" w:rsidP="00CF0E17">
            <w:pPr>
              <w:pStyle w:val="Header"/>
              <w:tabs>
                <w:tab w:val="clear" w:pos="4153"/>
                <w:tab w:val="clear" w:pos="8306"/>
              </w:tabs>
              <w:jc w:val="both"/>
              <w:rPr>
                <w:rFonts w:ascii="Calibri" w:hAnsi="Calibri"/>
                <w:szCs w:val="22"/>
              </w:rPr>
            </w:pPr>
          </w:p>
        </w:tc>
      </w:tr>
      <w:tr w:rsidR="00C214A6" w:rsidRPr="008C75E4" w14:paraId="1510C51E" w14:textId="77777777" w:rsidTr="00261C7F">
        <w:trPr>
          <w:trHeight w:val="864"/>
          <w:jc w:val="center"/>
        </w:trPr>
        <w:tc>
          <w:tcPr>
            <w:tcW w:w="9803" w:type="dxa"/>
            <w:gridSpan w:val="15"/>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1D8E41AB" w14:textId="5FCA50C8" w:rsidR="00D102D9" w:rsidRDefault="00D102D9" w:rsidP="00454754">
            <w:pPr>
              <w:pStyle w:val="Header"/>
              <w:tabs>
                <w:tab w:val="clear" w:pos="4153"/>
                <w:tab w:val="clear" w:pos="8306"/>
              </w:tabs>
              <w:jc w:val="both"/>
              <w:rPr>
                <w:rFonts w:ascii="Calibri" w:hAnsi="Calibri"/>
                <w:szCs w:val="22"/>
              </w:rPr>
            </w:pPr>
          </w:p>
          <w:p w14:paraId="0BF321DB" w14:textId="0F3B8715" w:rsidR="00A33A60" w:rsidRDefault="00502BF1" w:rsidP="00502BF1">
            <w:pPr>
              <w:pStyle w:val="Header"/>
              <w:tabs>
                <w:tab w:val="left" w:pos="720"/>
              </w:tabs>
              <w:jc w:val="both"/>
              <w:rPr>
                <w:rFonts w:ascii="Calibri" w:hAnsi="Calibri"/>
                <w:szCs w:val="22"/>
              </w:rPr>
            </w:pPr>
            <w:r>
              <w:rPr>
                <w:rFonts w:ascii="Calibri" w:hAnsi="Calibri"/>
                <w:szCs w:val="22"/>
              </w:rPr>
              <w:t xml:space="preserve">The proposed development involves alterations to an existing dwelling and is acceptable in principle, subject to an assessment of material planning considerations. </w:t>
            </w:r>
            <w:r w:rsidR="002A78DA">
              <w:rPr>
                <w:rFonts w:ascii="Calibri" w:hAnsi="Calibri"/>
                <w:szCs w:val="22"/>
              </w:rPr>
              <w:t>T</w:t>
            </w:r>
            <w:r>
              <w:rPr>
                <w:rFonts w:ascii="Calibri" w:hAnsi="Calibri"/>
                <w:szCs w:val="22"/>
              </w:rPr>
              <w:t xml:space="preserve">he property lies within </w:t>
            </w:r>
            <w:r w:rsidR="00796CCE">
              <w:rPr>
                <w:rFonts w:ascii="Calibri" w:hAnsi="Calibri"/>
                <w:szCs w:val="22"/>
              </w:rPr>
              <w:t>Sabden</w:t>
            </w:r>
            <w:r>
              <w:rPr>
                <w:rFonts w:ascii="Calibri" w:hAnsi="Calibri"/>
                <w:szCs w:val="22"/>
              </w:rPr>
              <w:t xml:space="preserve"> Conservation Area and therefore due regard must also be given </w:t>
            </w:r>
            <w:r w:rsidR="002A78DA">
              <w:rPr>
                <w:rFonts w:ascii="Calibri" w:hAnsi="Calibri"/>
                <w:szCs w:val="22"/>
              </w:rPr>
              <w:t>to</w:t>
            </w:r>
            <w:r>
              <w:rPr>
                <w:rFonts w:ascii="Calibri" w:hAnsi="Calibri"/>
                <w:szCs w:val="22"/>
              </w:rPr>
              <w:t xml:space="preserve"> the</w:t>
            </w:r>
            <w:r w:rsidR="009C64C2">
              <w:rPr>
                <w:rFonts w:ascii="Calibri" w:hAnsi="Calibri"/>
                <w:szCs w:val="22"/>
              </w:rPr>
              <w:t xml:space="preserve"> impact of the development upon the conservation and enhancement of th</w:t>
            </w:r>
            <w:r w:rsidR="008937C5">
              <w:rPr>
                <w:rFonts w:ascii="Calibri" w:hAnsi="Calibri"/>
                <w:szCs w:val="22"/>
              </w:rPr>
              <w:t xml:space="preserve">is </w:t>
            </w:r>
            <w:r w:rsidR="002A78DA">
              <w:rPr>
                <w:rFonts w:ascii="Calibri" w:hAnsi="Calibri"/>
                <w:szCs w:val="22"/>
              </w:rPr>
              <w:t xml:space="preserve">area as a </w:t>
            </w:r>
            <w:r w:rsidR="009C64C2">
              <w:rPr>
                <w:rFonts w:ascii="Calibri" w:hAnsi="Calibri"/>
                <w:szCs w:val="22"/>
              </w:rPr>
              <w:t>heritage asset</w:t>
            </w:r>
            <w:r w:rsidR="005F359B">
              <w:rPr>
                <w:rFonts w:ascii="Calibri" w:hAnsi="Calibri"/>
                <w:szCs w:val="22"/>
              </w:rPr>
              <w:t xml:space="preserve"> in accordance with the Ribble Valley Core Strategy, Chapter </w:t>
            </w:r>
            <w:r w:rsidR="007501F1">
              <w:rPr>
                <w:rFonts w:ascii="Calibri" w:hAnsi="Calibri"/>
                <w:szCs w:val="22"/>
              </w:rPr>
              <w:t>1</w:t>
            </w:r>
            <w:r w:rsidR="005F359B">
              <w:rPr>
                <w:rFonts w:ascii="Calibri" w:hAnsi="Calibri"/>
                <w:szCs w:val="22"/>
              </w:rPr>
              <w:t xml:space="preserve">6 of the </w:t>
            </w:r>
            <w:r w:rsidR="00D11142">
              <w:rPr>
                <w:rFonts w:ascii="Calibri" w:hAnsi="Calibri"/>
                <w:szCs w:val="22"/>
              </w:rPr>
              <w:t>Framework,</w:t>
            </w:r>
            <w:r w:rsidR="005F359B">
              <w:rPr>
                <w:rFonts w:ascii="Calibri" w:hAnsi="Calibri"/>
                <w:szCs w:val="22"/>
              </w:rPr>
              <w:t xml:space="preserve"> and </w:t>
            </w:r>
            <w:r w:rsidR="007501F1">
              <w:rPr>
                <w:rFonts w:ascii="Calibri" w:hAnsi="Calibri"/>
                <w:szCs w:val="22"/>
              </w:rPr>
              <w:t>section</w:t>
            </w:r>
            <w:r w:rsidR="00D11142">
              <w:rPr>
                <w:rFonts w:ascii="Calibri" w:hAnsi="Calibri"/>
                <w:szCs w:val="22"/>
              </w:rPr>
              <w:t>s</w:t>
            </w:r>
            <w:r w:rsidR="007501F1">
              <w:rPr>
                <w:rFonts w:ascii="Calibri" w:hAnsi="Calibri"/>
                <w:szCs w:val="22"/>
              </w:rPr>
              <w:t xml:space="preserve"> 16, 66 and 72 of the</w:t>
            </w:r>
            <w:r w:rsidR="005F359B">
              <w:rPr>
                <w:rFonts w:ascii="Calibri" w:hAnsi="Calibri"/>
                <w:szCs w:val="22"/>
              </w:rPr>
              <w:t xml:space="preserve"> Planning (Listed Buildings and Conservation Areas) Act 1990</w:t>
            </w:r>
            <w:r w:rsidR="009C64C2">
              <w:rPr>
                <w:rFonts w:ascii="Calibri" w:hAnsi="Calibri"/>
                <w:szCs w:val="22"/>
              </w:rPr>
              <w:t>.</w:t>
            </w:r>
          </w:p>
          <w:p w14:paraId="5D515AAF" w14:textId="5A04F9E1" w:rsidR="004D5666" w:rsidRPr="006D7624" w:rsidRDefault="004D5666" w:rsidP="00502BF1">
            <w:pPr>
              <w:pStyle w:val="Header"/>
              <w:tabs>
                <w:tab w:val="left" w:pos="720"/>
              </w:tabs>
              <w:jc w:val="both"/>
              <w:rPr>
                <w:rFonts w:ascii="Calibri" w:hAnsi="Calibri"/>
                <w:szCs w:val="22"/>
              </w:rPr>
            </w:pPr>
          </w:p>
        </w:tc>
      </w:tr>
      <w:tr w:rsidR="008C75E4" w:rsidRPr="008C75E4" w14:paraId="7AE8A5DB" w14:textId="77777777" w:rsidTr="00261C7F">
        <w:trPr>
          <w:trHeight w:val="864"/>
          <w:jc w:val="center"/>
        </w:trPr>
        <w:tc>
          <w:tcPr>
            <w:tcW w:w="9803" w:type="dxa"/>
            <w:gridSpan w:val="15"/>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99048B4" w14:textId="4499CF81" w:rsidR="005B7E46" w:rsidRDefault="005B7E46" w:rsidP="005B7E46">
            <w:pPr>
              <w:jc w:val="both"/>
              <w:rPr>
                <w:rFonts w:ascii="Calibri" w:hAnsi="Calibri"/>
                <w:szCs w:val="22"/>
                <w:u w:val="single"/>
              </w:rPr>
            </w:pPr>
          </w:p>
          <w:p w14:paraId="3F7A57FB" w14:textId="2F7F42CA" w:rsidR="005435A0" w:rsidRDefault="00E91F60" w:rsidP="00E859DC">
            <w:pPr>
              <w:jc w:val="both"/>
              <w:rPr>
                <w:rFonts w:ascii="Calibri" w:hAnsi="Calibri"/>
                <w:szCs w:val="22"/>
              </w:rPr>
            </w:pPr>
            <w:r>
              <w:rPr>
                <w:rFonts w:ascii="Calibri" w:hAnsi="Calibri"/>
                <w:szCs w:val="22"/>
              </w:rPr>
              <w:t xml:space="preserve">Despite the proposed extension featuring a higher eaves and ridge height than the existing conservatory, </w:t>
            </w:r>
            <w:r w:rsidR="001121B1">
              <w:rPr>
                <w:rFonts w:ascii="Calibri" w:hAnsi="Calibri"/>
                <w:szCs w:val="22"/>
              </w:rPr>
              <w:t>t</w:t>
            </w:r>
            <w:r w:rsidR="00C42A19">
              <w:rPr>
                <w:rFonts w:ascii="Calibri" w:hAnsi="Calibri"/>
                <w:szCs w:val="22"/>
              </w:rPr>
              <w:t xml:space="preserve">he development proposes alterations to the </w:t>
            </w:r>
            <w:r w:rsidR="005435A0">
              <w:rPr>
                <w:rFonts w:ascii="Calibri" w:hAnsi="Calibri"/>
                <w:szCs w:val="22"/>
              </w:rPr>
              <w:t>side</w:t>
            </w:r>
            <w:r w:rsidR="00C42A19">
              <w:rPr>
                <w:rFonts w:ascii="Calibri" w:hAnsi="Calibri"/>
                <w:szCs w:val="22"/>
              </w:rPr>
              <w:t xml:space="preserve"> elevation of the property </w:t>
            </w:r>
            <w:r w:rsidR="005435A0">
              <w:rPr>
                <w:rFonts w:ascii="Calibri" w:hAnsi="Calibri"/>
                <w:szCs w:val="22"/>
              </w:rPr>
              <w:t>which cumulatively result</w:t>
            </w:r>
            <w:r w:rsidR="00416DC6">
              <w:rPr>
                <w:rFonts w:ascii="Calibri" w:hAnsi="Calibri"/>
                <w:szCs w:val="22"/>
              </w:rPr>
              <w:t>s</w:t>
            </w:r>
            <w:r w:rsidR="005435A0">
              <w:rPr>
                <w:rFonts w:ascii="Calibri" w:hAnsi="Calibri"/>
                <w:szCs w:val="22"/>
              </w:rPr>
              <w:t xml:space="preserve"> in</w:t>
            </w:r>
            <w:r w:rsidR="00C42A19">
              <w:rPr>
                <w:rFonts w:ascii="Calibri" w:hAnsi="Calibri"/>
                <w:szCs w:val="22"/>
              </w:rPr>
              <w:t xml:space="preserve"> </w:t>
            </w:r>
            <w:r w:rsidR="005435A0">
              <w:rPr>
                <w:rFonts w:ascii="Calibri" w:hAnsi="Calibri"/>
                <w:szCs w:val="22"/>
              </w:rPr>
              <w:t xml:space="preserve">a minimal level of </w:t>
            </w:r>
            <w:r w:rsidR="00C42A19">
              <w:rPr>
                <w:rFonts w:ascii="Calibri" w:hAnsi="Calibri"/>
                <w:szCs w:val="22"/>
              </w:rPr>
              <w:t>additional built form</w:t>
            </w:r>
            <w:r w:rsidR="001121B1">
              <w:rPr>
                <w:rFonts w:ascii="Calibri" w:hAnsi="Calibri"/>
                <w:szCs w:val="22"/>
              </w:rPr>
              <w:t xml:space="preserve"> introduced</w:t>
            </w:r>
            <w:r w:rsidR="005435A0">
              <w:rPr>
                <w:rFonts w:ascii="Calibri" w:hAnsi="Calibri"/>
                <w:szCs w:val="22"/>
              </w:rPr>
              <w:t xml:space="preserve"> </w:t>
            </w:r>
            <w:r w:rsidR="00C42A19">
              <w:rPr>
                <w:rFonts w:ascii="Calibri" w:hAnsi="Calibri"/>
                <w:szCs w:val="22"/>
              </w:rPr>
              <w:t xml:space="preserve">to the </w:t>
            </w:r>
            <w:r w:rsidR="005435A0">
              <w:rPr>
                <w:rFonts w:ascii="Calibri" w:hAnsi="Calibri"/>
                <w:szCs w:val="22"/>
              </w:rPr>
              <w:t xml:space="preserve">host </w:t>
            </w:r>
            <w:r w:rsidR="00661E53">
              <w:rPr>
                <w:rFonts w:ascii="Calibri" w:hAnsi="Calibri"/>
                <w:szCs w:val="22"/>
              </w:rPr>
              <w:t>dwelling</w:t>
            </w:r>
            <w:r w:rsidR="001B5997">
              <w:rPr>
                <w:rFonts w:ascii="Calibri" w:hAnsi="Calibri"/>
                <w:szCs w:val="22"/>
              </w:rPr>
              <w:t xml:space="preserve">. </w:t>
            </w:r>
            <w:r w:rsidR="00806FA8">
              <w:rPr>
                <w:rFonts w:ascii="Calibri" w:hAnsi="Calibri"/>
                <w:szCs w:val="22"/>
              </w:rPr>
              <w:t xml:space="preserve">This results in </w:t>
            </w:r>
            <w:r w:rsidR="004E5321">
              <w:rPr>
                <w:rFonts w:ascii="Calibri" w:hAnsi="Calibri"/>
                <w:szCs w:val="22"/>
              </w:rPr>
              <w:t>a near identical building footprint</w:t>
            </w:r>
            <w:r w:rsidR="00606F44">
              <w:rPr>
                <w:rFonts w:ascii="Calibri" w:hAnsi="Calibri"/>
                <w:szCs w:val="22"/>
              </w:rPr>
              <w:t xml:space="preserve"> </w:t>
            </w:r>
            <w:r w:rsidR="00806FA8">
              <w:rPr>
                <w:rFonts w:ascii="Calibri" w:hAnsi="Calibri"/>
                <w:szCs w:val="22"/>
              </w:rPr>
              <w:t xml:space="preserve">to that which currently exists and therefore </w:t>
            </w:r>
            <w:r w:rsidR="00D52BA9">
              <w:rPr>
                <w:rFonts w:ascii="Calibri" w:hAnsi="Calibri"/>
                <w:szCs w:val="22"/>
              </w:rPr>
              <w:t>the propos</w:t>
            </w:r>
            <w:r w:rsidR="00806FA8">
              <w:rPr>
                <w:rFonts w:ascii="Calibri" w:hAnsi="Calibri"/>
                <w:szCs w:val="22"/>
              </w:rPr>
              <w:t xml:space="preserve">ed massing </w:t>
            </w:r>
            <w:r w:rsidR="00D52BA9">
              <w:rPr>
                <w:rFonts w:ascii="Calibri" w:hAnsi="Calibri"/>
                <w:szCs w:val="22"/>
              </w:rPr>
              <w:t xml:space="preserve">is not judged to </w:t>
            </w:r>
            <w:r w:rsidR="00806FA8">
              <w:rPr>
                <w:rFonts w:ascii="Calibri" w:hAnsi="Calibri"/>
                <w:szCs w:val="22"/>
              </w:rPr>
              <w:t>impact upon</w:t>
            </w:r>
            <w:r w:rsidR="004E5321">
              <w:rPr>
                <w:rFonts w:ascii="Calibri" w:hAnsi="Calibri"/>
                <w:szCs w:val="22"/>
              </w:rPr>
              <w:t xml:space="preserve"> the residential amenities of neighbouring properties and those of the application property in the context of overshadowing. </w:t>
            </w:r>
          </w:p>
          <w:p w14:paraId="5D9139D3" w14:textId="77777777" w:rsidR="00606F44" w:rsidRDefault="00606F44" w:rsidP="00E859DC">
            <w:pPr>
              <w:jc w:val="both"/>
              <w:rPr>
                <w:rFonts w:ascii="Calibri" w:hAnsi="Calibri"/>
                <w:szCs w:val="22"/>
              </w:rPr>
            </w:pPr>
          </w:p>
          <w:p w14:paraId="7EB0E0CC" w14:textId="2BF69AF3" w:rsidR="00584F1E" w:rsidRDefault="00312B8B" w:rsidP="00E859DC">
            <w:pPr>
              <w:jc w:val="both"/>
              <w:rPr>
                <w:rFonts w:ascii="Calibri" w:hAnsi="Calibri"/>
                <w:szCs w:val="22"/>
              </w:rPr>
            </w:pPr>
            <w:r>
              <w:rPr>
                <w:rFonts w:ascii="Calibri" w:hAnsi="Calibri"/>
                <w:szCs w:val="22"/>
              </w:rPr>
              <w:t xml:space="preserve">The </w:t>
            </w:r>
            <w:r w:rsidR="001B5997">
              <w:rPr>
                <w:rFonts w:ascii="Calibri" w:hAnsi="Calibri"/>
                <w:szCs w:val="22"/>
              </w:rPr>
              <w:t>development</w:t>
            </w:r>
            <w:r w:rsidR="002809C4">
              <w:rPr>
                <w:rFonts w:ascii="Calibri" w:hAnsi="Calibri"/>
                <w:szCs w:val="22"/>
              </w:rPr>
              <w:t xml:space="preserve"> proposed naturally result</w:t>
            </w:r>
            <w:r w:rsidR="001B5997">
              <w:rPr>
                <w:rFonts w:ascii="Calibri" w:hAnsi="Calibri"/>
                <w:szCs w:val="22"/>
              </w:rPr>
              <w:t>s</w:t>
            </w:r>
            <w:r w:rsidR="002809C4">
              <w:rPr>
                <w:rFonts w:ascii="Calibri" w:hAnsi="Calibri"/>
                <w:szCs w:val="22"/>
              </w:rPr>
              <w:t xml:space="preserve"> in an overall reduction in the volume of window space when compared with existing form simply by virtue of the elimination of the existing conservatory element. On </w:t>
            </w:r>
            <w:r w:rsidR="00D14BAE">
              <w:rPr>
                <w:rFonts w:ascii="Calibri" w:hAnsi="Calibri"/>
                <w:szCs w:val="22"/>
              </w:rPr>
              <w:t xml:space="preserve">front </w:t>
            </w:r>
            <w:r w:rsidR="00CF5596">
              <w:rPr>
                <w:rFonts w:ascii="Calibri" w:hAnsi="Calibri"/>
                <w:szCs w:val="22"/>
              </w:rPr>
              <w:t xml:space="preserve">and rear </w:t>
            </w:r>
            <w:r w:rsidR="00D14BAE">
              <w:rPr>
                <w:rFonts w:ascii="Calibri" w:hAnsi="Calibri"/>
                <w:szCs w:val="22"/>
              </w:rPr>
              <w:t>elevation</w:t>
            </w:r>
            <w:r w:rsidR="00CF5596">
              <w:rPr>
                <w:rFonts w:ascii="Calibri" w:hAnsi="Calibri"/>
                <w:szCs w:val="22"/>
              </w:rPr>
              <w:t>s</w:t>
            </w:r>
            <w:r w:rsidR="00D14BAE">
              <w:rPr>
                <w:rFonts w:ascii="Calibri" w:hAnsi="Calibri"/>
                <w:szCs w:val="22"/>
              </w:rPr>
              <w:t>, several conservatory windows will be replaced by a single window opening</w:t>
            </w:r>
            <w:r w:rsidR="00CF5596">
              <w:rPr>
                <w:rFonts w:ascii="Calibri" w:hAnsi="Calibri"/>
                <w:szCs w:val="22"/>
              </w:rPr>
              <w:t xml:space="preserve"> on</w:t>
            </w:r>
            <w:r w:rsidR="007C4767">
              <w:rPr>
                <w:rFonts w:ascii="Calibri" w:hAnsi="Calibri"/>
                <w:szCs w:val="22"/>
              </w:rPr>
              <w:t xml:space="preserve"> these elevations </w:t>
            </w:r>
            <w:r w:rsidR="00D14BAE">
              <w:rPr>
                <w:rFonts w:ascii="Calibri" w:hAnsi="Calibri"/>
                <w:szCs w:val="22"/>
              </w:rPr>
              <w:t xml:space="preserve">which </w:t>
            </w:r>
            <w:r w:rsidR="00CF5596">
              <w:rPr>
                <w:rFonts w:ascii="Calibri" w:hAnsi="Calibri"/>
                <w:szCs w:val="22"/>
              </w:rPr>
              <w:t>are</w:t>
            </w:r>
            <w:r w:rsidR="00D14BAE">
              <w:rPr>
                <w:rFonts w:ascii="Calibri" w:hAnsi="Calibri"/>
                <w:szCs w:val="22"/>
              </w:rPr>
              <w:t xml:space="preserve"> of a </w:t>
            </w:r>
            <w:r w:rsidR="00CF5596">
              <w:rPr>
                <w:rFonts w:ascii="Calibri" w:hAnsi="Calibri"/>
                <w:szCs w:val="22"/>
              </w:rPr>
              <w:t xml:space="preserve">location and </w:t>
            </w:r>
            <w:r w:rsidR="00D14BAE">
              <w:rPr>
                <w:rFonts w:ascii="Calibri" w:hAnsi="Calibri"/>
                <w:szCs w:val="22"/>
              </w:rPr>
              <w:t xml:space="preserve">scale </w:t>
            </w:r>
            <w:r w:rsidR="001B5997">
              <w:rPr>
                <w:rFonts w:ascii="Calibri" w:hAnsi="Calibri"/>
                <w:szCs w:val="22"/>
              </w:rPr>
              <w:t>consistent</w:t>
            </w:r>
            <w:r w:rsidR="00D14BAE">
              <w:rPr>
                <w:rFonts w:ascii="Calibri" w:hAnsi="Calibri"/>
                <w:szCs w:val="22"/>
              </w:rPr>
              <w:t xml:space="preserve"> with existing fenestration</w:t>
            </w:r>
            <w:r w:rsidR="00CF5596">
              <w:rPr>
                <w:rFonts w:ascii="Calibri" w:hAnsi="Calibri"/>
                <w:szCs w:val="22"/>
              </w:rPr>
              <w:t xml:space="preserve"> </w:t>
            </w:r>
            <w:r w:rsidR="00B8326D">
              <w:rPr>
                <w:rFonts w:ascii="Calibri" w:hAnsi="Calibri"/>
                <w:szCs w:val="22"/>
              </w:rPr>
              <w:t>arrangements</w:t>
            </w:r>
            <w:r w:rsidR="00FB482A">
              <w:rPr>
                <w:rFonts w:ascii="Calibri" w:hAnsi="Calibri"/>
                <w:szCs w:val="22"/>
              </w:rPr>
              <w:t xml:space="preserve">. </w:t>
            </w:r>
            <w:r w:rsidR="00FD7758">
              <w:rPr>
                <w:rFonts w:ascii="Calibri" w:hAnsi="Calibri"/>
                <w:szCs w:val="22"/>
              </w:rPr>
              <w:t xml:space="preserve">As the </w:t>
            </w:r>
            <w:r w:rsidR="007C4767">
              <w:rPr>
                <w:rFonts w:ascii="Calibri" w:hAnsi="Calibri"/>
                <w:szCs w:val="22"/>
              </w:rPr>
              <w:t>final</w:t>
            </w:r>
            <w:r w:rsidR="00FD7758">
              <w:rPr>
                <w:rFonts w:ascii="Calibri" w:hAnsi="Calibri"/>
                <w:szCs w:val="22"/>
              </w:rPr>
              <w:t xml:space="preserve"> property at the end of Homeacre Avenue, t</w:t>
            </w:r>
            <w:r w:rsidR="00A14D11">
              <w:rPr>
                <w:rFonts w:ascii="Calibri" w:hAnsi="Calibri"/>
                <w:szCs w:val="22"/>
              </w:rPr>
              <w:t xml:space="preserve">he </w:t>
            </w:r>
            <w:r w:rsidR="00584ED5">
              <w:rPr>
                <w:rFonts w:ascii="Calibri" w:hAnsi="Calibri"/>
                <w:szCs w:val="22"/>
              </w:rPr>
              <w:t xml:space="preserve">application property benefits from a secluded northern elevation </w:t>
            </w:r>
            <w:r w:rsidR="00A14D11">
              <w:rPr>
                <w:rFonts w:ascii="Calibri" w:hAnsi="Calibri"/>
                <w:szCs w:val="22"/>
              </w:rPr>
              <w:t>where the proposed extension is to be sited</w:t>
            </w:r>
            <w:r w:rsidR="00AE3FB6">
              <w:rPr>
                <w:rFonts w:ascii="Calibri" w:hAnsi="Calibri"/>
                <w:szCs w:val="22"/>
              </w:rPr>
              <w:t xml:space="preserve"> with agricultural land to the north </w:t>
            </w:r>
            <w:r w:rsidR="007C4767">
              <w:rPr>
                <w:rFonts w:ascii="Calibri" w:hAnsi="Calibri"/>
                <w:szCs w:val="22"/>
              </w:rPr>
              <w:t>at</w:t>
            </w:r>
            <w:r w:rsidR="00AE3FB6">
              <w:rPr>
                <w:rFonts w:ascii="Calibri" w:hAnsi="Calibri"/>
                <w:szCs w:val="22"/>
              </w:rPr>
              <w:t xml:space="preserve"> a significantly higher land level</w:t>
            </w:r>
            <w:r w:rsidR="00584ED5">
              <w:rPr>
                <w:rFonts w:ascii="Calibri" w:hAnsi="Calibri"/>
                <w:szCs w:val="22"/>
              </w:rPr>
              <w:t>.</w:t>
            </w:r>
            <w:r w:rsidR="00A14D11">
              <w:rPr>
                <w:rFonts w:ascii="Calibri" w:hAnsi="Calibri"/>
                <w:szCs w:val="22"/>
              </w:rPr>
              <w:t xml:space="preserve"> </w:t>
            </w:r>
            <w:r w:rsidR="00D11142">
              <w:rPr>
                <w:rFonts w:ascii="Calibri" w:hAnsi="Calibri"/>
                <w:szCs w:val="22"/>
              </w:rPr>
              <w:t>Considering</w:t>
            </w:r>
            <w:r w:rsidR="00584F1E">
              <w:rPr>
                <w:rFonts w:ascii="Calibri" w:hAnsi="Calibri"/>
                <w:szCs w:val="22"/>
              </w:rPr>
              <w:t xml:space="preserve"> this and the </w:t>
            </w:r>
            <w:r w:rsidR="007C4767">
              <w:rPr>
                <w:rFonts w:ascii="Calibri" w:hAnsi="Calibri"/>
                <w:szCs w:val="22"/>
              </w:rPr>
              <w:t xml:space="preserve">considerable </w:t>
            </w:r>
            <w:r w:rsidR="00AE3FB6">
              <w:rPr>
                <w:rFonts w:ascii="Calibri" w:hAnsi="Calibri"/>
                <w:szCs w:val="22"/>
              </w:rPr>
              <w:t>separation distances between properties</w:t>
            </w:r>
            <w:r w:rsidR="00584F1E">
              <w:rPr>
                <w:rFonts w:ascii="Calibri" w:hAnsi="Calibri"/>
                <w:szCs w:val="22"/>
              </w:rPr>
              <w:t xml:space="preserve"> </w:t>
            </w:r>
            <w:r w:rsidR="00A14D11">
              <w:rPr>
                <w:rFonts w:ascii="Calibri" w:hAnsi="Calibri"/>
                <w:szCs w:val="22"/>
              </w:rPr>
              <w:t>it is not deemed that the</w:t>
            </w:r>
            <w:r w:rsidR="00584ED5">
              <w:rPr>
                <w:rFonts w:ascii="Calibri" w:hAnsi="Calibri"/>
                <w:szCs w:val="22"/>
              </w:rPr>
              <w:t xml:space="preserve"> </w:t>
            </w:r>
            <w:r w:rsidR="005317EB">
              <w:rPr>
                <w:rFonts w:ascii="Calibri" w:hAnsi="Calibri"/>
                <w:szCs w:val="22"/>
              </w:rPr>
              <w:t xml:space="preserve">proposed </w:t>
            </w:r>
            <w:r w:rsidR="002955B7">
              <w:rPr>
                <w:rFonts w:ascii="Calibri" w:hAnsi="Calibri"/>
                <w:szCs w:val="22"/>
              </w:rPr>
              <w:t>windows</w:t>
            </w:r>
            <w:r w:rsidR="00584ED5">
              <w:rPr>
                <w:rFonts w:ascii="Calibri" w:hAnsi="Calibri"/>
                <w:szCs w:val="22"/>
              </w:rPr>
              <w:t xml:space="preserve"> would introduce new opportunities for overlooking</w:t>
            </w:r>
            <w:r w:rsidR="00FD7758">
              <w:rPr>
                <w:rFonts w:ascii="Calibri" w:hAnsi="Calibri"/>
                <w:szCs w:val="22"/>
              </w:rPr>
              <w:t xml:space="preserve">. </w:t>
            </w:r>
            <w:r w:rsidR="002955B7">
              <w:rPr>
                <w:rFonts w:ascii="Calibri" w:hAnsi="Calibri"/>
                <w:szCs w:val="22"/>
              </w:rPr>
              <w:t>T</w:t>
            </w:r>
            <w:r w:rsidR="00CF5596">
              <w:rPr>
                <w:rFonts w:ascii="Calibri" w:hAnsi="Calibri"/>
                <w:szCs w:val="22"/>
              </w:rPr>
              <w:t>wo rooflights proposed on both pitches of the extension have also been considered in this regard</w:t>
            </w:r>
            <w:r w:rsidR="002955B7">
              <w:rPr>
                <w:rFonts w:ascii="Calibri" w:hAnsi="Calibri"/>
                <w:szCs w:val="22"/>
              </w:rPr>
              <w:t xml:space="preserve">, however, </w:t>
            </w:r>
            <w:r w:rsidR="00584F1E">
              <w:rPr>
                <w:rFonts w:ascii="Calibri" w:hAnsi="Calibri"/>
                <w:szCs w:val="22"/>
              </w:rPr>
              <w:t>will not result in any undue impact by virtue of their configuration, height, and orientation.</w:t>
            </w:r>
          </w:p>
          <w:p w14:paraId="64BB2789" w14:textId="09FE5FE1" w:rsidR="008175E6" w:rsidRPr="00C63966" w:rsidRDefault="00C42A19" w:rsidP="00E859DC">
            <w:pPr>
              <w:jc w:val="both"/>
              <w:rPr>
                <w:rFonts w:ascii="Calibri" w:hAnsi="Calibri"/>
                <w:szCs w:val="22"/>
              </w:rPr>
            </w:pPr>
            <w:r>
              <w:rPr>
                <w:rFonts w:ascii="Calibri" w:hAnsi="Calibri"/>
                <w:szCs w:val="22"/>
              </w:rPr>
              <w:t xml:space="preserve"> </w:t>
            </w:r>
          </w:p>
        </w:tc>
      </w:tr>
      <w:tr w:rsidR="008C75E4" w:rsidRPr="008C75E4" w14:paraId="769E4ED9" w14:textId="77777777" w:rsidTr="00261C7F">
        <w:trPr>
          <w:trHeight w:val="864"/>
          <w:jc w:val="center"/>
        </w:trPr>
        <w:tc>
          <w:tcPr>
            <w:tcW w:w="9803" w:type="dxa"/>
            <w:gridSpan w:val="15"/>
            <w:tcMar>
              <w:top w:w="57" w:type="dxa"/>
              <w:bottom w:w="57" w:type="dxa"/>
            </w:tcMar>
          </w:tcPr>
          <w:p w14:paraId="4A2FC2C3" w14:textId="70506707" w:rsidR="00C0704D" w:rsidRPr="00D7050C" w:rsidRDefault="00DF42DA" w:rsidP="006126D1">
            <w:pPr>
              <w:contextualSpacing/>
              <w:jc w:val="both"/>
              <w:rPr>
                <w:rFonts w:ascii="Calibri" w:hAnsi="Calibri"/>
                <w:b/>
                <w:szCs w:val="22"/>
              </w:rPr>
            </w:pPr>
            <w:r w:rsidRPr="00D7050C">
              <w:rPr>
                <w:rFonts w:ascii="Calibri" w:hAnsi="Calibri"/>
                <w:b/>
                <w:szCs w:val="22"/>
              </w:rPr>
              <w:t>Visual Amenity:</w:t>
            </w:r>
          </w:p>
          <w:p w14:paraId="4DD1F77D" w14:textId="18CE72E5" w:rsidR="00947564" w:rsidRPr="00D7050C" w:rsidRDefault="00947564" w:rsidP="00261C7F">
            <w:pPr>
              <w:contextualSpacing/>
              <w:jc w:val="both"/>
              <w:rPr>
                <w:rFonts w:ascii="Calibri" w:hAnsi="Calibri"/>
                <w:szCs w:val="22"/>
              </w:rPr>
            </w:pPr>
          </w:p>
          <w:p w14:paraId="5686915D" w14:textId="77777777" w:rsidR="007E6030" w:rsidRDefault="007E6030" w:rsidP="007E6030">
            <w:pPr>
              <w:contextualSpacing/>
              <w:jc w:val="both"/>
              <w:rPr>
                <w:rFonts w:ascii="Calibri" w:hAnsi="Calibri"/>
                <w:szCs w:val="22"/>
              </w:rPr>
            </w:pPr>
            <w:r>
              <w:rPr>
                <w:rFonts w:ascii="Calibri" w:hAnsi="Calibri"/>
                <w:szCs w:val="22"/>
              </w:rPr>
              <w:t xml:space="preserve">The impacts of the proposal on the visual amenities of the area should be assessed against policy DMG1 of the Ribble Valley Core Strategy which states that all development must be </w:t>
            </w:r>
            <w:r w:rsidRPr="00C5684E">
              <w:rPr>
                <w:rFonts w:ascii="Calibri" w:hAnsi="Calibri"/>
                <w:i/>
                <w:iCs/>
                <w:szCs w:val="22"/>
              </w:rPr>
              <w:t>‘sympathetic to existing and proposed land uses in terms of its size, intensity, and nature as well as scale, massing, style, features and building materials’</w:t>
            </w:r>
            <w:r>
              <w:rPr>
                <w:rFonts w:ascii="Calibri" w:hAnsi="Calibri"/>
                <w:szCs w:val="22"/>
              </w:rPr>
              <w:t>.</w:t>
            </w:r>
          </w:p>
          <w:p w14:paraId="50AD4A73" w14:textId="77777777" w:rsidR="00863291" w:rsidRDefault="00863291" w:rsidP="00863291">
            <w:pPr>
              <w:contextualSpacing/>
              <w:jc w:val="both"/>
              <w:rPr>
                <w:rFonts w:ascii="Calibri" w:hAnsi="Calibri"/>
                <w:szCs w:val="22"/>
              </w:rPr>
            </w:pPr>
          </w:p>
          <w:p w14:paraId="7578968B" w14:textId="25B51DC0" w:rsidR="008F4DED" w:rsidRDefault="00863291" w:rsidP="007E6030">
            <w:pPr>
              <w:contextualSpacing/>
              <w:jc w:val="both"/>
              <w:rPr>
                <w:rFonts w:ascii="Calibri" w:hAnsi="Calibri"/>
                <w:szCs w:val="22"/>
              </w:rPr>
            </w:pPr>
            <w:r>
              <w:rPr>
                <w:rFonts w:ascii="Calibri" w:hAnsi="Calibri"/>
                <w:szCs w:val="22"/>
              </w:rPr>
              <w:t xml:space="preserve">Plans submitted with the application show that despite proposing a ridge height </w:t>
            </w:r>
            <w:proofErr w:type="gramStart"/>
            <w:r>
              <w:rPr>
                <w:rFonts w:ascii="Calibri" w:hAnsi="Calibri"/>
                <w:szCs w:val="22"/>
              </w:rPr>
              <w:t>in excess of</w:t>
            </w:r>
            <w:proofErr w:type="gramEnd"/>
            <w:r>
              <w:rPr>
                <w:rFonts w:ascii="Calibri" w:hAnsi="Calibri"/>
                <w:szCs w:val="22"/>
              </w:rPr>
              <w:t xml:space="preserve"> the existing conservatory, </w:t>
            </w:r>
            <w:r w:rsidR="008340CD">
              <w:rPr>
                <w:rFonts w:ascii="Calibri" w:hAnsi="Calibri"/>
                <w:szCs w:val="22"/>
              </w:rPr>
              <w:t xml:space="preserve">the ridge height of the extension will remain </w:t>
            </w:r>
            <w:r>
              <w:rPr>
                <w:rFonts w:ascii="Calibri" w:hAnsi="Calibri"/>
                <w:szCs w:val="22"/>
              </w:rPr>
              <w:t xml:space="preserve">well below that of the property as a whole and of </w:t>
            </w:r>
            <w:r w:rsidR="008340CD">
              <w:rPr>
                <w:rFonts w:ascii="Calibri" w:hAnsi="Calibri"/>
                <w:szCs w:val="22"/>
              </w:rPr>
              <w:t xml:space="preserve">comparable </w:t>
            </w:r>
            <w:r>
              <w:rPr>
                <w:rFonts w:ascii="Calibri" w:hAnsi="Calibri"/>
                <w:szCs w:val="22"/>
              </w:rPr>
              <w:t>neighbouring properties in the area. This, in addition to setting back the side extension significantly from the principal elevation</w:t>
            </w:r>
            <w:r w:rsidR="005317EB">
              <w:rPr>
                <w:rFonts w:ascii="Calibri" w:hAnsi="Calibri"/>
                <w:szCs w:val="22"/>
              </w:rPr>
              <w:t xml:space="preserve"> and maintai</w:t>
            </w:r>
            <w:r w:rsidR="00833B1E">
              <w:rPr>
                <w:rFonts w:ascii="Calibri" w:hAnsi="Calibri"/>
                <w:szCs w:val="22"/>
              </w:rPr>
              <w:t>ning a consistent eaves height</w:t>
            </w:r>
            <w:r w:rsidR="00D11142">
              <w:rPr>
                <w:rFonts w:ascii="Calibri" w:hAnsi="Calibri"/>
                <w:szCs w:val="22"/>
              </w:rPr>
              <w:t xml:space="preserve"> helps to</w:t>
            </w:r>
            <w:r>
              <w:rPr>
                <w:rFonts w:ascii="Calibri" w:hAnsi="Calibri"/>
                <w:szCs w:val="22"/>
              </w:rPr>
              <w:t xml:space="preserve"> mitigate</w:t>
            </w:r>
            <w:r w:rsidR="00D11142">
              <w:rPr>
                <w:rFonts w:ascii="Calibri" w:hAnsi="Calibri"/>
                <w:szCs w:val="22"/>
              </w:rPr>
              <w:t xml:space="preserve"> </w:t>
            </w:r>
            <w:r>
              <w:rPr>
                <w:rFonts w:ascii="Calibri" w:hAnsi="Calibri"/>
                <w:szCs w:val="22"/>
              </w:rPr>
              <w:t xml:space="preserve">the impacts of the development upon the street scene and safeguards a sympathetic relationship to other </w:t>
            </w:r>
            <w:r w:rsidR="00833B1E">
              <w:rPr>
                <w:rFonts w:ascii="Calibri" w:hAnsi="Calibri"/>
                <w:szCs w:val="22"/>
              </w:rPr>
              <w:lastRenderedPageBreak/>
              <w:t xml:space="preserve">immediate </w:t>
            </w:r>
            <w:r>
              <w:rPr>
                <w:rFonts w:ascii="Calibri" w:hAnsi="Calibri"/>
                <w:szCs w:val="22"/>
              </w:rPr>
              <w:t>built form in the area in accordance with DMG1. More generally</w:t>
            </w:r>
            <w:r w:rsidR="008F4DED">
              <w:rPr>
                <w:rFonts w:ascii="Calibri" w:hAnsi="Calibri"/>
                <w:szCs w:val="22"/>
              </w:rPr>
              <w:t>,</w:t>
            </w:r>
            <w:r>
              <w:rPr>
                <w:rFonts w:ascii="Calibri" w:hAnsi="Calibri"/>
                <w:szCs w:val="22"/>
              </w:rPr>
              <w:t xml:space="preserve"> t</w:t>
            </w:r>
            <w:r w:rsidR="00480E37">
              <w:rPr>
                <w:rFonts w:ascii="Calibri" w:hAnsi="Calibri"/>
                <w:szCs w:val="22"/>
              </w:rPr>
              <w:t xml:space="preserve">he proposed </w:t>
            </w:r>
            <w:r w:rsidR="008340CD">
              <w:rPr>
                <w:rFonts w:ascii="Calibri" w:hAnsi="Calibri"/>
                <w:szCs w:val="22"/>
              </w:rPr>
              <w:t>scheme</w:t>
            </w:r>
            <w:r w:rsidR="00480E37">
              <w:rPr>
                <w:rFonts w:ascii="Calibri" w:hAnsi="Calibri"/>
                <w:szCs w:val="22"/>
              </w:rPr>
              <w:t xml:space="preserve"> </w:t>
            </w:r>
            <w:r w:rsidR="00AE3CD5">
              <w:rPr>
                <w:rFonts w:ascii="Calibri" w:hAnsi="Calibri"/>
                <w:szCs w:val="22"/>
              </w:rPr>
              <w:t xml:space="preserve">seeks to secure a minimal increase </w:t>
            </w:r>
            <w:r w:rsidR="00480E37">
              <w:rPr>
                <w:rFonts w:ascii="Calibri" w:hAnsi="Calibri"/>
                <w:szCs w:val="22"/>
              </w:rPr>
              <w:t xml:space="preserve">in overall building footprint </w:t>
            </w:r>
            <w:r w:rsidR="00D114C8">
              <w:rPr>
                <w:rFonts w:ascii="Calibri" w:hAnsi="Calibri"/>
                <w:szCs w:val="22"/>
              </w:rPr>
              <w:t>which</w:t>
            </w:r>
            <w:r w:rsidR="008F4DED">
              <w:rPr>
                <w:rFonts w:ascii="Calibri" w:hAnsi="Calibri"/>
                <w:szCs w:val="22"/>
              </w:rPr>
              <w:t xml:space="preserve"> is of a scale commensurate and subordinate to that of the dwelling. This ensures a minimal </w:t>
            </w:r>
            <w:r w:rsidR="00D114C8">
              <w:rPr>
                <w:rFonts w:ascii="Calibri" w:hAnsi="Calibri"/>
                <w:szCs w:val="22"/>
              </w:rPr>
              <w:t>visual amenity impac</w:t>
            </w:r>
            <w:r w:rsidR="008F4DED">
              <w:rPr>
                <w:rFonts w:ascii="Calibri" w:hAnsi="Calibri"/>
                <w:szCs w:val="22"/>
              </w:rPr>
              <w:t>t.</w:t>
            </w:r>
          </w:p>
          <w:p w14:paraId="71CC8492" w14:textId="77777777" w:rsidR="00863291" w:rsidRDefault="00863291" w:rsidP="007E6030">
            <w:pPr>
              <w:contextualSpacing/>
              <w:jc w:val="both"/>
              <w:rPr>
                <w:rFonts w:ascii="Calibri" w:hAnsi="Calibri"/>
                <w:szCs w:val="22"/>
              </w:rPr>
            </w:pPr>
          </w:p>
          <w:p w14:paraId="386012F1" w14:textId="7936B59D" w:rsidR="00377D79" w:rsidRPr="00D7050C" w:rsidRDefault="00863291" w:rsidP="00C42A19">
            <w:pPr>
              <w:contextualSpacing/>
              <w:jc w:val="both"/>
              <w:rPr>
                <w:rFonts w:ascii="Calibri" w:hAnsi="Calibri"/>
                <w:szCs w:val="22"/>
              </w:rPr>
            </w:pPr>
            <w:r>
              <w:rPr>
                <w:rFonts w:ascii="Calibri" w:hAnsi="Calibri"/>
                <w:szCs w:val="22"/>
              </w:rPr>
              <w:t>The us</w:t>
            </w:r>
            <w:r w:rsidR="00E945FA">
              <w:rPr>
                <w:rFonts w:ascii="Calibri" w:hAnsi="Calibri"/>
                <w:szCs w:val="22"/>
              </w:rPr>
              <w:t>e of materials including a render finish on all elevations, woodgrain grey uPVC and a tiled roof match those in situ within the application property and</w:t>
            </w:r>
            <w:r w:rsidR="008340CD">
              <w:rPr>
                <w:rFonts w:ascii="Calibri" w:hAnsi="Calibri"/>
                <w:szCs w:val="22"/>
              </w:rPr>
              <w:t xml:space="preserve"> overall</w:t>
            </w:r>
            <w:r w:rsidR="00E945FA">
              <w:rPr>
                <w:rFonts w:ascii="Calibri" w:hAnsi="Calibri"/>
                <w:szCs w:val="22"/>
              </w:rPr>
              <w:t xml:space="preserve"> achieves a well-considered and consistent form of design which has the lowest possible impact upon visual amenity</w:t>
            </w:r>
            <w:r w:rsidR="0021607D">
              <w:rPr>
                <w:rFonts w:ascii="Calibri" w:hAnsi="Calibri"/>
                <w:szCs w:val="22"/>
              </w:rPr>
              <w:t xml:space="preserve"> and wider surroundings including the Forest of Bowland Area of Outstanding National Beauty.</w:t>
            </w:r>
            <w:r w:rsidR="005317EB">
              <w:rPr>
                <w:rFonts w:ascii="Calibri" w:hAnsi="Calibri"/>
                <w:szCs w:val="22"/>
              </w:rPr>
              <w:t xml:space="preserve"> </w:t>
            </w:r>
            <w:r w:rsidR="00833B1E">
              <w:rPr>
                <w:rFonts w:ascii="Calibri" w:hAnsi="Calibri"/>
                <w:szCs w:val="22"/>
              </w:rPr>
              <w:t xml:space="preserve">This </w:t>
            </w:r>
            <w:r w:rsidR="0021607D">
              <w:rPr>
                <w:rFonts w:ascii="Calibri" w:hAnsi="Calibri"/>
                <w:szCs w:val="22"/>
              </w:rPr>
              <w:t xml:space="preserve">meets </w:t>
            </w:r>
            <w:r w:rsidR="00833B1E">
              <w:rPr>
                <w:rFonts w:ascii="Calibri" w:hAnsi="Calibri"/>
                <w:szCs w:val="22"/>
              </w:rPr>
              <w:t>the tests of design found within chapter 15 of the National Planning Policy Framework</w:t>
            </w:r>
            <w:r w:rsidR="008340CD">
              <w:rPr>
                <w:rFonts w:ascii="Calibri" w:hAnsi="Calibri"/>
                <w:szCs w:val="22"/>
              </w:rPr>
              <w:t xml:space="preserve"> and </w:t>
            </w:r>
            <w:r w:rsidR="00833B1E">
              <w:rPr>
                <w:rFonts w:ascii="Calibri" w:hAnsi="Calibri"/>
                <w:szCs w:val="22"/>
              </w:rPr>
              <w:t xml:space="preserve">Key Statement </w:t>
            </w:r>
            <w:r w:rsidR="0021607D">
              <w:rPr>
                <w:rFonts w:ascii="Calibri" w:hAnsi="Calibri"/>
                <w:szCs w:val="22"/>
              </w:rPr>
              <w:t>EN2 of the Ribble Valley Core Strategy.</w:t>
            </w:r>
          </w:p>
          <w:p w14:paraId="254F8497" w14:textId="55CB33BD" w:rsidR="00367793" w:rsidRPr="00D7050C" w:rsidRDefault="00367793" w:rsidP="00D7050C">
            <w:pPr>
              <w:contextualSpacing/>
              <w:jc w:val="both"/>
              <w:rPr>
                <w:rFonts w:ascii="Calibri" w:hAnsi="Calibri"/>
                <w:szCs w:val="22"/>
              </w:rPr>
            </w:pPr>
          </w:p>
        </w:tc>
      </w:tr>
      <w:tr w:rsidR="0058347D" w:rsidRPr="008C75E4" w14:paraId="5ECC7036" w14:textId="77777777" w:rsidTr="00261C7F">
        <w:trPr>
          <w:trHeight w:val="864"/>
          <w:jc w:val="center"/>
        </w:trPr>
        <w:tc>
          <w:tcPr>
            <w:tcW w:w="9803" w:type="dxa"/>
            <w:gridSpan w:val="15"/>
            <w:tcMar>
              <w:top w:w="57" w:type="dxa"/>
              <w:bottom w:w="57" w:type="dxa"/>
            </w:tcMar>
          </w:tcPr>
          <w:p w14:paraId="47DE447F" w14:textId="433E6A35" w:rsidR="004D1615" w:rsidRDefault="00796CCE" w:rsidP="006126D1">
            <w:pPr>
              <w:jc w:val="both"/>
              <w:rPr>
                <w:rFonts w:ascii="Calibri" w:hAnsi="Calibri"/>
                <w:b/>
                <w:szCs w:val="22"/>
              </w:rPr>
            </w:pPr>
            <w:r>
              <w:rPr>
                <w:rFonts w:ascii="Calibri" w:hAnsi="Calibri"/>
                <w:b/>
                <w:szCs w:val="22"/>
              </w:rPr>
              <w:lastRenderedPageBreak/>
              <w:t>Heritage:</w:t>
            </w:r>
          </w:p>
          <w:p w14:paraId="4C7D5D34" w14:textId="006D6797" w:rsidR="00796CCE" w:rsidRDefault="00796CCE" w:rsidP="006126D1">
            <w:pPr>
              <w:jc w:val="both"/>
              <w:rPr>
                <w:rFonts w:ascii="Calibri" w:hAnsi="Calibri"/>
                <w:bCs/>
              </w:rPr>
            </w:pPr>
          </w:p>
          <w:p w14:paraId="777B3B26" w14:textId="35FEA34C" w:rsidR="00E852B1" w:rsidRDefault="00D7050C" w:rsidP="00E852B1">
            <w:pPr>
              <w:jc w:val="both"/>
              <w:rPr>
                <w:rFonts w:ascii="Calibri" w:hAnsi="Calibri"/>
                <w:szCs w:val="22"/>
              </w:rPr>
            </w:pPr>
            <w:r>
              <w:rPr>
                <w:rFonts w:ascii="Calibri" w:hAnsi="Calibri"/>
                <w:szCs w:val="22"/>
              </w:rPr>
              <w:t xml:space="preserve">The application property is situated within Sabden Conservation Area. </w:t>
            </w:r>
            <w:r w:rsidR="00E852B1">
              <w:rPr>
                <w:rFonts w:ascii="Calibri" w:hAnsi="Calibri"/>
                <w:szCs w:val="22"/>
              </w:rPr>
              <w:t>With reference to making decisions on applications for development in a conservation area, Section 72 of the Planning (Listed Buildings and Conservation Areas) Act 1990 states that: “...</w:t>
            </w:r>
            <w:r w:rsidR="00E852B1">
              <w:rPr>
                <w:rFonts w:ascii="Calibri" w:hAnsi="Calibri"/>
                <w:i/>
                <w:iCs/>
                <w:szCs w:val="22"/>
              </w:rPr>
              <w:t>special attention shall be paid to the desirability of preserving or enhancing the character or appearance of that area.</w:t>
            </w:r>
            <w:r w:rsidR="00E852B1">
              <w:rPr>
                <w:rFonts w:ascii="Calibri" w:hAnsi="Calibri"/>
                <w:szCs w:val="22"/>
              </w:rPr>
              <w:t xml:space="preserve">” </w:t>
            </w:r>
          </w:p>
          <w:p w14:paraId="4D9919AA" w14:textId="77777777" w:rsidR="00E852B1" w:rsidRDefault="00E852B1" w:rsidP="00E852B1">
            <w:pPr>
              <w:jc w:val="both"/>
              <w:rPr>
                <w:rFonts w:ascii="Calibri" w:hAnsi="Calibri"/>
                <w:szCs w:val="22"/>
              </w:rPr>
            </w:pPr>
          </w:p>
          <w:p w14:paraId="057A6827" w14:textId="00AE4EB1" w:rsidR="00E852B1" w:rsidRDefault="00E852B1" w:rsidP="00E852B1">
            <w:pPr>
              <w:jc w:val="both"/>
              <w:rPr>
                <w:rFonts w:ascii="Calibri" w:hAnsi="Calibri"/>
                <w:szCs w:val="22"/>
              </w:rPr>
            </w:pPr>
            <w:r>
              <w:rPr>
                <w:rFonts w:ascii="Calibri" w:hAnsi="Calibri"/>
                <w:szCs w:val="22"/>
              </w:rPr>
              <w:t xml:space="preserve">Moreover, Key Statement EN5 of the Ribble Borough Valley Core Strategy stipulates that all development proposals should respect and safeguard the character, appearance, and significance of all Conservation Areas. </w:t>
            </w:r>
          </w:p>
          <w:p w14:paraId="43FA4808" w14:textId="2FDD95FB" w:rsidR="00E852B1" w:rsidRDefault="00E852B1" w:rsidP="00E852B1">
            <w:pPr>
              <w:jc w:val="both"/>
              <w:rPr>
                <w:rFonts w:ascii="Calibri" w:hAnsi="Calibri"/>
                <w:szCs w:val="22"/>
              </w:rPr>
            </w:pPr>
          </w:p>
          <w:p w14:paraId="6934368B" w14:textId="0F75C3B2" w:rsidR="00E852B1" w:rsidRPr="00236158" w:rsidRDefault="00184221" w:rsidP="00E852B1">
            <w:pPr>
              <w:jc w:val="both"/>
              <w:rPr>
                <w:rFonts w:ascii="Calibri" w:hAnsi="Calibri"/>
                <w:szCs w:val="22"/>
              </w:rPr>
            </w:pPr>
            <w:r>
              <w:rPr>
                <w:rFonts w:ascii="Calibri" w:hAnsi="Calibri"/>
                <w:szCs w:val="22"/>
              </w:rPr>
              <w:t>Sabden Conservation Area</w:t>
            </w:r>
            <w:r w:rsidR="00D7050C">
              <w:rPr>
                <w:rFonts w:ascii="Calibri" w:hAnsi="Calibri"/>
                <w:szCs w:val="22"/>
              </w:rPr>
              <w:t xml:space="preserve"> is </w:t>
            </w:r>
            <w:r>
              <w:rPr>
                <w:rFonts w:ascii="Calibri" w:hAnsi="Calibri"/>
                <w:szCs w:val="22"/>
              </w:rPr>
              <w:t>characterised by late 18</w:t>
            </w:r>
            <w:r w:rsidRPr="00184221">
              <w:rPr>
                <w:rFonts w:ascii="Calibri" w:hAnsi="Calibri"/>
                <w:szCs w:val="22"/>
                <w:vertAlign w:val="superscript"/>
              </w:rPr>
              <w:t>th</w:t>
            </w:r>
            <w:r>
              <w:rPr>
                <w:rFonts w:ascii="Calibri" w:hAnsi="Calibri"/>
                <w:szCs w:val="22"/>
              </w:rPr>
              <w:t xml:space="preserve"> and 19</w:t>
            </w:r>
            <w:r w:rsidRPr="00184221">
              <w:rPr>
                <w:rFonts w:ascii="Calibri" w:hAnsi="Calibri"/>
                <w:szCs w:val="22"/>
                <w:vertAlign w:val="superscript"/>
              </w:rPr>
              <w:t>th</w:t>
            </w:r>
            <w:r>
              <w:rPr>
                <w:rFonts w:ascii="Calibri" w:hAnsi="Calibri"/>
                <w:szCs w:val="22"/>
              </w:rPr>
              <w:t xml:space="preserve"> century terraces and mills </w:t>
            </w:r>
            <w:r w:rsidR="0021607D">
              <w:rPr>
                <w:rFonts w:ascii="Calibri" w:hAnsi="Calibri"/>
                <w:szCs w:val="22"/>
              </w:rPr>
              <w:t xml:space="preserve">which are </w:t>
            </w:r>
            <w:r w:rsidR="00461AEF">
              <w:rPr>
                <w:rFonts w:ascii="Calibri" w:hAnsi="Calibri"/>
                <w:szCs w:val="22"/>
              </w:rPr>
              <w:t xml:space="preserve">indicative of </w:t>
            </w:r>
            <w:r w:rsidR="00944167">
              <w:rPr>
                <w:rFonts w:ascii="Calibri" w:hAnsi="Calibri"/>
                <w:szCs w:val="22"/>
              </w:rPr>
              <w:t xml:space="preserve">the village’s industrial history. </w:t>
            </w:r>
            <w:r w:rsidR="00E852B1">
              <w:rPr>
                <w:rFonts w:ascii="Calibri" w:hAnsi="Calibri"/>
                <w:szCs w:val="22"/>
              </w:rPr>
              <w:t>The Sabden Conservation Area Appraisal (2006) identifies the ‘</w:t>
            </w:r>
            <w:r w:rsidR="00E852B1">
              <w:rPr>
                <w:rFonts w:ascii="Calibri" w:hAnsi="Calibri"/>
                <w:i/>
                <w:iCs/>
                <w:szCs w:val="22"/>
              </w:rPr>
              <w:t xml:space="preserve">continuing loss of original architectural details and use of inappropriate modern materials or details’ </w:t>
            </w:r>
            <w:r w:rsidR="00E852B1">
              <w:rPr>
                <w:rFonts w:ascii="Calibri" w:hAnsi="Calibri"/>
                <w:szCs w:val="22"/>
              </w:rPr>
              <w:t xml:space="preserve">as being the primary threat to the </w:t>
            </w:r>
            <w:r w:rsidR="00563E27">
              <w:rPr>
                <w:rFonts w:ascii="Calibri" w:hAnsi="Calibri"/>
                <w:szCs w:val="22"/>
              </w:rPr>
              <w:t>designation and i</w:t>
            </w:r>
            <w:r w:rsidR="00236158">
              <w:rPr>
                <w:rFonts w:ascii="Calibri" w:hAnsi="Calibri"/>
                <w:szCs w:val="22"/>
              </w:rPr>
              <w:t xml:space="preserve">n response, </w:t>
            </w:r>
            <w:r w:rsidR="00E852B1">
              <w:rPr>
                <w:rFonts w:ascii="Calibri" w:hAnsi="Calibri"/>
                <w:szCs w:val="22"/>
              </w:rPr>
              <w:t xml:space="preserve">the Sabden Conservation Area Management Guidance (2006) </w:t>
            </w:r>
            <w:r w:rsidR="00236158">
              <w:rPr>
                <w:rFonts w:ascii="Calibri" w:hAnsi="Calibri"/>
                <w:szCs w:val="22"/>
              </w:rPr>
              <w:t>states</w:t>
            </w:r>
            <w:r w:rsidR="00E852B1">
              <w:rPr>
                <w:rFonts w:ascii="Calibri" w:hAnsi="Calibri"/>
                <w:szCs w:val="22"/>
              </w:rPr>
              <w:t xml:space="preserve"> that </w:t>
            </w:r>
            <w:r w:rsidR="00E852B1">
              <w:rPr>
                <w:rFonts w:ascii="Calibri" w:hAnsi="Calibri"/>
                <w:i/>
                <w:iCs/>
                <w:szCs w:val="22"/>
              </w:rPr>
              <w:t>‘alterations or repairs to external elevations should respect historic fabric and match it in materials, texture, quality and colour.</w:t>
            </w:r>
            <w:r w:rsidR="00236158">
              <w:rPr>
                <w:rFonts w:ascii="Calibri" w:hAnsi="Calibri"/>
                <w:i/>
                <w:iCs/>
                <w:szCs w:val="22"/>
              </w:rPr>
              <w:t xml:space="preserve">’ </w:t>
            </w:r>
            <w:r w:rsidR="00563E27" w:rsidRPr="00563E27">
              <w:rPr>
                <w:rFonts w:ascii="Calibri" w:hAnsi="Calibri"/>
                <w:szCs w:val="22"/>
              </w:rPr>
              <w:t xml:space="preserve">This </w:t>
            </w:r>
            <w:r w:rsidR="007617CB">
              <w:rPr>
                <w:rFonts w:ascii="Calibri" w:hAnsi="Calibri"/>
                <w:szCs w:val="22"/>
              </w:rPr>
              <w:t xml:space="preserve">seeks to </w:t>
            </w:r>
            <w:r w:rsidR="00563E27" w:rsidRPr="00563E27">
              <w:rPr>
                <w:rFonts w:ascii="Calibri" w:hAnsi="Calibri"/>
                <w:szCs w:val="22"/>
              </w:rPr>
              <w:t>ensure</w:t>
            </w:r>
            <w:r w:rsidR="007617CB">
              <w:rPr>
                <w:rFonts w:ascii="Calibri" w:hAnsi="Calibri"/>
                <w:szCs w:val="22"/>
              </w:rPr>
              <w:t xml:space="preserve"> </w:t>
            </w:r>
            <w:r w:rsidR="00236158" w:rsidRPr="00563E27">
              <w:rPr>
                <w:rFonts w:ascii="Calibri" w:hAnsi="Calibri"/>
                <w:szCs w:val="22"/>
              </w:rPr>
              <w:t>the merits of the area are preserved.</w:t>
            </w:r>
          </w:p>
          <w:p w14:paraId="131D54F4" w14:textId="64557339" w:rsidR="00E852B1" w:rsidRDefault="00E852B1" w:rsidP="00E852B1">
            <w:pPr>
              <w:jc w:val="both"/>
              <w:rPr>
                <w:rFonts w:ascii="Calibri" w:hAnsi="Calibri"/>
                <w:i/>
                <w:iCs/>
                <w:szCs w:val="22"/>
              </w:rPr>
            </w:pPr>
          </w:p>
          <w:p w14:paraId="134812CD" w14:textId="57F1DDC0" w:rsidR="00563E27" w:rsidRDefault="007617CB" w:rsidP="00E852B1">
            <w:pPr>
              <w:jc w:val="both"/>
              <w:rPr>
                <w:rFonts w:ascii="Calibri" w:hAnsi="Calibri"/>
                <w:szCs w:val="22"/>
              </w:rPr>
            </w:pPr>
            <w:r>
              <w:rPr>
                <w:rFonts w:ascii="Calibri" w:hAnsi="Calibri"/>
                <w:szCs w:val="22"/>
              </w:rPr>
              <w:t>Despite</w:t>
            </w:r>
            <w:r w:rsidR="00D7050C">
              <w:rPr>
                <w:rFonts w:ascii="Calibri" w:hAnsi="Calibri"/>
                <w:szCs w:val="22"/>
              </w:rPr>
              <w:t xml:space="preserve"> fa</w:t>
            </w:r>
            <w:r w:rsidR="00236158">
              <w:rPr>
                <w:rFonts w:ascii="Calibri" w:hAnsi="Calibri"/>
                <w:szCs w:val="22"/>
              </w:rPr>
              <w:t xml:space="preserve">lling within </w:t>
            </w:r>
            <w:r w:rsidR="00D11EA2">
              <w:rPr>
                <w:rFonts w:ascii="Calibri" w:hAnsi="Calibri"/>
                <w:szCs w:val="22"/>
              </w:rPr>
              <w:t>a</w:t>
            </w:r>
            <w:r w:rsidR="008F4DED">
              <w:rPr>
                <w:rFonts w:ascii="Calibri" w:hAnsi="Calibri"/>
                <w:szCs w:val="22"/>
              </w:rPr>
              <w:t xml:space="preserve"> designated conservation area, </w:t>
            </w:r>
            <w:r w:rsidR="00236158">
              <w:rPr>
                <w:rFonts w:ascii="Calibri" w:hAnsi="Calibri"/>
                <w:szCs w:val="22"/>
              </w:rPr>
              <w:t xml:space="preserve">the application property receives no formal </w:t>
            </w:r>
            <w:r w:rsidR="00F0460B">
              <w:rPr>
                <w:rFonts w:ascii="Calibri" w:hAnsi="Calibri"/>
                <w:szCs w:val="22"/>
              </w:rPr>
              <w:t>d</w:t>
            </w:r>
            <w:r w:rsidR="008F4DED">
              <w:rPr>
                <w:rFonts w:ascii="Calibri" w:hAnsi="Calibri"/>
                <w:szCs w:val="22"/>
              </w:rPr>
              <w:t>esignation as a building of townscape merit</w:t>
            </w:r>
            <w:r w:rsidR="00236158">
              <w:rPr>
                <w:rFonts w:ascii="Calibri" w:hAnsi="Calibri"/>
                <w:szCs w:val="22"/>
              </w:rPr>
              <w:t>.</w:t>
            </w:r>
            <w:r w:rsidR="00D11142">
              <w:rPr>
                <w:rFonts w:ascii="Calibri" w:hAnsi="Calibri"/>
                <w:szCs w:val="22"/>
              </w:rPr>
              <w:t xml:space="preserve"> As a result</w:t>
            </w:r>
            <w:r w:rsidR="00236158">
              <w:rPr>
                <w:rFonts w:ascii="Calibri" w:hAnsi="Calibri"/>
                <w:szCs w:val="22"/>
              </w:rPr>
              <w:t xml:space="preserve">, the application property is not judged to contribute </w:t>
            </w:r>
            <w:r>
              <w:rPr>
                <w:rFonts w:ascii="Calibri" w:hAnsi="Calibri"/>
                <w:szCs w:val="22"/>
              </w:rPr>
              <w:t xml:space="preserve">significantly </w:t>
            </w:r>
            <w:r w:rsidR="00236158">
              <w:rPr>
                <w:rFonts w:ascii="Calibri" w:hAnsi="Calibri"/>
                <w:szCs w:val="22"/>
              </w:rPr>
              <w:t xml:space="preserve">toward the </w:t>
            </w:r>
            <w:r w:rsidR="00563E27">
              <w:rPr>
                <w:rFonts w:ascii="Calibri" w:hAnsi="Calibri"/>
                <w:szCs w:val="22"/>
              </w:rPr>
              <w:t xml:space="preserve">history of Sabden as a village </w:t>
            </w:r>
            <w:r w:rsidR="00F0460B">
              <w:rPr>
                <w:rFonts w:ascii="Calibri" w:hAnsi="Calibri"/>
                <w:szCs w:val="22"/>
              </w:rPr>
              <w:t xml:space="preserve">nor is it a </w:t>
            </w:r>
            <w:r w:rsidR="00563E27">
              <w:rPr>
                <w:rFonts w:ascii="Calibri" w:hAnsi="Calibri"/>
                <w:szCs w:val="22"/>
              </w:rPr>
              <w:t xml:space="preserve">form of development </w:t>
            </w:r>
            <w:r w:rsidR="00F0460B">
              <w:rPr>
                <w:rFonts w:ascii="Calibri" w:hAnsi="Calibri"/>
                <w:szCs w:val="22"/>
              </w:rPr>
              <w:t>that the conservation area</w:t>
            </w:r>
            <w:r w:rsidR="00563E27">
              <w:rPr>
                <w:rFonts w:ascii="Calibri" w:hAnsi="Calibri"/>
                <w:szCs w:val="22"/>
              </w:rPr>
              <w:t xml:space="preserve"> is typified by</w:t>
            </w:r>
            <w:r>
              <w:rPr>
                <w:rFonts w:ascii="Calibri" w:hAnsi="Calibri"/>
                <w:szCs w:val="22"/>
              </w:rPr>
              <w:t>.</w:t>
            </w:r>
          </w:p>
          <w:p w14:paraId="0A733B24" w14:textId="01B0878F" w:rsidR="007617CB" w:rsidRDefault="007617CB" w:rsidP="00E852B1">
            <w:pPr>
              <w:jc w:val="both"/>
              <w:rPr>
                <w:rFonts w:ascii="Calibri" w:hAnsi="Calibri"/>
                <w:szCs w:val="22"/>
              </w:rPr>
            </w:pPr>
          </w:p>
          <w:p w14:paraId="39320E41" w14:textId="5F6F7BE4" w:rsidR="0058347D" w:rsidRDefault="007617CB" w:rsidP="00261C7F">
            <w:pPr>
              <w:jc w:val="both"/>
              <w:rPr>
                <w:rFonts w:ascii="Calibri" w:hAnsi="Calibri"/>
                <w:szCs w:val="22"/>
              </w:rPr>
            </w:pPr>
            <w:r>
              <w:rPr>
                <w:rFonts w:ascii="Calibri" w:hAnsi="Calibri"/>
                <w:szCs w:val="22"/>
              </w:rPr>
              <w:t xml:space="preserve">Submitted plans </w:t>
            </w:r>
            <w:r w:rsidR="00E852B1">
              <w:rPr>
                <w:rFonts w:ascii="Calibri" w:hAnsi="Calibri"/>
                <w:szCs w:val="22"/>
              </w:rPr>
              <w:t xml:space="preserve">indicate that all new materials will match the materials of the existing dwelling. </w:t>
            </w:r>
            <w:r w:rsidR="0028610E">
              <w:rPr>
                <w:rFonts w:ascii="Calibri" w:hAnsi="Calibri"/>
                <w:szCs w:val="22"/>
              </w:rPr>
              <w:t xml:space="preserve">This succeeds in achieving a form of development which reflects </w:t>
            </w:r>
            <w:r w:rsidR="004C792D">
              <w:rPr>
                <w:rFonts w:ascii="Calibri" w:hAnsi="Calibri"/>
                <w:szCs w:val="22"/>
              </w:rPr>
              <w:t>the property’s</w:t>
            </w:r>
            <w:r w:rsidR="0028610E">
              <w:rPr>
                <w:rFonts w:ascii="Calibri" w:hAnsi="Calibri"/>
                <w:szCs w:val="22"/>
              </w:rPr>
              <w:t xml:space="preserve"> immediate surroundings and </w:t>
            </w:r>
            <w:r w:rsidR="004C792D">
              <w:rPr>
                <w:rFonts w:ascii="Calibri" w:hAnsi="Calibri"/>
                <w:szCs w:val="22"/>
              </w:rPr>
              <w:t>do</w:t>
            </w:r>
            <w:r w:rsidR="00F0460B">
              <w:rPr>
                <w:rFonts w:ascii="Calibri" w:hAnsi="Calibri"/>
                <w:szCs w:val="22"/>
              </w:rPr>
              <w:t>es</w:t>
            </w:r>
            <w:r w:rsidR="004C792D">
              <w:rPr>
                <w:rFonts w:ascii="Calibri" w:hAnsi="Calibri"/>
                <w:szCs w:val="22"/>
              </w:rPr>
              <w:t xml:space="preserve"> not undermine the valued aspects of the conservation area or its significance. </w:t>
            </w:r>
            <w:r w:rsidR="00E852B1">
              <w:rPr>
                <w:rFonts w:ascii="Calibri" w:hAnsi="Calibri"/>
                <w:szCs w:val="22"/>
              </w:rPr>
              <w:t xml:space="preserve">As such, it is not considered that the proposal will have any detrimental impact on the aesthetic character of the Sabden Conservation Area. </w:t>
            </w:r>
          </w:p>
          <w:p w14:paraId="7A8516E6" w14:textId="5059A62F" w:rsidR="00D7050C" w:rsidRPr="00E852B1" w:rsidRDefault="00D7050C" w:rsidP="007617CB">
            <w:pPr>
              <w:contextualSpacing/>
              <w:jc w:val="both"/>
              <w:rPr>
                <w:rFonts w:ascii="Calibri" w:hAnsi="Calibri"/>
                <w:szCs w:val="22"/>
              </w:rPr>
            </w:pPr>
          </w:p>
        </w:tc>
      </w:tr>
      <w:tr w:rsidR="000B452E" w:rsidRPr="008C75E4" w14:paraId="37B4C034" w14:textId="77777777" w:rsidTr="00261C7F">
        <w:trPr>
          <w:trHeight w:val="864"/>
          <w:jc w:val="center"/>
        </w:trPr>
        <w:tc>
          <w:tcPr>
            <w:tcW w:w="9803" w:type="dxa"/>
            <w:gridSpan w:val="15"/>
            <w:tcMar>
              <w:top w:w="57" w:type="dxa"/>
              <w:bottom w:w="57" w:type="dxa"/>
            </w:tcMar>
          </w:tcPr>
          <w:p w14:paraId="5F500074" w14:textId="77777777" w:rsidR="000B452E" w:rsidRDefault="000B452E" w:rsidP="006126D1">
            <w:pPr>
              <w:jc w:val="both"/>
              <w:rPr>
                <w:rFonts w:ascii="Calibri" w:hAnsi="Calibri"/>
                <w:b/>
                <w:szCs w:val="22"/>
              </w:rPr>
            </w:pPr>
            <w:r>
              <w:rPr>
                <w:rFonts w:ascii="Calibri" w:hAnsi="Calibri"/>
                <w:b/>
                <w:szCs w:val="22"/>
              </w:rPr>
              <w:t>Ecology</w:t>
            </w:r>
          </w:p>
          <w:p w14:paraId="5A915D65" w14:textId="77777777" w:rsidR="000B452E" w:rsidRDefault="000B452E" w:rsidP="006126D1">
            <w:pPr>
              <w:jc w:val="both"/>
              <w:rPr>
                <w:rFonts w:ascii="Calibri" w:hAnsi="Calibri"/>
                <w:b/>
                <w:szCs w:val="22"/>
              </w:rPr>
            </w:pPr>
          </w:p>
          <w:p w14:paraId="0AB2B0AD" w14:textId="0FE86E46" w:rsidR="000B452E" w:rsidRDefault="000B452E" w:rsidP="006126D1">
            <w:pPr>
              <w:jc w:val="both"/>
              <w:rPr>
                <w:rFonts w:ascii="Calibri" w:hAnsi="Calibri"/>
                <w:bCs/>
                <w:szCs w:val="22"/>
              </w:rPr>
            </w:pPr>
            <w:r>
              <w:rPr>
                <w:rFonts w:ascii="Calibri" w:hAnsi="Calibri"/>
                <w:bCs/>
                <w:szCs w:val="22"/>
              </w:rPr>
              <w:t xml:space="preserve">A bat </w:t>
            </w:r>
            <w:r w:rsidR="007C00C5">
              <w:rPr>
                <w:rFonts w:ascii="Calibri" w:hAnsi="Calibri"/>
                <w:bCs/>
                <w:szCs w:val="22"/>
              </w:rPr>
              <w:t xml:space="preserve">scoping </w:t>
            </w:r>
            <w:r>
              <w:rPr>
                <w:rFonts w:ascii="Calibri" w:hAnsi="Calibri"/>
                <w:bCs/>
                <w:szCs w:val="22"/>
              </w:rPr>
              <w:t xml:space="preserve">survey was undertaken in April 2022 and found no evidence to </w:t>
            </w:r>
            <w:r w:rsidR="007C00C5">
              <w:rPr>
                <w:rFonts w:ascii="Calibri" w:hAnsi="Calibri"/>
                <w:bCs/>
                <w:szCs w:val="22"/>
              </w:rPr>
              <w:t>suggest present or historic bat activity within the building</w:t>
            </w:r>
            <w:r>
              <w:rPr>
                <w:rFonts w:ascii="Calibri" w:hAnsi="Calibri"/>
                <w:bCs/>
                <w:szCs w:val="22"/>
              </w:rPr>
              <w:t>. Consequently, the building is considered to offer negligible habitat value for roosting bats and as such there is no requirement for compensatory mitigation to offset the impacts of the proposed development.</w:t>
            </w:r>
          </w:p>
          <w:p w14:paraId="762655C1" w14:textId="61656A7A" w:rsidR="000B452E" w:rsidRPr="000B452E" w:rsidRDefault="000B452E" w:rsidP="006126D1">
            <w:pPr>
              <w:jc w:val="both"/>
              <w:rPr>
                <w:rFonts w:ascii="Calibri" w:hAnsi="Calibri"/>
                <w:bCs/>
                <w:szCs w:val="22"/>
              </w:rPr>
            </w:pPr>
          </w:p>
        </w:tc>
      </w:tr>
      <w:tr w:rsidR="008C75E4" w:rsidRPr="008C75E4" w14:paraId="06E44D5C" w14:textId="77777777" w:rsidTr="00261C7F">
        <w:trPr>
          <w:trHeight w:val="864"/>
          <w:jc w:val="center"/>
        </w:trPr>
        <w:tc>
          <w:tcPr>
            <w:tcW w:w="9803" w:type="dxa"/>
            <w:gridSpan w:val="15"/>
            <w:tcMar>
              <w:top w:w="57" w:type="dxa"/>
              <w:bottom w:w="57" w:type="dxa"/>
            </w:tcMar>
          </w:tcPr>
          <w:p w14:paraId="51206382" w14:textId="3BC7D63D" w:rsidR="008F4DED" w:rsidRDefault="00064E7A" w:rsidP="00584F1E">
            <w:pPr>
              <w:contextualSpacing/>
              <w:jc w:val="both"/>
              <w:rPr>
                <w:rFonts w:ascii="Calibri" w:hAnsi="Calibri"/>
                <w:b/>
                <w:bCs/>
                <w:szCs w:val="22"/>
              </w:rPr>
            </w:pPr>
            <w:r>
              <w:rPr>
                <w:rFonts w:ascii="Calibri" w:hAnsi="Calibri"/>
                <w:b/>
                <w:bCs/>
                <w:szCs w:val="22"/>
              </w:rPr>
              <w:t>Observations/</w:t>
            </w:r>
            <w:r w:rsidR="00C0704D" w:rsidRPr="008C75E4">
              <w:rPr>
                <w:rFonts w:ascii="Calibri" w:hAnsi="Calibri"/>
                <w:b/>
                <w:bCs/>
                <w:szCs w:val="22"/>
              </w:rPr>
              <w:t>Consideration of Matters Raised</w:t>
            </w:r>
            <w:r>
              <w:rPr>
                <w:rFonts w:ascii="Calibri" w:hAnsi="Calibri"/>
                <w:b/>
                <w:bCs/>
                <w:szCs w:val="22"/>
              </w:rPr>
              <w:t>/Conclusion</w:t>
            </w:r>
            <w:r w:rsidR="00C0704D" w:rsidRPr="008C75E4">
              <w:rPr>
                <w:rFonts w:ascii="Calibri" w:hAnsi="Calibri"/>
                <w:b/>
                <w:bCs/>
                <w:szCs w:val="22"/>
              </w:rPr>
              <w:t>:</w:t>
            </w:r>
          </w:p>
          <w:p w14:paraId="7C72B6C1" w14:textId="77777777" w:rsidR="00584F1E" w:rsidRPr="00584F1E" w:rsidRDefault="00584F1E" w:rsidP="00584F1E">
            <w:pPr>
              <w:contextualSpacing/>
              <w:jc w:val="both"/>
              <w:rPr>
                <w:rFonts w:ascii="Calibri" w:hAnsi="Calibri"/>
                <w:b/>
                <w:bCs/>
                <w:szCs w:val="22"/>
              </w:rPr>
            </w:pPr>
          </w:p>
          <w:p w14:paraId="3ABD52E8" w14:textId="0E904E81" w:rsidR="00064E7A" w:rsidRDefault="008F4DED" w:rsidP="00261C7F">
            <w:pPr>
              <w:pStyle w:val="Header"/>
              <w:tabs>
                <w:tab w:val="left" w:pos="720"/>
              </w:tabs>
              <w:jc w:val="both"/>
              <w:rPr>
                <w:rFonts w:ascii="Calibri" w:hAnsi="Calibri"/>
                <w:szCs w:val="22"/>
              </w:rPr>
            </w:pPr>
            <w:r>
              <w:rPr>
                <w:rFonts w:ascii="Calibri" w:hAnsi="Calibri"/>
                <w:szCs w:val="22"/>
              </w:rPr>
              <w:t>it is for the above reasons and having regard to all material matters raised that the application is recommended for approval.</w:t>
            </w:r>
          </w:p>
          <w:p w14:paraId="47D664C2" w14:textId="6E7C89BF" w:rsidR="008F4DED" w:rsidRPr="00BA2247" w:rsidRDefault="008F4DED" w:rsidP="00261C7F">
            <w:pPr>
              <w:pStyle w:val="Header"/>
              <w:tabs>
                <w:tab w:val="left" w:pos="720"/>
              </w:tabs>
              <w:jc w:val="both"/>
              <w:rPr>
                <w:rFonts w:ascii="Calibri" w:hAnsi="Calibri"/>
                <w:szCs w:val="22"/>
              </w:rPr>
            </w:pPr>
          </w:p>
        </w:tc>
      </w:tr>
      <w:tr w:rsidR="00C0704D" w:rsidRPr="008C75E4" w14:paraId="15F4450D" w14:textId="77777777" w:rsidTr="00261C7F">
        <w:trPr>
          <w:jc w:val="center"/>
        </w:trPr>
        <w:tc>
          <w:tcPr>
            <w:tcW w:w="2837" w:type="dxa"/>
            <w:gridSpan w:val="4"/>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1"/>
          </w:tcPr>
          <w:p w14:paraId="4B444ABE" w14:textId="5D2D2E62" w:rsidR="00C0704D" w:rsidRPr="008C75E4" w:rsidRDefault="00CA12D4" w:rsidP="006126D1">
            <w:pPr>
              <w:jc w:val="both"/>
              <w:rPr>
                <w:rFonts w:ascii="Calibri" w:hAnsi="Calibri"/>
                <w:bCs/>
                <w:szCs w:val="22"/>
              </w:rPr>
            </w:pPr>
            <w:r>
              <w:rPr>
                <w:rFonts w:ascii="Calibri" w:hAnsi="Calibri"/>
                <w:bCs/>
                <w:szCs w:val="22"/>
              </w:rPr>
              <w:t>That planning consent be granted.</w:t>
            </w:r>
          </w:p>
        </w:tc>
      </w:tr>
    </w:tbl>
    <w:p w14:paraId="5709B806" w14:textId="77777777" w:rsidR="0031197A" w:rsidRPr="008C75E4" w:rsidRDefault="004D7FA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5FBE" w14:textId="77777777" w:rsidR="00D80310" w:rsidRDefault="00D80310" w:rsidP="006D0B5F">
      <w:r>
        <w:separator/>
      </w:r>
    </w:p>
  </w:endnote>
  <w:endnote w:type="continuationSeparator" w:id="0">
    <w:p w14:paraId="1D85D9F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9D4" w14:textId="77777777" w:rsidR="00D80310" w:rsidRDefault="00D80310" w:rsidP="006D0B5F">
      <w:r>
        <w:separator/>
      </w:r>
    </w:p>
  </w:footnote>
  <w:footnote w:type="continuationSeparator" w:id="0">
    <w:p w14:paraId="27F2E33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D9C"/>
    <w:multiLevelType w:val="hybridMultilevel"/>
    <w:tmpl w:val="0A7C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74ED2"/>
    <w:multiLevelType w:val="hybridMultilevel"/>
    <w:tmpl w:val="37CE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549FA"/>
    <w:multiLevelType w:val="hybridMultilevel"/>
    <w:tmpl w:val="94C2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888995">
    <w:abstractNumId w:val="12"/>
  </w:num>
  <w:num w:numId="2" w16cid:durableId="502017038">
    <w:abstractNumId w:val="10"/>
  </w:num>
  <w:num w:numId="3" w16cid:durableId="1038504399">
    <w:abstractNumId w:val="5"/>
  </w:num>
  <w:num w:numId="4" w16cid:durableId="1982687511">
    <w:abstractNumId w:val="6"/>
  </w:num>
  <w:num w:numId="5" w16cid:durableId="713819041">
    <w:abstractNumId w:val="1"/>
  </w:num>
  <w:num w:numId="6" w16cid:durableId="169563632">
    <w:abstractNumId w:val="2"/>
  </w:num>
  <w:num w:numId="7" w16cid:durableId="986665056">
    <w:abstractNumId w:val="7"/>
  </w:num>
  <w:num w:numId="8" w16cid:durableId="2078091284">
    <w:abstractNumId w:val="11"/>
  </w:num>
  <w:num w:numId="9" w16cid:durableId="1791513592">
    <w:abstractNumId w:val="4"/>
  </w:num>
  <w:num w:numId="10" w16cid:durableId="538595282">
    <w:abstractNumId w:val="9"/>
  </w:num>
  <w:num w:numId="11" w16cid:durableId="334772952">
    <w:abstractNumId w:val="8"/>
  </w:num>
  <w:num w:numId="12" w16cid:durableId="982734780">
    <w:abstractNumId w:val="0"/>
  </w:num>
  <w:num w:numId="13" w16cid:durableId="1104885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DAB"/>
    <w:rsid w:val="000075DD"/>
    <w:rsid w:val="00016A73"/>
    <w:rsid w:val="00021FA5"/>
    <w:rsid w:val="00033967"/>
    <w:rsid w:val="00041FBF"/>
    <w:rsid w:val="0004666C"/>
    <w:rsid w:val="00055B13"/>
    <w:rsid w:val="00064E7A"/>
    <w:rsid w:val="0007106A"/>
    <w:rsid w:val="00071D68"/>
    <w:rsid w:val="00076CCF"/>
    <w:rsid w:val="0008638E"/>
    <w:rsid w:val="00093891"/>
    <w:rsid w:val="00094FCE"/>
    <w:rsid w:val="000A219A"/>
    <w:rsid w:val="000A574D"/>
    <w:rsid w:val="000B3BF7"/>
    <w:rsid w:val="000B452E"/>
    <w:rsid w:val="000B5CB5"/>
    <w:rsid w:val="000C58E9"/>
    <w:rsid w:val="000C7A57"/>
    <w:rsid w:val="000D4A9C"/>
    <w:rsid w:val="000D7F42"/>
    <w:rsid w:val="000E33FE"/>
    <w:rsid w:val="000E41DF"/>
    <w:rsid w:val="00101855"/>
    <w:rsid w:val="0010371E"/>
    <w:rsid w:val="00106932"/>
    <w:rsid w:val="001121B1"/>
    <w:rsid w:val="00122C0D"/>
    <w:rsid w:val="00130035"/>
    <w:rsid w:val="00131794"/>
    <w:rsid w:val="00131F6F"/>
    <w:rsid w:val="001334A9"/>
    <w:rsid w:val="00141512"/>
    <w:rsid w:val="001548B7"/>
    <w:rsid w:val="0015749B"/>
    <w:rsid w:val="0016428F"/>
    <w:rsid w:val="001656D2"/>
    <w:rsid w:val="00174004"/>
    <w:rsid w:val="00184221"/>
    <w:rsid w:val="001946E0"/>
    <w:rsid w:val="00196722"/>
    <w:rsid w:val="001A3FDF"/>
    <w:rsid w:val="001B085B"/>
    <w:rsid w:val="001B0F0D"/>
    <w:rsid w:val="001B5997"/>
    <w:rsid w:val="001B69C5"/>
    <w:rsid w:val="001B769B"/>
    <w:rsid w:val="001C1453"/>
    <w:rsid w:val="001C1567"/>
    <w:rsid w:val="001D4F7A"/>
    <w:rsid w:val="001D5ADD"/>
    <w:rsid w:val="001D7CFD"/>
    <w:rsid w:val="001E291D"/>
    <w:rsid w:val="001F220F"/>
    <w:rsid w:val="002005C0"/>
    <w:rsid w:val="0020231A"/>
    <w:rsid w:val="002028F4"/>
    <w:rsid w:val="00203F50"/>
    <w:rsid w:val="00204AAA"/>
    <w:rsid w:val="00206E24"/>
    <w:rsid w:val="0021607D"/>
    <w:rsid w:val="002269F1"/>
    <w:rsid w:val="00234755"/>
    <w:rsid w:val="00236158"/>
    <w:rsid w:val="00237DA1"/>
    <w:rsid w:val="00247F04"/>
    <w:rsid w:val="00250879"/>
    <w:rsid w:val="0026186B"/>
    <w:rsid w:val="00261C7F"/>
    <w:rsid w:val="002656F9"/>
    <w:rsid w:val="0027158D"/>
    <w:rsid w:val="0027394B"/>
    <w:rsid w:val="002809C4"/>
    <w:rsid w:val="002814B3"/>
    <w:rsid w:val="00284480"/>
    <w:rsid w:val="0028610E"/>
    <w:rsid w:val="0028751A"/>
    <w:rsid w:val="0029334A"/>
    <w:rsid w:val="002955B7"/>
    <w:rsid w:val="002A01CF"/>
    <w:rsid w:val="002A5019"/>
    <w:rsid w:val="002A5104"/>
    <w:rsid w:val="002A78DA"/>
    <w:rsid w:val="002A7DF7"/>
    <w:rsid w:val="002B7854"/>
    <w:rsid w:val="002C2334"/>
    <w:rsid w:val="002C6277"/>
    <w:rsid w:val="002C6332"/>
    <w:rsid w:val="002D367D"/>
    <w:rsid w:val="002D4346"/>
    <w:rsid w:val="002E2952"/>
    <w:rsid w:val="002E57F4"/>
    <w:rsid w:val="002E7CC1"/>
    <w:rsid w:val="002F041D"/>
    <w:rsid w:val="002F2580"/>
    <w:rsid w:val="002F3E27"/>
    <w:rsid w:val="002F7502"/>
    <w:rsid w:val="002F79E3"/>
    <w:rsid w:val="003072B2"/>
    <w:rsid w:val="00312B8B"/>
    <w:rsid w:val="0031354E"/>
    <w:rsid w:val="003137E0"/>
    <w:rsid w:val="00315739"/>
    <w:rsid w:val="00320A6F"/>
    <w:rsid w:val="00321B6E"/>
    <w:rsid w:val="003323F4"/>
    <w:rsid w:val="003359D0"/>
    <w:rsid w:val="00341E8D"/>
    <w:rsid w:val="00347F5E"/>
    <w:rsid w:val="00350A00"/>
    <w:rsid w:val="00355DE9"/>
    <w:rsid w:val="003562A3"/>
    <w:rsid w:val="003634D9"/>
    <w:rsid w:val="00363596"/>
    <w:rsid w:val="0036759A"/>
    <w:rsid w:val="00367793"/>
    <w:rsid w:val="00372475"/>
    <w:rsid w:val="00374263"/>
    <w:rsid w:val="00377D79"/>
    <w:rsid w:val="003825D5"/>
    <w:rsid w:val="003852A3"/>
    <w:rsid w:val="00390E35"/>
    <w:rsid w:val="00392840"/>
    <w:rsid w:val="00395993"/>
    <w:rsid w:val="003A4376"/>
    <w:rsid w:val="003C28E1"/>
    <w:rsid w:val="003D365F"/>
    <w:rsid w:val="003D5338"/>
    <w:rsid w:val="003E2151"/>
    <w:rsid w:val="003F03A6"/>
    <w:rsid w:val="003F16AA"/>
    <w:rsid w:val="003F16B4"/>
    <w:rsid w:val="003F3DB5"/>
    <w:rsid w:val="003F481A"/>
    <w:rsid w:val="00404C2D"/>
    <w:rsid w:val="00404C72"/>
    <w:rsid w:val="00415626"/>
    <w:rsid w:val="00416DC6"/>
    <w:rsid w:val="00435FC9"/>
    <w:rsid w:val="0044039F"/>
    <w:rsid w:val="00440CB6"/>
    <w:rsid w:val="00443BD3"/>
    <w:rsid w:val="00444DD9"/>
    <w:rsid w:val="0045079B"/>
    <w:rsid w:val="00454754"/>
    <w:rsid w:val="0046199D"/>
    <w:rsid w:val="00461AEF"/>
    <w:rsid w:val="004654DD"/>
    <w:rsid w:val="0047036E"/>
    <w:rsid w:val="00477F43"/>
    <w:rsid w:val="00480E37"/>
    <w:rsid w:val="00482F5A"/>
    <w:rsid w:val="004854EC"/>
    <w:rsid w:val="004936A6"/>
    <w:rsid w:val="004947BB"/>
    <w:rsid w:val="00497200"/>
    <w:rsid w:val="004A3D45"/>
    <w:rsid w:val="004A5EA9"/>
    <w:rsid w:val="004B1476"/>
    <w:rsid w:val="004B62C5"/>
    <w:rsid w:val="004B7E45"/>
    <w:rsid w:val="004C2434"/>
    <w:rsid w:val="004C792D"/>
    <w:rsid w:val="004D1615"/>
    <w:rsid w:val="004D5666"/>
    <w:rsid w:val="004D6FC7"/>
    <w:rsid w:val="004D7FA6"/>
    <w:rsid w:val="004E0453"/>
    <w:rsid w:val="004E5321"/>
    <w:rsid w:val="004E58E3"/>
    <w:rsid w:val="004F0649"/>
    <w:rsid w:val="004F0AA3"/>
    <w:rsid w:val="004F1043"/>
    <w:rsid w:val="004F1E99"/>
    <w:rsid w:val="00502BF1"/>
    <w:rsid w:val="00503C36"/>
    <w:rsid w:val="0050432D"/>
    <w:rsid w:val="00504440"/>
    <w:rsid w:val="00506B24"/>
    <w:rsid w:val="00510DBF"/>
    <w:rsid w:val="00510FA2"/>
    <w:rsid w:val="00510FE3"/>
    <w:rsid w:val="00514A8C"/>
    <w:rsid w:val="00521ABA"/>
    <w:rsid w:val="00525341"/>
    <w:rsid w:val="00527A31"/>
    <w:rsid w:val="005317EB"/>
    <w:rsid w:val="00531F37"/>
    <w:rsid w:val="00534611"/>
    <w:rsid w:val="00537130"/>
    <w:rsid w:val="005435A0"/>
    <w:rsid w:val="00545D8C"/>
    <w:rsid w:val="00547520"/>
    <w:rsid w:val="00556ECD"/>
    <w:rsid w:val="005631B3"/>
    <w:rsid w:val="005633B0"/>
    <w:rsid w:val="005635FF"/>
    <w:rsid w:val="00563E27"/>
    <w:rsid w:val="00573B90"/>
    <w:rsid w:val="00581DF4"/>
    <w:rsid w:val="00582AFE"/>
    <w:rsid w:val="0058347D"/>
    <w:rsid w:val="00584ED5"/>
    <w:rsid w:val="00584F1E"/>
    <w:rsid w:val="005878FE"/>
    <w:rsid w:val="00593040"/>
    <w:rsid w:val="005A35DD"/>
    <w:rsid w:val="005A7806"/>
    <w:rsid w:val="005B0A0E"/>
    <w:rsid w:val="005B7E46"/>
    <w:rsid w:val="005C32FE"/>
    <w:rsid w:val="005D0116"/>
    <w:rsid w:val="005D3432"/>
    <w:rsid w:val="005D39BF"/>
    <w:rsid w:val="005D75F8"/>
    <w:rsid w:val="005E1C6C"/>
    <w:rsid w:val="005E65DF"/>
    <w:rsid w:val="005F2644"/>
    <w:rsid w:val="005F359B"/>
    <w:rsid w:val="00606F44"/>
    <w:rsid w:val="00607F46"/>
    <w:rsid w:val="006126D1"/>
    <w:rsid w:val="00613D6F"/>
    <w:rsid w:val="00626859"/>
    <w:rsid w:val="006303DE"/>
    <w:rsid w:val="006314F5"/>
    <w:rsid w:val="006326A2"/>
    <w:rsid w:val="0065071E"/>
    <w:rsid w:val="00661E53"/>
    <w:rsid w:val="00665C24"/>
    <w:rsid w:val="00674D69"/>
    <w:rsid w:val="00683B45"/>
    <w:rsid w:val="0068616F"/>
    <w:rsid w:val="00690EC3"/>
    <w:rsid w:val="00691667"/>
    <w:rsid w:val="00692B60"/>
    <w:rsid w:val="0069347D"/>
    <w:rsid w:val="00695731"/>
    <w:rsid w:val="00695F88"/>
    <w:rsid w:val="00697B2D"/>
    <w:rsid w:val="006A2D43"/>
    <w:rsid w:val="006A31EF"/>
    <w:rsid w:val="006A71AD"/>
    <w:rsid w:val="006C126E"/>
    <w:rsid w:val="006C2BFA"/>
    <w:rsid w:val="006D0B5F"/>
    <w:rsid w:val="006D4E58"/>
    <w:rsid w:val="006D7624"/>
    <w:rsid w:val="006E13C7"/>
    <w:rsid w:val="006F137D"/>
    <w:rsid w:val="006F4D38"/>
    <w:rsid w:val="0070054B"/>
    <w:rsid w:val="00704432"/>
    <w:rsid w:val="00706480"/>
    <w:rsid w:val="00710DBB"/>
    <w:rsid w:val="00712F09"/>
    <w:rsid w:val="00713DF5"/>
    <w:rsid w:val="007210D5"/>
    <w:rsid w:val="00725F1C"/>
    <w:rsid w:val="007362D8"/>
    <w:rsid w:val="007430C8"/>
    <w:rsid w:val="007501F1"/>
    <w:rsid w:val="00755FCC"/>
    <w:rsid w:val="007617CB"/>
    <w:rsid w:val="00772011"/>
    <w:rsid w:val="00776AE2"/>
    <w:rsid w:val="00783D63"/>
    <w:rsid w:val="007921CD"/>
    <w:rsid w:val="00796CCE"/>
    <w:rsid w:val="007A5197"/>
    <w:rsid w:val="007C00C5"/>
    <w:rsid w:val="007C4767"/>
    <w:rsid w:val="007C5713"/>
    <w:rsid w:val="007C6866"/>
    <w:rsid w:val="007C791C"/>
    <w:rsid w:val="007D6D02"/>
    <w:rsid w:val="007D7DF4"/>
    <w:rsid w:val="007E0D23"/>
    <w:rsid w:val="007E6030"/>
    <w:rsid w:val="007F152A"/>
    <w:rsid w:val="007F181E"/>
    <w:rsid w:val="007F196D"/>
    <w:rsid w:val="007F7F0F"/>
    <w:rsid w:val="00805895"/>
    <w:rsid w:val="00806FA8"/>
    <w:rsid w:val="008075CB"/>
    <w:rsid w:val="00811771"/>
    <w:rsid w:val="008154DD"/>
    <w:rsid w:val="008175E6"/>
    <w:rsid w:val="00833B1E"/>
    <w:rsid w:val="008340CD"/>
    <w:rsid w:val="0084427F"/>
    <w:rsid w:val="008542DE"/>
    <w:rsid w:val="00863291"/>
    <w:rsid w:val="008638DE"/>
    <w:rsid w:val="00871378"/>
    <w:rsid w:val="008845B4"/>
    <w:rsid w:val="00891182"/>
    <w:rsid w:val="008937C5"/>
    <w:rsid w:val="008A28C8"/>
    <w:rsid w:val="008A41CF"/>
    <w:rsid w:val="008A573A"/>
    <w:rsid w:val="008C49A6"/>
    <w:rsid w:val="008C75E4"/>
    <w:rsid w:val="008D1294"/>
    <w:rsid w:val="008E581B"/>
    <w:rsid w:val="008E728A"/>
    <w:rsid w:val="008F3259"/>
    <w:rsid w:val="008F4DED"/>
    <w:rsid w:val="008F6B58"/>
    <w:rsid w:val="0090282C"/>
    <w:rsid w:val="00906D0C"/>
    <w:rsid w:val="00917651"/>
    <w:rsid w:val="00921769"/>
    <w:rsid w:val="009245C1"/>
    <w:rsid w:val="00930A8B"/>
    <w:rsid w:val="0093178F"/>
    <w:rsid w:val="00934B34"/>
    <w:rsid w:val="0094339C"/>
    <w:rsid w:val="00944167"/>
    <w:rsid w:val="00947564"/>
    <w:rsid w:val="009565F5"/>
    <w:rsid w:val="00956E22"/>
    <w:rsid w:val="00970FC8"/>
    <w:rsid w:val="009825FF"/>
    <w:rsid w:val="00985097"/>
    <w:rsid w:val="00994EF1"/>
    <w:rsid w:val="009A14C1"/>
    <w:rsid w:val="009B4EFD"/>
    <w:rsid w:val="009B4F6D"/>
    <w:rsid w:val="009B5E37"/>
    <w:rsid w:val="009C4BCF"/>
    <w:rsid w:val="009C64C2"/>
    <w:rsid w:val="009C7F61"/>
    <w:rsid w:val="009D31CF"/>
    <w:rsid w:val="009D4053"/>
    <w:rsid w:val="009D4F85"/>
    <w:rsid w:val="009E6A8B"/>
    <w:rsid w:val="00A04A96"/>
    <w:rsid w:val="00A113FA"/>
    <w:rsid w:val="00A122F1"/>
    <w:rsid w:val="00A14D11"/>
    <w:rsid w:val="00A33A60"/>
    <w:rsid w:val="00A40070"/>
    <w:rsid w:val="00A42376"/>
    <w:rsid w:val="00A42E82"/>
    <w:rsid w:val="00A46EE9"/>
    <w:rsid w:val="00A55E83"/>
    <w:rsid w:val="00A579BB"/>
    <w:rsid w:val="00A61275"/>
    <w:rsid w:val="00A63D55"/>
    <w:rsid w:val="00A64893"/>
    <w:rsid w:val="00A8081E"/>
    <w:rsid w:val="00A8441B"/>
    <w:rsid w:val="00A9088C"/>
    <w:rsid w:val="00A9111F"/>
    <w:rsid w:val="00A9168C"/>
    <w:rsid w:val="00A95D89"/>
    <w:rsid w:val="00AA0EE7"/>
    <w:rsid w:val="00AA35BB"/>
    <w:rsid w:val="00AB0BA2"/>
    <w:rsid w:val="00AB0EA9"/>
    <w:rsid w:val="00AB3243"/>
    <w:rsid w:val="00AB5232"/>
    <w:rsid w:val="00AD1431"/>
    <w:rsid w:val="00AE3CD5"/>
    <w:rsid w:val="00AE3FB6"/>
    <w:rsid w:val="00AF1D93"/>
    <w:rsid w:val="00B02E23"/>
    <w:rsid w:val="00B14DDC"/>
    <w:rsid w:val="00B1762E"/>
    <w:rsid w:val="00B1781E"/>
    <w:rsid w:val="00B26166"/>
    <w:rsid w:val="00B30A5E"/>
    <w:rsid w:val="00B31505"/>
    <w:rsid w:val="00B6269C"/>
    <w:rsid w:val="00B653CA"/>
    <w:rsid w:val="00B74C73"/>
    <w:rsid w:val="00B8326D"/>
    <w:rsid w:val="00B847E0"/>
    <w:rsid w:val="00B93EB5"/>
    <w:rsid w:val="00B96F5A"/>
    <w:rsid w:val="00BA2247"/>
    <w:rsid w:val="00BA5D97"/>
    <w:rsid w:val="00BA6B19"/>
    <w:rsid w:val="00BB1C52"/>
    <w:rsid w:val="00BB2A50"/>
    <w:rsid w:val="00BB7909"/>
    <w:rsid w:val="00BC1E48"/>
    <w:rsid w:val="00BD2B0B"/>
    <w:rsid w:val="00BD3F03"/>
    <w:rsid w:val="00BD6F1E"/>
    <w:rsid w:val="00BE0952"/>
    <w:rsid w:val="00BF5771"/>
    <w:rsid w:val="00C0704D"/>
    <w:rsid w:val="00C12D3E"/>
    <w:rsid w:val="00C17A14"/>
    <w:rsid w:val="00C214A6"/>
    <w:rsid w:val="00C22197"/>
    <w:rsid w:val="00C24A51"/>
    <w:rsid w:val="00C25722"/>
    <w:rsid w:val="00C40C48"/>
    <w:rsid w:val="00C42A19"/>
    <w:rsid w:val="00C44E40"/>
    <w:rsid w:val="00C50517"/>
    <w:rsid w:val="00C5684E"/>
    <w:rsid w:val="00C618DB"/>
    <w:rsid w:val="00C63966"/>
    <w:rsid w:val="00C6456D"/>
    <w:rsid w:val="00C66690"/>
    <w:rsid w:val="00C70C1F"/>
    <w:rsid w:val="00C84B9E"/>
    <w:rsid w:val="00C84DED"/>
    <w:rsid w:val="00C93384"/>
    <w:rsid w:val="00CA12D4"/>
    <w:rsid w:val="00CA28BA"/>
    <w:rsid w:val="00CB0EB3"/>
    <w:rsid w:val="00CB728C"/>
    <w:rsid w:val="00CB773D"/>
    <w:rsid w:val="00CD1729"/>
    <w:rsid w:val="00CD202E"/>
    <w:rsid w:val="00CD2E03"/>
    <w:rsid w:val="00CD38B1"/>
    <w:rsid w:val="00CE2549"/>
    <w:rsid w:val="00CF0DF5"/>
    <w:rsid w:val="00CF0E17"/>
    <w:rsid w:val="00CF53DD"/>
    <w:rsid w:val="00CF5596"/>
    <w:rsid w:val="00D02F0F"/>
    <w:rsid w:val="00D06E98"/>
    <w:rsid w:val="00D1026A"/>
    <w:rsid w:val="00D102D9"/>
    <w:rsid w:val="00D1063F"/>
    <w:rsid w:val="00D11007"/>
    <w:rsid w:val="00D11142"/>
    <w:rsid w:val="00D114C8"/>
    <w:rsid w:val="00D11EA2"/>
    <w:rsid w:val="00D1420C"/>
    <w:rsid w:val="00D147D8"/>
    <w:rsid w:val="00D14BAE"/>
    <w:rsid w:val="00D23470"/>
    <w:rsid w:val="00D23632"/>
    <w:rsid w:val="00D2449B"/>
    <w:rsid w:val="00D43D0A"/>
    <w:rsid w:val="00D43F1E"/>
    <w:rsid w:val="00D52BA9"/>
    <w:rsid w:val="00D54384"/>
    <w:rsid w:val="00D54E67"/>
    <w:rsid w:val="00D54F48"/>
    <w:rsid w:val="00D553D2"/>
    <w:rsid w:val="00D632BB"/>
    <w:rsid w:val="00D65382"/>
    <w:rsid w:val="00D7050C"/>
    <w:rsid w:val="00D7481C"/>
    <w:rsid w:val="00D80310"/>
    <w:rsid w:val="00D85D45"/>
    <w:rsid w:val="00D85FAD"/>
    <w:rsid w:val="00D906FC"/>
    <w:rsid w:val="00D9608A"/>
    <w:rsid w:val="00D96DF7"/>
    <w:rsid w:val="00D97AA3"/>
    <w:rsid w:val="00DA27B6"/>
    <w:rsid w:val="00DB3F3F"/>
    <w:rsid w:val="00DB674C"/>
    <w:rsid w:val="00DC3C8A"/>
    <w:rsid w:val="00DD62F6"/>
    <w:rsid w:val="00DD742E"/>
    <w:rsid w:val="00DD7E97"/>
    <w:rsid w:val="00DD7F19"/>
    <w:rsid w:val="00DE740E"/>
    <w:rsid w:val="00DE76F4"/>
    <w:rsid w:val="00DF1B0B"/>
    <w:rsid w:val="00DF42DA"/>
    <w:rsid w:val="00DF721D"/>
    <w:rsid w:val="00E03AFD"/>
    <w:rsid w:val="00E0485E"/>
    <w:rsid w:val="00E04E2D"/>
    <w:rsid w:val="00E06DFC"/>
    <w:rsid w:val="00E12289"/>
    <w:rsid w:val="00E21EDA"/>
    <w:rsid w:val="00E23FB0"/>
    <w:rsid w:val="00E25E94"/>
    <w:rsid w:val="00E2634F"/>
    <w:rsid w:val="00E270CB"/>
    <w:rsid w:val="00E3317F"/>
    <w:rsid w:val="00E33D2D"/>
    <w:rsid w:val="00E46243"/>
    <w:rsid w:val="00E478AE"/>
    <w:rsid w:val="00E52D19"/>
    <w:rsid w:val="00E539FD"/>
    <w:rsid w:val="00E609EF"/>
    <w:rsid w:val="00E612F2"/>
    <w:rsid w:val="00E65526"/>
    <w:rsid w:val="00E66534"/>
    <w:rsid w:val="00E719D1"/>
    <w:rsid w:val="00E71A35"/>
    <w:rsid w:val="00E72F6C"/>
    <w:rsid w:val="00E80113"/>
    <w:rsid w:val="00E83E7E"/>
    <w:rsid w:val="00E852B1"/>
    <w:rsid w:val="00E859DC"/>
    <w:rsid w:val="00E91F60"/>
    <w:rsid w:val="00E92DF5"/>
    <w:rsid w:val="00E945FA"/>
    <w:rsid w:val="00EA09F9"/>
    <w:rsid w:val="00EA1673"/>
    <w:rsid w:val="00EA16D5"/>
    <w:rsid w:val="00EA233A"/>
    <w:rsid w:val="00EB2D6A"/>
    <w:rsid w:val="00EB7265"/>
    <w:rsid w:val="00EB7D74"/>
    <w:rsid w:val="00EC23C7"/>
    <w:rsid w:val="00EC3E83"/>
    <w:rsid w:val="00ED00B7"/>
    <w:rsid w:val="00ED0FFA"/>
    <w:rsid w:val="00EE2E81"/>
    <w:rsid w:val="00EE3F18"/>
    <w:rsid w:val="00EE7EBE"/>
    <w:rsid w:val="00EF1341"/>
    <w:rsid w:val="00EF44E6"/>
    <w:rsid w:val="00EF5C8E"/>
    <w:rsid w:val="00F012A1"/>
    <w:rsid w:val="00F012FA"/>
    <w:rsid w:val="00F027A5"/>
    <w:rsid w:val="00F03FC1"/>
    <w:rsid w:val="00F0460B"/>
    <w:rsid w:val="00F055D3"/>
    <w:rsid w:val="00F11124"/>
    <w:rsid w:val="00F129DD"/>
    <w:rsid w:val="00F13118"/>
    <w:rsid w:val="00F16820"/>
    <w:rsid w:val="00F16D0F"/>
    <w:rsid w:val="00F24D35"/>
    <w:rsid w:val="00F25398"/>
    <w:rsid w:val="00F32789"/>
    <w:rsid w:val="00F33445"/>
    <w:rsid w:val="00F417B0"/>
    <w:rsid w:val="00F666A1"/>
    <w:rsid w:val="00F71D53"/>
    <w:rsid w:val="00F731F5"/>
    <w:rsid w:val="00F75F59"/>
    <w:rsid w:val="00F8201E"/>
    <w:rsid w:val="00F82963"/>
    <w:rsid w:val="00F83CB5"/>
    <w:rsid w:val="00F84249"/>
    <w:rsid w:val="00FA05BA"/>
    <w:rsid w:val="00FA0DF3"/>
    <w:rsid w:val="00FB31EB"/>
    <w:rsid w:val="00FB482A"/>
    <w:rsid w:val="00FB6B63"/>
    <w:rsid w:val="00FB7489"/>
    <w:rsid w:val="00FC046F"/>
    <w:rsid w:val="00FC6A11"/>
    <w:rsid w:val="00FC77EC"/>
    <w:rsid w:val="00FD334A"/>
    <w:rsid w:val="00FD6AE3"/>
    <w:rsid w:val="00FD7758"/>
    <w:rsid w:val="00FE2A29"/>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AA35BB"/>
    <w:rPr>
      <w:sz w:val="16"/>
      <w:szCs w:val="16"/>
    </w:rPr>
  </w:style>
  <w:style w:type="paragraph" w:styleId="CommentText">
    <w:name w:val="annotation text"/>
    <w:basedOn w:val="Normal"/>
    <w:link w:val="CommentTextChar"/>
    <w:uiPriority w:val="99"/>
    <w:semiHidden/>
    <w:unhideWhenUsed/>
    <w:rsid w:val="00AA35BB"/>
    <w:rPr>
      <w:sz w:val="20"/>
    </w:rPr>
  </w:style>
  <w:style w:type="character" w:customStyle="1" w:styleId="CommentTextChar">
    <w:name w:val="Comment Text Char"/>
    <w:basedOn w:val="DefaultParagraphFont"/>
    <w:link w:val="CommentText"/>
    <w:uiPriority w:val="99"/>
    <w:semiHidden/>
    <w:rsid w:val="00AA35B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A35BB"/>
    <w:rPr>
      <w:b/>
      <w:bCs/>
    </w:rPr>
  </w:style>
  <w:style w:type="character" w:customStyle="1" w:styleId="CommentSubjectChar">
    <w:name w:val="Comment Subject Char"/>
    <w:basedOn w:val="CommentTextChar"/>
    <w:link w:val="CommentSubject"/>
    <w:uiPriority w:val="99"/>
    <w:semiHidden/>
    <w:rsid w:val="00AA35BB"/>
    <w:rPr>
      <w:rFonts w:ascii="Arial" w:eastAsia="Times New Roman" w:hAnsi="Arial" w:cs="Times New Roman"/>
      <w:b/>
      <w:bCs/>
      <w:sz w:val="20"/>
      <w:szCs w:val="20"/>
    </w:rPr>
  </w:style>
  <w:style w:type="paragraph" w:styleId="Revision">
    <w:name w:val="Revision"/>
    <w:hidden/>
    <w:uiPriority w:val="99"/>
    <w:semiHidden/>
    <w:rsid w:val="009B4F6D"/>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78851">
      <w:bodyDiv w:val="1"/>
      <w:marLeft w:val="0"/>
      <w:marRight w:val="0"/>
      <w:marTop w:val="0"/>
      <w:marBottom w:val="0"/>
      <w:divBdr>
        <w:top w:val="none" w:sz="0" w:space="0" w:color="auto"/>
        <w:left w:val="none" w:sz="0" w:space="0" w:color="auto"/>
        <w:bottom w:val="none" w:sz="0" w:space="0" w:color="auto"/>
        <w:right w:val="none" w:sz="0" w:space="0" w:color="auto"/>
      </w:divBdr>
    </w:div>
    <w:div w:id="751701138">
      <w:bodyDiv w:val="1"/>
      <w:marLeft w:val="0"/>
      <w:marRight w:val="0"/>
      <w:marTop w:val="0"/>
      <w:marBottom w:val="0"/>
      <w:divBdr>
        <w:top w:val="none" w:sz="0" w:space="0" w:color="auto"/>
        <w:left w:val="none" w:sz="0" w:space="0" w:color="auto"/>
        <w:bottom w:val="none" w:sz="0" w:space="0" w:color="auto"/>
        <w:right w:val="none" w:sz="0" w:space="0" w:color="auto"/>
      </w:divBdr>
    </w:div>
    <w:div w:id="1015696789">
      <w:bodyDiv w:val="1"/>
      <w:marLeft w:val="0"/>
      <w:marRight w:val="0"/>
      <w:marTop w:val="0"/>
      <w:marBottom w:val="0"/>
      <w:divBdr>
        <w:top w:val="none" w:sz="0" w:space="0" w:color="auto"/>
        <w:left w:val="none" w:sz="0" w:space="0" w:color="auto"/>
        <w:bottom w:val="none" w:sz="0" w:space="0" w:color="auto"/>
        <w:right w:val="none" w:sz="0" w:space="0" w:color="auto"/>
      </w:divBdr>
    </w:div>
    <w:div w:id="130223043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534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waleczek</dc:creator>
  <cp:lastModifiedBy>Lesley Lund</cp:lastModifiedBy>
  <cp:revision>2</cp:revision>
  <cp:lastPrinted>2022-06-16T15:32:00Z</cp:lastPrinted>
  <dcterms:created xsi:type="dcterms:W3CDTF">2022-06-16T15:36:00Z</dcterms:created>
  <dcterms:modified xsi:type="dcterms:W3CDTF">2022-06-16T15:36:00Z</dcterms:modified>
</cp:coreProperties>
</file>