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298"/>
        <w:gridCol w:w="519"/>
        <w:gridCol w:w="579"/>
        <w:gridCol w:w="428"/>
        <w:gridCol w:w="602"/>
        <w:gridCol w:w="1030"/>
        <w:gridCol w:w="1061"/>
      </w:tblGrid>
      <w:tr w:rsidR="008C75E4" w:rsidRPr="008C75E4" w14:paraId="78671895" w14:textId="77777777" w:rsidTr="0051077E">
        <w:trPr>
          <w:jc w:val="center"/>
        </w:trPr>
        <w:tc>
          <w:tcPr>
            <w:tcW w:w="9823" w:type="dxa"/>
            <w:gridSpan w:val="14"/>
            <w:tcMar>
              <w:top w:w="57" w:type="dxa"/>
              <w:bottom w:w="57" w:type="dxa"/>
            </w:tcMar>
          </w:tcPr>
          <w:p w14:paraId="76BE2A3B"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21E2CB86" w14:textId="77777777" w:rsidTr="0051077E">
        <w:trPr>
          <w:trHeight w:val="535"/>
          <w:jc w:val="center"/>
        </w:trPr>
        <w:tc>
          <w:tcPr>
            <w:tcW w:w="1296" w:type="dxa"/>
            <w:tcMar>
              <w:top w:w="57" w:type="dxa"/>
              <w:bottom w:w="57" w:type="dxa"/>
            </w:tcMar>
          </w:tcPr>
          <w:p w14:paraId="262715C6" w14:textId="77777777" w:rsidR="004936A6" w:rsidRDefault="004936A6" w:rsidP="00D2449B">
            <w:pPr>
              <w:jc w:val="center"/>
              <w:rPr>
                <w:rFonts w:ascii="Calibri" w:hAnsi="Calibri"/>
                <w:b/>
                <w:szCs w:val="22"/>
              </w:rPr>
            </w:pPr>
            <w:r w:rsidRPr="008C75E4">
              <w:rPr>
                <w:rFonts w:ascii="Calibri" w:hAnsi="Calibri"/>
                <w:b/>
                <w:szCs w:val="22"/>
              </w:rPr>
              <w:t>Signed:</w:t>
            </w:r>
          </w:p>
          <w:p w14:paraId="447B1A55" w14:textId="77777777" w:rsidR="00454754" w:rsidRPr="008C75E4" w:rsidRDefault="00454754" w:rsidP="00D2449B">
            <w:pPr>
              <w:jc w:val="center"/>
              <w:rPr>
                <w:rFonts w:ascii="Calibri" w:hAnsi="Calibri"/>
                <w:b/>
                <w:szCs w:val="22"/>
              </w:rPr>
            </w:pPr>
          </w:p>
        </w:tc>
        <w:tc>
          <w:tcPr>
            <w:tcW w:w="900" w:type="dxa"/>
          </w:tcPr>
          <w:p w14:paraId="41ADFAB5"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4A77C4B3" w14:textId="6ADF4315" w:rsidR="004936A6" w:rsidRPr="008C75E4" w:rsidRDefault="00FA3622" w:rsidP="00D2449B">
            <w:pPr>
              <w:jc w:val="center"/>
              <w:rPr>
                <w:rFonts w:ascii="Calibri" w:hAnsi="Calibri"/>
                <w:b/>
                <w:szCs w:val="22"/>
              </w:rPr>
            </w:pPr>
            <w:r>
              <w:rPr>
                <w:rFonts w:ascii="Calibri" w:hAnsi="Calibri"/>
                <w:b/>
                <w:szCs w:val="22"/>
              </w:rPr>
              <w:t>LE</w:t>
            </w:r>
          </w:p>
        </w:tc>
        <w:tc>
          <w:tcPr>
            <w:tcW w:w="1030" w:type="dxa"/>
          </w:tcPr>
          <w:p w14:paraId="6FC1E3C9"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298" w:type="dxa"/>
          </w:tcPr>
          <w:p w14:paraId="7C4C9146" w14:textId="36C8A9BC" w:rsidR="004936A6" w:rsidRPr="008C75E4" w:rsidRDefault="008E6994" w:rsidP="00D2449B">
            <w:pPr>
              <w:jc w:val="center"/>
              <w:rPr>
                <w:rFonts w:ascii="Calibri" w:hAnsi="Calibri"/>
                <w:b/>
                <w:szCs w:val="22"/>
              </w:rPr>
            </w:pPr>
            <w:r>
              <w:rPr>
                <w:rFonts w:ascii="Calibri" w:hAnsi="Calibri"/>
                <w:b/>
                <w:szCs w:val="22"/>
              </w:rPr>
              <w:t>1</w:t>
            </w:r>
            <w:r w:rsidR="00AD0A85">
              <w:rPr>
                <w:rFonts w:ascii="Calibri" w:hAnsi="Calibri"/>
                <w:b/>
                <w:szCs w:val="22"/>
              </w:rPr>
              <w:t>8</w:t>
            </w:r>
            <w:r>
              <w:rPr>
                <w:rFonts w:ascii="Calibri" w:hAnsi="Calibri"/>
                <w:b/>
                <w:szCs w:val="22"/>
              </w:rPr>
              <w:t>/05/2022</w:t>
            </w:r>
          </w:p>
        </w:tc>
        <w:tc>
          <w:tcPr>
            <w:tcW w:w="1098" w:type="dxa"/>
            <w:gridSpan w:val="2"/>
          </w:tcPr>
          <w:p w14:paraId="206E22FE"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14:paraId="3C4127CA" w14:textId="77777777" w:rsidR="004936A6" w:rsidRPr="008C75E4" w:rsidRDefault="004936A6" w:rsidP="00D2449B">
            <w:pPr>
              <w:jc w:val="center"/>
              <w:rPr>
                <w:rFonts w:ascii="Calibri" w:hAnsi="Calibri"/>
                <w:b/>
                <w:szCs w:val="22"/>
              </w:rPr>
            </w:pPr>
          </w:p>
        </w:tc>
        <w:tc>
          <w:tcPr>
            <w:tcW w:w="1030" w:type="dxa"/>
          </w:tcPr>
          <w:p w14:paraId="2AA04F18"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14:paraId="630715F9" w14:textId="77777777" w:rsidR="004936A6" w:rsidRPr="008C75E4" w:rsidRDefault="004936A6" w:rsidP="00D2449B">
            <w:pPr>
              <w:jc w:val="center"/>
              <w:rPr>
                <w:rFonts w:ascii="Calibri" w:hAnsi="Calibri"/>
                <w:b/>
                <w:szCs w:val="22"/>
              </w:rPr>
            </w:pPr>
          </w:p>
        </w:tc>
      </w:tr>
      <w:tr w:rsidR="00E06DFC" w:rsidRPr="008C75E4" w14:paraId="5FE0E321" w14:textId="77777777" w:rsidTr="0051077E">
        <w:trPr>
          <w:trHeight w:val="586"/>
          <w:jc w:val="center"/>
        </w:trPr>
        <w:tc>
          <w:tcPr>
            <w:tcW w:w="1296" w:type="dxa"/>
            <w:tcBorders>
              <w:bottom w:val="single" w:sz="4" w:space="0" w:color="BFBFBF" w:themeColor="background1" w:themeShade="BF"/>
            </w:tcBorders>
            <w:tcMar>
              <w:top w:w="57" w:type="dxa"/>
              <w:bottom w:w="57" w:type="dxa"/>
            </w:tcMar>
          </w:tcPr>
          <w:p w14:paraId="14A693E5"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14:paraId="55848537" w14:textId="5576AD77" w:rsidR="00E06DFC" w:rsidRPr="008C75E4" w:rsidRDefault="00697B2D" w:rsidP="00D2449B">
            <w:pPr>
              <w:jc w:val="center"/>
              <w:rPr>
                <w:rFonts w:ascii="Calibri" w:hAnsi="Calibri"/>
                <w:b/>
                <w:szCs w:val="22"/>
              </w:rPr>
            </w:pPr>
            <w:r>
              <w:rPr>
                <w:rFonts w:ascii="Calibri" w:hAnsi="Calibri"/>
                <w:b/>
                <w:szCs w:val="22"/>
              </w:rPr>
              <w:t>Y</w:t>
            </w:r>
          </w:p>
        </w:tc>
        <w:tc>
          <w:tcPr>
            <w:tcW w:w="1080" w:type="dxa"/>
            <w:gridSpan w:val="4"/>
            <w:tcBorders>
              <w:bottom w:val="single" w:sz="4" w:space="0" w:color="BFBFBF" w:themeColor="background1" w:themeShade="BF"/>
            </w:tcBorders>
          </w:tcPr>
          <w:p w14:paraId="57F784B1" w14:textId="77777777"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14:paraId="4DAA61DA" w14:textId="44E9A1B2" w:rsidR="00E06DFC" w:rsidRPr="008C75E4" w:rsidRDefault="00697B2D" w:rsidP="00D2449B">
            <w:pPr>
              <w:jc w:val="center"/>
              <w:rPr>
                <w:rFonts w:ascii="Calibri" w:hAnsi="Calibri"/>
                <w:b/>
                <w:szCs w:val="22"/>
              </w:rPr>
            </w:pPr>
            <w:r>
              <w:rPr>
                <w:rFonts w:ascii="Calibri" w:hAnsi="Calibri"/>
                <w:b/>
                <w:szCs w:val="22"/>
              </w:rPr>
              <w:t>Y</w:t>
            </w:r>
          </w:p>
        </w:tc>
        <w:tc>
          <w:tcPr>
            <w:tcW w:w="5517" w:type="dxa"/>
            <w:gridSpan w:val="7"/>
            <w:tcBorders>
              <w:bottom w:val="single" w:sz="4" w:space="0" w:color="BFBFBF" w:themeColor="background1" w:themeShade="BF"/>
            </w:tcBorders>
          </w:tcPr>
          <w:p w14:paraId="1C78C316" w14:textId="77777777" w:rsidR="00E06DFC" w:rsidRPr="008C75E4" w:rsidRDefault="00E06DFC" w:rsidP="00D2449B">
            <w:pPr>
              <w:jc w:val="center"/>
              <w:rPr>
                <w:rFonts w:ascii="Calibri" w:hAnsi="Calibri"/>
                <w:b/>
                <w:szCs w:val="22"/>
              </w:rPr>
            </w:pPr>
          </w:p>
        </w:tc>
      </w:tr>
      <w:tr w:rsidR="008C75E4" w:rsidRPr="008C75E4" w14:paraId="43B7709D" w14:textId="77777777" w:rsidTr="0051077E">
        <w:trPr>
          <w:jc w:val="center"/>
        </w:trPr>
        <w:tc>
          <w:tcPr>
            <w:tcW w:w="9823" w:type="dxa"/>
            <w:gridSpan w:val="14"/>
            <w:tcBorders>
              <w:left w:val="nil"/>
              <w:right w:val="nil"/>
            </w:tcBorders>
            <w:tcMar>
              <w:top w:w="57" w:type="dxa"/>
              <w:bottom w:w="57" w:type="dxa"/>
            </w:tcMar>
          </w:tcPr>
          <w:p w14:paraId="51765569" w14:textId="77777777" w:rsidR="004A5EA9" w:rsidRPr="008C75E4" w:rsidRDefault="004A5EA9" w:rsidP="004A5EA9">
            <w:pPr>
              <w:jc w:val="center"/>
              <w:rPr>
                <w:rFonts w:ascii="Calibri" w:hAnsi="Calibri"/>
                <w:b/>
                <w:szCs w:val="22"/>
              </w:rPr>
            </w:pPr>
          </w:p>
        </w:tc>
      </w:tr>
      <w:tr w:rsidR="008C75E4" w:rsidRPr="008C75E4" w14:paraId="04145412" w14:textId="77777777" w:rsidTr="0051077E">
        <w:trPr>
          <w:jc w:val="center"/>
        </w:trPr>
        <w:tc>
          <w:tcPr>
            <w:tcW w:w="2394" w:type="dxa"/>
            <w:gridSpan w:val="3"/>
            <w:tcMar>
              <w:top w:w="57" w:type="dxa"/>
              <w:bottom w:w="57" w:type="dxa"/>
            </w:tcMar>
          </w:tcPr>
          <w:p w14:paraId="6F681E35" w14:textId="77777777" w:rsidR="004A5EA9" w:rsidRPr="008C75E4" w:rsidRDefault="004A5EA9">
            <w:pPr>
              <w:rPr>
                <w:rFonts w:ascii="Calibri" w:hAnsi="Calibri"/>
                <w:b/>
                <w:szCs w:val="22"/>
              </w:rPr>
            </w:pPr>
            <w:r w:rsidRPr="008C75E4">
              <w:rPr>
                <w:rFonts w:ascii="Calibri" w:hAnsi="Calibri"/>
                <w:b/>
                <w:szCs w:val="22"/>
              </w:rPr>
              <w:t>Application Ref:</w:t>
            </w:r>
          </w:p>
        </w:tc>
        <w:tc>
          <w:tcPr>
            <w:tcW w:w="3729" w:type="dxa"/>
            <w:gridSpan w:val="6"/>
          </w:tcPr>
          <w:p w14:paraId="085BDC08" w14:textId="7642F61E" w:rsidR="004A5EA9" w:rsidRPr="008C75E4" w:rsidRDefault="008E6994" w:rsidP="008F6B58">
            <w:pPr>
              <w:rPr>
                <w:rFonts w:ascii="Calibri" w:hAnsi="Calibri"/>
                <w:szCs w:val="22"/>
              </w:rPr>
            </w:pPr>
            <w:r w:rsidRPr="008E6994">
              <w:rPr>
                <w:rFonts w:ascii="Calibri" w:hAnsi="Calibri"/>
                <w:szCs w:val="22"/>
              </w:rPr>
              <w:t>3/2022/0</w:t>
            </w:r>
            <w:r w:rsidR="00AD0A85">
              <w:rPr>
                <w:rFonts w:ascii="Calibri" w:hAnsi="Calibri"/>
                <w:szCs w:val="22"/>
              </w:rPr>
              <w:t>386</w:t>
            </w:r>
          </w:p>
        </w:tc>
        <w:tc>
          <w:tcPr>
            <w:tcW w:w="3700" w:type="dxa"/>
            <w:gridSpan w:val="5"/>
            <w:vMerge w:val="restart"/>
            <w:tcMar>
              <w:top w:w="57" w:type="dxa"/>
              <w:bottom w:w="57" w:type="dxa"/>
            </w:tcMar>
          </w:tcPr>
          <w:p w14:paraId="4714CD49"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2AE58FC7" wp14:editId="43C997B7">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1B94EC19" w14:textId="77777777" w:rsidTr="0051077E">
        <w:trPr>
          <w:jc w:val="center"/>
        </w:trPr>
        <w:tc>
          <w:tcPr>
            <w:tcW w:w="2394" w:type="dxa"/>
            <w:gridSpan w:val="3"/>
            <w:tcMar>
              <w:top w:w="57" w:type="dxa"/>
              <w:bottom w:w="57" w:type="dxa"/>
            </w:tcMar>
          </w:tcPr>
          <w:p w14:paraId="1AE9F542" w14:textId="77777777" w:rsidR="004A5EA9" w:rsidRPr="008C75E4" w:rsidRDefault="004A5EA9">
            <w:pPr>
              <w:rPr>
                <w:rFonts w:ascii="Calibri" w:hAnsi="Calibri"/>
                <w:b/>
                <w:szCs w:val="22"/>
              </w:rPr>
            </w:pPr>
            <w:r w:rsidRPr="008C75E4">
              <w:rPr>
                <w:rFonts w:ascii="Calibri" w:hAnsi="Calibri"/>
                <w:b/>
                <w:szCs w:val="22"/>
              </w:rPr>
              <w:t>Date Inspected:</w:t>
            </w:r>
          </w:p>
        </w:tc>
        <w:tc>
          <w:tcPr>
            <w:tcW w:w="3729" w:type="dxa"/>
            <w:gridSpan w:val="6"/>
          </w:tcPr>
          <w:p w14:paraId="1C7299BB" w14:textId="59E2095F" w:rsidR="004A5EA9" w:rsidRPr="008C75E4" w:rsidRDefault="008E6994" w:rsidP="002C6277">
            <w:pPr>
              <w:rPr>
                <w:rFonts w:ascii="Calibri" w:hAnsi="Calibri"/>
                <w:szCs w:val="22"/>
              </w:rPr>
            </w:pPr>
            <w:r>
              <w:rPr>
                <w:rFonts w:ascii="Calibri" w:hAnsi="Calibri"/>
                <w:szCs w:val="22"/>
              </w:rPr>
              <w:t>1</w:t>
            </w:r>
            <w:r w:rsidR="00AD0A85">
              <w:rPr>
                <w:rFonts w:ascii="Calibri" w:hAnsi="Calibri"/>
                <w:szCs w:val="22"/>
              </w:rPr>
              <w:t>6</w:t>
            </w:r>
            <w:r>
              <w:rPr>
                <w:rFonts w:ascii="Calibri" w:hAnsi="Calibri"/>
                <w:szCs w:val="22"/>
              </w:rPr>
              <w:t>/05/2022</w:t>
            </w:r>
          </w:p>
        </w:tc>
        <w:tc>
          <w:tcPr>
            <w:tcW w:w="3700" w:type="dxa"/>
            <w:gridSpan w:val="5"/>
            <w:vMerge/>
            <w:tcMar>
              <w:top w:w="57" w:type="dxa"/>
              <w:bottom w:w="57" w:type="dxa"/>
            </w:tcMar>
          </w:tcPr>
          <w:p w14:paraId="7380499C" w14:textId="77777777" w:rsidR="004A5EA9" w:rsidRPr="008C75E4" w:rsidRDefault="004A5EA9">
            <w:pPr>
              <w:rPr>
                <w:rFonts w:ascii="Calibri" w:hAnsi="Calibri"/>
                <w:szCs w:val="22"/>
              </w:rPr>
            </w:pPr>
          </w:p>
        </w:tc>
      </w:tr>
      <w:tr w:rsidR="008C75E4" w:rsidRPr="008C75E4" w14:paraId="661F8E9A" w14:textId="77777777" w:rsidTr="0051077E">
        <w:trPr>
          <w:jc w:val="center"/>
        </w:trPr>
        <w:tc>
          <w:tcPr>
            <w:tcW w:w="2394" w:type="dxa"/>
            <w:gridSpan w:val="3"/>
            <w:tcMar>
              <w:top w:w="57" w:type="dxa"/>
              <w:bottom w:w="57" w:type="dxa"/>
            </w:tcMar>
          </w:tcPr>
          <w:p w14:paraId="3B322977"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729" w:type="dxa"/>
            <w:gridSpan w:val="6"/>
          </w:tcPr>
          <w:p w14:paraId="0E6D7E6B" w14:textId="169A11D4" w:rsidR="004A5EA9" w:rsidRPr="00454754" w:rsidRDefault="00697B2D" w:rsidP="00811771">
            <w:pPr>
              <w:rPr>
                <w:rFonts w:ascii="Calibri" w:hAnsi="Calibri"/>
                <w:b/>
                <w:szCs w:val="22"/>
              </w:rPr>
            </w:pPr>
            <w:r>
              <w:rPr>
                <w:rFonts w:ascii="Calibri" w:hAnsi="Calibri"/>
                <w:b/>
                <w:szCs w:val="22"/>
              </w:rPr>
              <w:t>LE</w:t>
            </w:r>
          </w:p>
        </w:tc>
        <w:tc>
          <w:tcPr>
            <w:tcW w:w="3700" w:type="dxa"/>
            <w:gridSpan w:val="5"/>
            <w:vMerge/>
            <w:tcMar>
              <w:top w:w="57" w:type="dxa"/>
              <w:bottom w:w="57" w:type="dxa"/>
            </w:tcMar>
          </w:tcPr>
          <w:p w14:paraId="19978D97" w14:textId="77777777" w:rsidR="004A5EA9" w:rsidRPr="008C75E4" w:rsidRDefault="004A5EA9">
            <w:pPr>
              <w:rPr>
                <w:rFonts w:ascii="Calibri" w:hAnsi="Calibri"/>
                <w:szCs w:val="22"/>
              </w:rPr>
            </w:pPr>
          </w:p>
        </w:tc>
      </w:tr>
      <w:tr w:rsidR="00FD334A" w:rsidRPr="008C75E4" w14:paraId="6FC2315D" w14:textId="77777777" w:rsidTr="0051077E">
        <w:trPr>
          <w:jc w:val="center"/>
        </w:trPr>
        <w:tc>
          <w:tcPr>
            <w:tcW w:w="6123" w:type="dxa"/>
            <w:gridSpan w:val="9"/>
            <w:tcBorders>
              <w:bottom w:val="single" w:sz="4" w:space="0" w:color="BFBFBF" w:themeColor="background1" w:themeShade="BF"/>
            </w:tcBorders>
            <w:tcMar>
              <w:top w:w="57" w:type="dxa"/>
              <w:bottom w:w="57" w:type="dxa"/>
            </w:tcMar>
          </w:tcPr>
          <w:p w14:paraId="63AEA55A"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3E0A4DC1" w14:textId="77777777"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14:paraId="2C55B9B5" w14:textId="7F994225" w:rsidR="00FD334A" w:rsidRPr="008C75E4" w:rsidRDefault="00752277" w:rsidP="00FD334A">
            <w:pPr>
              <w:rPr>
                <w:rFonts w:ascii="Calibri" w:hAnsi="Calibri"/>
                <w:b/>
                <w:szCs w:val="22"/>
              </w:rPr>
            </w:pPr>
            <w:r>
              <w:rPr>
                <w:rFonts w:ascii="Calibri" w:hAnsi="Calibri"/>
                <w:b/>
                <w:szCs w:val="22"/>
              </w:rPr>
              <w:t>REFUSE</w:t>
            </w:r>
          </w:p>
        </w:tc>
      </w:tr>
      <w:tr w:rsidR="008C75E4" w:rsidRPr="008C75E4" w14:paraId="1D46A840" w14:textId="77777777" w:rsidTr="0051077E">
        <w:trPr>
          <w:trHeight w:hRule="exact" w:val="144"/>
          <w:jc w:val="center"/>
        </w:trPr>
        <w:tc>
          <w:tcPr>
            <w:tcW w:w="9823" w:type="dxa"/>
            <w:gridSpan w:val="14"/>
            <w:tcBorders>
              <w:left w:val="nil"/>
              <w:right w:val="nil"/>
            </w:tcBorders>
            <w:tcMar>
              <w:top w:w="57" w:type="dxa"/>
              <w:bottom w:w="57" w:type="dxa"/>
            </w:tcMar>
          </w:tcPr>
          <w:p w14:paraId="07ECAA1C" w14:textId="77777777" w:rsidR="004A5EA9" w:rsidRPr="00504440" w:rsidRDefault="004A5EA9" w:rsidP="007E0D23">
            <w:pPr>
              <w:tabs>
                <w:tab w:val="left" w:pos="4007"/>
              </w:tabs>
              <w:rPr>
                <w:rFonts w:ascii="Calibri" w:hAnsi="Calibri"/>
                <w:b/>
                <w:sz w:val="4"/>
                <w:szCs w:val="4"/>
              </w:rPr>
            </w:pPr>
          </w:p>
        </w:tc>
      </w:tr>
      <w:tr w:rsidR="008C75E4" w:rsidRPr="008C75E4" w14:paraId="2BBCB377" w14:textId="77777777" w:rsidTr="0051077E">
        <w:trPr>
          <w:jc w:val="center"/>
        </w:trPr>
        <w:tc>
          <w:tcPr>
            <w:tcW w:w="3075" w:type="dxa"/>
            <w:gridSpan w:val="5"/>
            <w:tcMar>
              <w:top w:w="57" w:type="dxa"/>
              <w:bottom w:w="57" w:type="dxa"/>
            </w:tcMar>
          </w:tcPr>
          <w:p w14:paraId="3AB15BF1"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748" w:type="dxa"/>
            <w:gridSpan w:val="9"/>
          </w:tcPr>
          <w:p w14:paraId="41210B56" w14:textId="4BCB44E3" w:rsidR="004A5EA9" w:rsidRPr="008C75E4" w:rsidRDefault="00AB0CFF" w:rsidP="00AB0CFF">
            <w:pPr>
              <w:rPr>
                <w:rFonts w:ascii="Calibri" w:hAnsi="Calibri"/>
                <w:szCs w:val="22"/>
              </w:rPr>
            </w:pPr>
            <w:r w:rsidRPr="00AB0CFF">
              <w:rPr>
                <w:rFonts w:ascii="Calibri" w:hAnsi="Calibri"/>
                <w:szCs w:val="22"/>
              </w:rPr>
              <w:t xml:space="preserve">Proposed new outbuilding to provide single garage, single </w:t>
            </w:r>
            <w:proofErr w:type="gramStart"/>
            <w:r w:rsidRPr="00AB0CFF">
              <w:rPr>
                <w:rFonts w:ascii="Calibri" w:hAnsi="Calibri"/>
                <w:szCs w:val="22"/>
              </w:rPr>
              <w:t>carport</w:t>
            </w:r>
            <w:proofErr w:type="gramEnd"/>
            <w:r w:rsidRPr="00AB0CFF">
              <w:rPr>
                <w:rFonts w:ascii="Calibri" w:hAnsi="Calibri"/>
                <w:szCs w:val="22"/>
              </w:rPr>
              <w:t xml:space="preserve"> and garden store. Planting of new hedgerow with interspersed trees along NE boundary of existing curtilage.</w:t>
            </w:r>
          </w:p>
        </w:tc>
      </w:tr>
      <w:tr w:rsidR="008C75E4" w:rsidRPr="008C75E4" w14:paraId="29D448B2" w14:textId="77777777" w:rsidTr="0051077E">
        <w:trPr>
          <w:jc w:val="center"/>
        </w:trPr>
        <w:tc>
          <w:tcPr>
            <w:tcW w:w="3075" w:type="dxa"/>
            <w:gridSpan w:val="5"/>
            <w:tcBorders>
              <w:bottom w:val="single" w:sz="4" w:space="0" w:color="BFBFBF" w:themeColor="background1" w:themeShade="BF"/>
            </w:tcBorders>
            <w:tcMar>
              <w:top w:w="57" w:type="dxa"/>
              <w:bottom w:w="57" w:type="dxa"/>
            </w:tcMar>
          </w:tcPr>
          <w:p w14:paraId="013DB22D"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748" w:type="dxa"/>
            <w:gridSpan w:val="9"/>
            <w:tcBorders>
              <w:bottom w:val="single" w:sz="4" w:space="0" w:color="BFBFBF" w:themeColor="background1" w:themeShade="BF"/>
            </w:tcBorders>
          </w:tcPr>
          <w:p w14:paraId="36E928F0" w14:textId="6D91AE7D" w:rsidR="002A01CF" w:rsidRPr="008C75E4" w:rsidRDefault="00AB0CFF" w:rsidP="00A42E82">
            <w:pPr>
              <w:rPr>
                <w:rFonts w:ascii="Calibri" w:hAnsi="Calibri"/>
                <w:szCs w:val="22"/>
              </w:rPr>
            </w:pPr>
            <w:r w:rsidRPr="00AB0CFF">
              <w:rPr>
                <w:rFonts w:ascii="Calibri" w:hAnsi="Calibri"/>
                <w:szCs w:val="22"/>
              </w:rPr>
              <w:t xml:space="preserve">Barn at </w:t>
            </w:r>
            <w:proofErr w:type="spellStart"/>
            <w:r w:rsidRPr="00AB0CFF">
              <w:rPr>
                <w:rFonts w:ascii="Calibri" w:hAnsi="Calibri"/>
                <w:szCs w:val="22"/>
              </w:rPr>
              <w:t>Greengore</w:t>
            </w:r>
            <w:proofErr w:type="spellEnd"/>
            <w:r w:rsidRPr="00AB0CFF">
              <w:rPr>
                <w:rFonts w:ascii="Calibri" w:hAnsi="Calibri"/>
                <w:szCs w:val="22"/>
              </w:rPr>
              <w:t xml:space="preserve"> Hill Lane Hurst Green BB7 9QT</w:t>
            </w:r>
          </w:p>
        </w:tc>
      </w:tr>
      <w:tr w:rsidR="008C75E4" w:rsidRPr="008C75E4" w14:paraId="1C433E6C" w14:textId="77777777" w:rsidTr="0051077E">
        <w:trPr>
          <w:trHeight w:hRule="exact" w:val="144"/>
          <w:jc w:val="center"/>
        </w:trPr>
        <w:tc>
          <w:tcPr>
            <w:tcW w:w="9823" w:type="dxa"/>
            <w:gridSpan w:val="14"/>
            <w:tcBorders>
              <w:left w:val="nil"/>
              <w:right w:val="nil"/>
            </w:tcBorders>
            <w:tcMar>
              <w:top w:w="57" w:type="dxa"/>
              <w:bottom w:w="57" w:type="dxa"/>
            </w:tcMar>
          </w:tcPr>
          <w:p w14:paraId="4FF59ADF" w14:textId="77777777" w:rsidR="00A95D89" w:rsidRPr="00504440" w:rsidRDefault="00A95D89" w:rsidP="007E0D23">
            <w:pPr>
              <w:tabs>
                <w:tab w:val="left" w:pos="2667"/>
              </w:tabs>
              <w:rPr>
                <w:rFonts w:ascii="Calibri" w:hAnsi="Calibri"/>
                <w:b/>
                <w:sz w:val="4"/>
                <w:szCs w:val="4"/>
              </w:rPr>
            </w:pPr>
          </w:p>
        </w:tc>
      </w:tr>
      <w:tr w:rsidR="008C75E4" w:rsidRPr="008C75E4" w14:paraId="21214257" w14:textId="77777777" w:rsidTr="0051077E">
        <w:trPr>
          <w:jc w:val="center"/>
        </w:trPr>
        <w:tc>
          <w:tcPr>
            <w:tcW w:w="3075" w:type="dxa"/>
            <w:gridSpan w:val="5"/>
            <w:tcMar>
              <w:top w:w="57" w:type="dxa"/>
              <w:bottom w:w="57" w:type="dxa"/>
            </w:tcMar>
          </w:tcPr>
          <w:p w14:paraId="5ABE6DCE"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748" w:type="dxa"/>
            <w:gridSpan w:val="9"/>
          </w:tcPr>
          <w:p w14:paraId="568756FE"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16623A61" w14:textId="77777777" w:rsidTr="0051077E">
        <w:trPr>
          <w:jc w:val="center"/>
        </w:trPr>
        <w:tc>
          <w:tcPr>
            <w:tcW w:w="9823" w:type="dxa"/>
            <w:gridSpan w:val="14"/>
            <w:tcBorders>
              <w:bottom w:val="single" w:sz="4" w:space="0" w:color="BFBFBF" w:themeColor="background1" w:themeShade="BF"/>
            </w:tcBorders>
            <w:tcMar>
              <w:top w:w="57" w:type="dxa"/>
              <w:bottom w:w="57" w:type="dxa"/>
            </w:tcMar>
          </w:tcPr>
          <w:p w14:paraId="13FAC4F2" w14:textId="70222D27" w:rsidR="003A4376" w:rsidRPr="009825FF" w:rsidRDefault="00F666A1" w:rsidP="009825FF">
            <w:pPr>
              <w:jc w:val="both"/>
              <w:rPr>
                <w:rFonts w:ascii="Calibri" w:hAnsi="Calibri"/>
                <w:szCs w:val="22"/>
              </w:rPr>
            </w:pPr>
            <w:r>
              <w:rPr>
                <w:rFonts w:ascii="Calibri" w:hAnsi="Calibri"/>
                <w:szCs w:val="22"/>
              </w:rPr>
              <w:t>No comments received</w:t>
            </w:r>
          </w:p>
        </w:tc>
      </w:tr>
      <w:tr w:rsidR="008C75E4" w:rsidRPr="008C75E4" w14:paraId="5D902C85" w14:textId="77777777" w:rsidTr="0051077E">
        <w:trPr>
          <w:trHeight w:hRule="exact" w:val="144"/>
          <w:jc w:val="center"/>
        </w:trPr>
        <w:tc>
          <w:tcPr>
            <w:tcW w:w="9823" w:type="dxa"/>
            <w:gridSpan w:val="14"/>
            <w:tcBorders>
              <w:left w:val="nil"/>
              <w:right w:val="nil"/>
            </w:tcBorders>
            <w:tcMar>
              <w:top w:w="57" w:type="dxa"/>
              <w:bottom w:w="57" w:type="dxa"/>
            </w:tcMar>
          </w:tcPr>
          <w:p w14:paraId="51665322" w14:textId="77777777" w:rsidR="00C618DB" w:rsidRPr="00504440" w:rsidRDefault="00C618DB" w:rsidP="006126D1">
            <w:pPr>
              <w:jc w:val="both"/>
              <w:rPr>
                <w:rFonts w:ascii="Calibri" w:hAnsi="Calibri"/>
                <w:bCs/>
                <w:sz w:val="4"/>
                <w:szCs w:val="4"/>
              </w:rPr>
            </w:pPr>
          </w:p>
        </w:tc>
      </w:tr>
      <w:tr w:rsidR="008C75E4" w:rsidRPr="008C75E4" w14:paraId="1FF7D5F3" w14:textId="77777777" w:rsidTr="0051077E">
        <w:trPr>
          <w:jc w:val="center"/>
        </w:trPr>
        <w:tc>
          <w:tcPr>
            <w:tcW w:w="3075" w:type="dxa"/>
            <w:gridSpan w:val="5"/>
            <w:tcMar>
              <w:top w:w="57" w:type="dxa"/>
              <w:bottom w:w="57" w:type="dxa"/>
            </w:tcMar>
          </w:tcPr>
          <w:p w14:paraId="7F08DD1A"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748" w:type="dxa"/>
            <w:gridSpan w:val="9"/>
          </w:tcPr>
          <w:p w14:paraId="12173924"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14:paraId="14084617" w14:textId="77777777" w:rsidTr="0051077E">
        <w:trPr>
          <w:jc w:val="center"/>
        </w:trPr>
        <w:tc>
          <w:tcPr>
            <w:tcW w:w="3075" w:type="dxa"/>
            <w:gridSpan w:val="5"/>
            <w:tcMar>
              <w:top w:w="57" w:type="dxa"/>
              <w:bottom w:w="57" w:type="dxa"/>
            </w:tcMar>
          </w:tcPr>
          <w:p w14:paraId="01D783C7" w14:textId="02317704" w:rsidR="002A01CF" w:rsidRPr="008C75E4" w:rsidRDefault="002A01CF" w:rsidP="006126D1">
            <w:pPr>
              <w:jc w:val="both"/>
              <w:rPr>
                <w:rFonts w:ascii="Calibri" w:hAnsi="Calibri"/>
                <w:b/>
                <w:szCs w:val="22"/>
              </w:rPr>
            </w:pPr>
          </w:p>
        </w:tc>
        <w:tc>
          <w:tcPr>
            <w:tcW w:w="6748" w:type="dxa"/>
            <w:gridSpan w:val="9"/>
          </w:tcPr>
          <w:p w14:paraId="43E71B1F" w14:textId="739A8C5B" w:rsidR="002A01CF" w:rsidRPr="008C75E4" w:rsidRDefault="00F666A1" w:rsidP="006126D1">
            <w:pPr>
              <w:jc w:val="both"/>
              <w:rPr>
                <w:rFonts w:ascii="Calibri" w:hAnsi="Calibri"/>
                <w:b/>
                <w:szCs w:val="22"/>
              </w:rPr>
            </w:pPr>
            <w:r>
              <w:rPr>
                <w:rFonts w:ascii="Calibri" w:hAnsi="Calibri"/>
                <w:b/>
                <w:szCs w:val="22"/>
              </w:rPr>
              <w:t>NONE</w:t>
            </w:r>
          </w:p>
        </w:tc>
      </w:tr>
      <w:tr w:rsidR="008C75E4" w:rsidRPr="008C75E4" w14:paraId="656D4748" w14:textId="77777777" w:rsidTr="0051077E">
        <w:trPr>
          <w:jc w:val="center"/>
        </w:trPr>
        <w:tc>
          <w:tcPr>
            <w:tcW w:w="9823" w:type="dxa"/>
            <w:gridSpan w:val="14"/>
            <w:tcMar>
              <w:top w:w="57" w:type="dxa"/>
              <w:bottom w:w="57" w:type="dxa"/>
            </w:tcMar>
          </w:tcPr>
          <w:p w14:paraId="1C7591F6" w14:textId="7894DEBA" w:rsidR="00C0704D" w:rsidRPr="008C75E4" w:rsidRDefault="00C0704D" w:rsidP="00FC046F">
            <w:pPr>
              <w:jc w:val="both"/>
              <w:rPr>
                <w:rFonts w:ascii="Calibri" w:hAnsi="Calibri"/>
                <w:szCs w:val="22"/>
              </w:rPr>
            </w:pPr>
          </w:p>
        </w:tc>
      </w:tr>
      <w:tr w:rsidR="008C75E4" w:rsidRPr="008C75E4" w14:paraId="6237AA5E" w14:textId="77777777" w:rsidTr="0051077E">
        <w:trPr>
          <w:jc w:val="center"/>
        </w:trPr>
        <w:tc>
          <w:tcPr>
            <w:tcW w:w="3075" w:type="dxa"/>
            <w:gridSpan w:val="5"/>
            <w:tcMar>
              <w:top w:w="57" w:type="dxa"/>
              <w:bottom w:w="57" w:type="dxa"/>
            </w:tcMar>
          </w:tcPr>
          <w:p w14:paraId="2C5488D9"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748" w:type="dxa"/>
            <w:gridSpan w:val="9"/>
          </w:tcPr>
          <w:p w14:paraId="4212B1B1"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000DC430" w14:textId="77777777" w:rsidTr="0051077E">
        <w:trPr>
          <w:jc w:val="center"/>
        </w:trPr>
        <w:tc>
          <w:tcPr>
            <w:tcW w:w="9823" w:type="dxa"/>
            <w:gridSpan w:val="14"/>
            <w:tcBorders>
              <w:bottom w:val="single" w:sz="4" w:space="0" w:color="BFBFBF" w:themeColor="background1" w:themeShade="BF"/>
            </w:tcBorders>
            <w:tcMar>
              <w:top w:w="57" w:type="dxa"/>
              <w:bottom w:w="57" w:type="dxa"/>
            </w:tcMar>
          </w:tcPr>
          <w:p w14:paraId="0C8FB48A" w14:textId="2EBC6FFE" w:rsidR="005878FE" w:rsidRPr="00435FC9" w:rsidRDefault="00F666A1" w:rsidP="00435FC9">
            <w:pPr>
              <w:jc w:val="both"/>
              <w:rPr>
                <w:rFonts w:ascii="Calibri" w:hAnsi="Calibri"/>
                <w:szCs w:val="22"/>
              </w:rPr>
            </w:pPr>
            <w:r>
              <w:rPr>
                <w:rFonts w:ascii="Calibri" w:hAnsi="Calibri"/>
                <w:szCs w:val="22"/>
              </w:rPr>
              <w:t>NONE</w:t>
            </w:r>
          </w:p>
        </w:tc>
      </w:tr>
      <w:tr w:rsidR="008C75E4" w:rsidRPr="008C75E4" w14:paraId="57B30470" w14:textId="77777777" w:rsidTr="0051077E">
        <w:trPr>
          <w:trHeight w:hRule="exact" w:val="144"/>
          <w:jc w:val="center"/>
        </w:trPr>
        <w:tc>
          <w:tcPr>
            <w:tcW w:w="9823" w:type="dxa"/>
            <w:gridSpan w:val="14"/>
            <w:tcBorders>
              <w:left w:val="nil"/>
              <w:right w:val="nil"/>
            </w:tcBorders>
            <w:tcMar>
              <w:top w:w="57" w:type="dxa"/>
              <w:bottom w:w="57" w:type="dxa"/>
            </w:tcMar>
          </w:tcPr>
          <w:p w14:paraId="2B2C25CD" w14:textId="77777777" w:rsidR="00C0704D" w:rsidRPr="00504440" w:rsidRDefault="00C0704D" w:rsidP="006126D1">
            <w:pPr>
              <w:jc w:val="both"/>
              <w:rPr>
                <w:rFonts w:ascii="Calibri" w:hAnsi="Calibri"/>
                <w:sz w:val="4"/>
                <w:szCs w:val="4"/>
              </w:rPr>
            </w:pPr>
          </w:p>
        </w:tc>
      </w:tr>
      <w:tr w:rsidR="008C75E4" w:rsidRPr="008C75E4" w14:paraId="5BAF9382" w14:textId="77777777" w:rsidTr="0051077E">
        <w:trPr>
          <w:jc w:val="center"/>
        </w:trPr>
        <w:tc>
          <w:tcPr>
            <w:tcW w:w="9823" w:type="dxa"/>
            <w:gridSpan w:val="14"/>
            <w:tcMar>
              <w:top w:w="57" w:type="dxa"/>
              <w:bottom w:w="57" w:type="dxa"/>
            </w:tcMar>
          </w:tcPr>
          <w:p w14:paraId="09BE116F"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093BCED3" w14:textId="77777777" w:rsidTr="0051077E">
        <w:trPr>
          <w:trHeight w:val="864"/>
          <w:jc w:val="center"/>
        </w:trPr>
        <w:tc>
          <w:tcPr>
            <w:tcW w:w="9823" w:type="dxa"/>
            <w:gridSpan w:val="14"/>
            <w:tcMar>
              <w:top w:w="57" w:type="dxa"/>
              <w:bottom w:w="57" w:type="dxa"/>
            </w:tcMar>
          </w:tcPr>
          <w:p w14:paraId="79BAC74D" w14:textId="77777777" w:rsidR="008542DE" w:rsidRPr="00504440" w:rsidRDefault="00C0704D" w:rsidP="00504440">
            <w:pPr>
              <w:pStyle w:val="PLANNING"/>
              <w:rPr>
                <w:rFonts w:ascii="Calibri" w:hAnsi="Calibri"/>
                <w:b/>
                <w:bCs/>
                <w:szCs w:val="22"/>
              </w:rPr>
            </w:pPr>
            <w:proofErr w:type="spellStart"/>
            <w:r w:rsidRPr="008C75E4">
              <w:rPr>
                <w:rFonts w:ascii="Calibri" w:hAnsi="Calibri"/>
                <w:b/>
                <w:bCs/>
                <w:szCs w:val="22"/>
              </w:rPr>
              <w:t>Ribble</w:t>
            </w:r>
            <w:proofErr w:type="spellEnd"/>
            <w:r w:rsidRPr="008C75E4">
              <w:rPr>
                <w:rFonts w:ascii="Calibri" w:hAnsi="Calibri"/>
                <w:b/>
                <w:bCs/>
                <w:szCs w:val="22"/>
              </w:rPr>
              <w:t xml:space="preserve"> Valley Core Strategy:</w:t>
            </w:r>
          </w:p>
          <w:p w14:paraId="3D9F9912" w14:textId="77777777" w:rsidR="003D365F" w:rsidRDefault="003D365F" w:rsidP="003D365F">
            <w:pPr>
              <w:jc w:val="both"/>
              <w:rPr>
                <w:rFonts w:ascii="Calibri" w:hAnsi="Calibri"/>
                <w:b/>
                <w:szCs w:val="22"/>
              </w:rPr>
            </w:pPr>
          </w:p>
          <w:p w14:paraId="258ED573" w14:textId="77777777" w:rsidR="00551ECD" w:rsidRPr="00551ECD" w:rsidRDefault="00551ECD" w:rsidP="00551ECD">
            <w:pPr>
              <w:jc w:val="both"/>
              <w:rPr>
                <w:rFonts w:ascii="Calibri" w:hAnsi="Calibri"/>
                <w:bCs/>
                <w:szCs w:val="22"/>
              </w:rPr>
            </w:pPr>
            <w:r w:rsidRPr="00551ECD">
              <w:rPr>
                <w:rFonts w:ascii="Calibri" w:hAnsi="Calibri"/>
                <w:bCs/>
                <w:szCs w:val="22"/>
              </w:rPr>
              <w:t>Key Statement EN5 – Heritage Assets</w:t>
            </w:r>
          </w:p>
          <w:p w14:paraId="580AC9F9" w14:textId="739F58B8" w:rsidR="00551ECD" w:rsidRDefault="00551ECD" w:rsidP="00551ECD">
            <w:pPr>
              <w:jc w:val="both"/>
              <w:rPr>
                <w:rFonts w:ascii="Calibri" w:hAnsi="Calibri"/>
                <w:bCs/>
                <w:szCs w:val="22"/>
              </w:rPr>
            </w:pPr>
            <w:r w:rsidRPr="00551ECD">
              <w:rPr>
                <w:rFonts w:ascii="Calibri" w:hAnsi="Calibri"/>
                <w:bCs/>
                <w:szCs w:val="22"/>
              </w:rPr>
              <w:t>Key Statement EN2 – Landscape</w:t>
            </w:r>
          </w:p>
          <w:p w14:paraId="12C36018" w14:textId="6EA55716" w:rsidR="008E6994" w:rsidRDefault="008E6994" w:rsidP="003D365F">
            <w:pPr>
              <w:jc w:val="both"/>
              <w:rPr>
                <w:rFonts w:ascii="Calibri" w:hAnsi="Calibri"/>
                <w:bCs/>
                <w:szCs w:val="22"/>
              </w:rPr>
            </w:pPr>
            <w:r w:rsidRPr="008E6994">
              <w:rPr>
                <w:rFonts w:ascii="Calibri" w:hAnsi="Calibri"/>
                <w:bCs/>
                <w:szCs w:val="22"/>
              </w:rPr>
              <w:t>Policy DMG1 – General Considerations</w:t>
            </w:r>
          </w:p>
          <w:p w14:paraId="32097F8B" w14:textId="4D2D19CD" w:rsidR="002362B0" w:rsidRDefault="002362B0" w:rsidP="003D365F">
            <w:pPr>
              <w:jc w:val="both"/>
              <w:rPr>
                <w:rFonts w:ascii="Calibri" w:hAnsi="Calibri"/>
                <w:bCs/>
                <w:szCs w:val="22"/>
              </w:rPr>
            </w:pPr>
            <w:r>
              <w:rPr>
                <w:rFonts w:ascii="Calibri" w:hAnsi="Calibri"/>
                <w:bCs/>
                <w:szCs w:val="22"/>
              </w:rPr>
              <w:t>Policy DME4 – Protecting Heritage Assets</w:t>
            </w:r>
          </w:p>
          <w:p w14:paraId="476F2E84" w14:textId="77777777" w:rsidR="00551ECD" w:rsidRPr="00551ECD" w:rsidRDefault="00551ECD" w:rsidP="00551ECD">
            <w:pPr>
              <w:jc w:val="both"/>
              <w:rPr>
                <w:rFonts w:ascii="Calibri" w:hAnsi="Calibri"/>
                <w:bCs/>
                <w:szCs w:val="22"/>
              </w:rPr>
            </w:pPr>
            <w:r w:rsidRPr="00551ECD">
              <w:rPr>
                <w:rFonts w:ascii="Calibri" w:hAnsi="Calibri"/>
                <w:bCs/>
                <w:szCs w:val="22"/>
              </w:rPr>
              <w:t>Policy DMG1 – General Considerations</w:t>
            </w:r>
          </w:p>
          <w:p w14:paraId="0F584909" w14:textId="77777777" w:rsidR="00551ECD" w:rsidRPr="00551ECD" w:rsidRDefault="00551ECD" w:rsidP="00551ECD">
            <w:pPr>
              <w:jc w:val="both"/>
              <w:rPr>
                <w:rFonts w:ascii="Calibri" w:hAnsi="Calibri"/>
                <w:bCs/>
                <w:szCs w:val="22"/>
              </w:rPr>
            </w:pPr>
            <w:r w:rsidRPr="00551ECD">
              <w:rPr>
                <w:rFonts w:ascii="Calibri" w:hAnsi="Calibri"/>
                <w:bCs/>
                <w:szCs w:val="22"/>
              </w:rPr>
              <w:t>Policy DME4 – Protecting Heritage Assets</w:t>
            </w:r>
          </w:p>
          <w:p w14:paraId="3647DDCD" w14:textId="3A94755A" w:rsidR="00551ECD" w:rsidRDefault="00551ECD" w:rsidP="00551ECD">
            <w:pPr>
              <w:jc w:val="both"/>
              <w:rPr>
                <w:rFonts w:ascii="Calibri" w:hAnsi="Calibri"/>
                <w:bCs/>
                <w:szCs w:val="22"/>
              </w:rPr>
            </w:pPr>
            <w:r w:rsidRPr="00551ECD">
              <w:rPr>
                <w:rFonts w:ascii="Calibri" w:hAnsi="Calibri"/>
                <w:bCs/>
                <w:szCs w:val="22"/>
              </w:rPr>
              <w:t>Policy DME2 - Landscape and Townscape Protection</w:t>
            </w:r>
          </w:p>
          <w:p w14:paraId="6C66D5CF" w14:textId="4A383E13" w:rsidR="00551ECD" w:rsidRPr="00551ECD" w:rsidRDefault="00551ECD" w:rsidP="00551ECD">
            <w:pPr>
              <w:jc w:val="both"/>
              <w:rPr>
                <w:rFonts w:ascii="Calibri" w:hAnsi="Calibri"/>
                <w:bCs/>
                <w:szCs w:val="22"/>
              </w:rPr>
            </w:pPr>
            <w:r w:rsidRPr="00551ECD">
              <w:rPr>
                <w:rFonts w:ascii="Calibri" w:hAnsi="Calibri"/>
                <w:bCs/>
                <w:szCs w:val="22"/>
              </w:rPr>
              <w:t xml:space="preserve">Policy DMH4 – The Conversion </w:t>
            </w:r>
            <w:proofErr w:type="gramStart"/>
            <w:r w:rsidRPr="00551ECD">
              <w:rPr>
                <w:rFonts w:ascii="Calibri" w:hAnsi="Calibri"/>
                <w:bCs/>
                <w:szCs w:val="22"/>
              </w:rPr>
              <w:t>Of</w:t>
            </w:r>
            <w:proofErr w:type="gramEnd"/>
            <w:r w:rsidRPr="00551ECD">
              <w:rPr>
                <w:rFonts w:ascii="Calibri" w:hAnsi="Calibri"/>
                <w:bCs/>
                <w:szCs w:val="22"/>
              </w:rPr>
              <w:t xml:space="preserve"> Barns And Other Buildings To Dwellings</w:t>
            </w:r>
          </w:p>
          <w:p w14:paraId="5643B4DF" w14:textId="6AB22FE6" w:rsidR="00551ECD" w:rsidRDefault="00551ECD" w:rsidP="00551ECD">
            <w:pPr>
              <w:jc w:val="both"/>
              <w:rPr>
                <w:rFonts w:ascii="Calibri" w:hAnsi="Calibri"/>
                <w:bCs/>
                <w:szCs w:val="22"/>
              </w:rPr>
            </w:pPr>
            <w:r w:rsidRPr="00551ECD">
              <w:rPr>
                <w:rFonts w:ascii="Calibri" w:hAnsi="Calibri"/>
                <w:bCs/>
                <w:szCs w:val="22"/>
              </w:rPr>
              <w:t xml:space="preserve">Policy DMH5 </w:t>
            </w:r>
            <w:proofErr w:type="gramStart"/>
            <w:r w:rsidRPr="00551ECD">
              <w:rPr>
                <w:rFonts w:ascii="Calibri" w:hAnsi="Calibri"/>
                <w:bCs/>
                <w:szCs w:val="22"/>
              </w:rPr>
              <w:t>-  Residential</w:t>
            </w:r>
            <w:proofErr w:type="gramEnd"/>
            <w:r w:rsidRPr="00551ECD">
              <w:rPr>
                <w:rFonts w:ascii="Calibri" w:hAnsi="Calibri"/>
                <w:bCs/>
                <w:szCs w:val="22"/>
              </w:rPr>
              <w:t xml:space="preserve"> and Curtilage Extensions</w:t>
            </w:r>
          </w:p>
          <w:p w14:paraId="50E471F4" w14:textId="66F490F4" w:rsidR="00551ECD" w:rsidRDefault="00551ECD" w:rsidP="00551ECD">
            <w:pPr>
              <w:jc w:val="both"/>
              <w:rPr>
                <w:rFonts w:ascii="Calibri" w:hAnsi="Calibri"/>
                <w:bCs/>
                <w:szCs w:val="22"/>
              </w:rPr>
            </w:pPr>
          </w:p>
          <w:p w14:paraId="339AE28F" w14:textId="77777777" w:rsidR="00551ECD" w:rsidRPr="00551ECD" w:rsidRDefault="00551ECD" w:rsidP="00551ECD">
            <w:pPr>
              <w:jc w:val="both"/>
              <w:rPr>
                <w:rFonts w:ascii="Calibri" w:hAnsi="Calibri"/>
                <w:bCs/>
                <w:szCs w:val="22"/>
              </w:rPr>
            </w:pPr>
            <w:r w:rsidRPr="00551ECD">
              <w:rPr>
                <w:rFonts w:ascii="Calibri" w:hAnsi="Calibri"/>
                <w:bCs/>
                <w:szCs w:val="22"/>
              </w:rPr>
              <w:t>National Planning Policy Framework (NPPF)</w:t>
            </w:r>
          </w:p>
          <w:p w14:paraId="4F69CF62" w14:textId="57F26007" w:rsidR="00551ECD" w:rsidRDefault="00551ECD" w:rsidP="00551ECD">
            <w:pPr>
              <w:jc w:val="both"/>
              <w:rPr>
                <w:rFonts w:ascii="Calibri" w:hAnsi="Calibri"/>
                <w:bCs/>
                <w:szCs w:val="22"/>
              </w:rPr>
            </w:pPr>
            <w:r w:rsidRPr="00551ECD">
              <w:rPr>
                <w:rFonts w:ascii="Calibri" w:hAnsi="Calibri"/>
                <w:bCs/>
                <w:szCs w:val="22"/>
              </w:rPr>
              <w:t>National Planning Policy Guidance (NPPG)</w:t>
            </w:r>
          </w:p>
          <w:p w14:paraId="7FAA2CB8" w14:textId="77777777" w:rsidR="002362B0" w:rsidRDefault="002362B0" w:rsidP="003D365F">
            <w:pPr>
              <w:jc w:val="both"/>
              <w:rPr>
                <w:rFonts w:ascii="Calibri" w:hAnsi="Calibri"/>
                <w:bCs/>
                <w:szCs w:val="22"/>
              </w:rPr>
            </w:pPr>
          </w:p>
          <w:p w14:paraId="0D7CD674" w14:textId="64837EEB" w:rsidR="002362B0" w:rsidRPr="008E6994" w:rsidRDefault="002362B0" w:rsidP="003D365F">
            <w:pPr>
              <w:jc w:val="both"/>
              <w:rPr>
                <w:rFonts w:ascii="Calibri" w:hAnsi="Calibri"/>
                <w:bCs/>
                <w:szCs w:val="22"/>
              </w:rPr>
            </w:pPr>
            <w:r>
              <w:rPr>
                <w:rFonts w:ascii="Calibri" w:hAnsi="Calibri"/>
                <w:bCs/>
                <w:szCs w:val="22"/>
              </w:rPr>
              <w:t>Section 66 of the Planning (Listed Buildings and Conservation Areas) Act</w:t>
            </w:r>
          </w:p>
        </w:tc>
      </w:tr>
      <w:tr w:rsidR="008C75E4" w:rsidRPr="008C75E4" w14:paraId="41D1C0B6" w14:textId="77777777" w:rsidTr="0051077E">
        <w:trPr>
          <w:trHeight w:val="864"/>
          <w:jc w:val="center"/>
        </w:trPr>
        <w:tc>
          <w:tcPr>
            <w:tcW w:w="9823" w:type="dxa"/>
            <w:gridSpan w:val="14"/>
            <w:tcBorders>
              <w:bottom w:val="single" w:sz="4" w:space="0" w:color="BFBFBF" w:themeColor="background1" w:themeShade="BF"/>
            </w:tcBorders>
            <w:tcMar>
              <w:top w:w="57" w:type="dxa"/>
              <w:bottom w:w="57" w:type="dxa"/>
            </w:tcMar>
          </w:tcPr>
          <w:p w14:paraId="567A2E59" w14:textId="77777777" w:rsidR="00C0704D" w:rsidRPr="008C75E4" w:rsidRDefault="00C0704D" w:rsidP="006126D1">
            <w:pPr>
              <w:pStyle w:val="PLANNING"/>
              <w:rPr>
                <w:rFonts w:ascii="Calibri" w:hAnsi="Calibri"/>
                <w:b/>
                <w:bCs/>
                <w:szCs w:val="22"/>
              </w:rPr>
            </w:pPr>
            <w:r w:rsidRPr="008C75E4">
              <w:rPr>
                <w:rFonts w:ascii="Calibri" w:hAnsi="Calibri"/>
                <w:b/>
                <w:bCs/>
                <w:szCs w:val="22"/>
              </w:rPr>
              <w:t>Relevant Planning History:</w:t>
            </w:r>
          </w:p>
          <w:p w14:paraId="0F5E68D1" w14:textId="77777777" w:rsidR="00101855" w:rsidRDefault="00101855" w:rsidP="00454754">
            <w:pPr>
              <w:pStyle w:val="PLANNING"/>
              <w:rPr>
                <w:rFonts w:ascii="Calibri" w:hAnsi="Calibri"/>
                <w:bCs/>
                <w:szCs w:val="22"/>
              </w:rPr>
            </w:pPr>
          </w:p>
          <w:p w14:paraId="2850E0EE" w14:textId="5C7A9E0C" w:rsidR="008E6994" w:rsidRPr="001946E0" w:rsidRDefault="002459E7" w:rsidP="00454754">
            <w:pPr>
              <w:pStyle w:val="PLANNING"/>
              <w:rPr>
                <w:rFonts w:ascii="Calibri" w:hAnsi="Calibri"/>
                <w:bCs/>
                <w:szCs w:val="22"/>
              </w:rPr>
            </w:pPr>
            <w:r>
              <w:rPr>
                <w:rFonts w:ascii="Calibri" w:hAnsi="Calibri"/>
                <w:bCs/>
                <w:szCs w:val="22"/>
              </w:rPr>
              <w:t>3/2020/0543 – Conversion of barn and outbuilding to a dwelling and erection of a new garage</w:t>
            </w:r>
            <w:r w:rsidR="00752277">
              <w:rPr>
                <w:rFonts w:ascii="Calibri" w:hAnsi="Calibri"/>
                <w:bCs/>
                <w:szCs w:val="22"/>
              </w:rPr>
              <w:t xml:space="preserve"> – approved (with garage deleted from scheme)</w:t>
            </w:r>
          </w:p>
        </w:tc>
      </w:tr>
      <w:tr w:rsidR="008C75E4" w:rsidRPr="008C75E4" w14:paraId="32FA2C44" w14:textId="77777777" w:rsidTr="0051077E">
        <w:trPr>
          <w:trHeight w:hRule="exact" w:val="144"/>
          <w:jc w:val="center"/>
        </w:trPr>
        <w:tc>
          <w:tcPr>
            <w:tcW w:w="9823" w:type="dxa"/>
            <w:gridSpan w:val="14"/>
            <w:tcBorders>
              <w:left w:val="nil"/>
              <w:right w:val="nil"/>
            </w:tcBorders>
            <w:tcMar>
              <w:top w:w="57" w:type="dxa"/>
              <w:bottom w:w="57" w:type="dxa"/>
            </w:tcMar>
          </w:tcPr>
          <w:p w14:paraId="26DACD13" w14:textId="77777777" w:rsidR="003F16AA" w:rsidRPr="00504440" w:rsidRDefault="003F16AA" w:rsidP="00504440">
            <w:pPr>
              <w:rPr>
                <w:sz w:val="4"/>
                <w:szCs w:val="4"/>
              </w:rPr>
            </w:pPr>
          </w:p>
        </w:tc>
      </w:tr>
      <w:tr w:rsidR="008C75E4" w:rsidRPr="008C75E4" w14:paraId="6B3B1049" w14:textId="77777777" w:rsidTr="0051077E">
        <w:trPr>
          <w:jc w:val="center"/>
        </w:trPr>
        <w:tc>
          <w:tcPr>
            <w:tcW w:w="9823" w:type="dxa"/>
            <w:gridSpan w:val="14"/>
            <w:tcMar>
              <w:top w:w="57" w:type="dxa"/>
              <w:bottom w:w="57" w:type="dxa"/>
            </w:tcMar>
          </w:tcPr>
          <w:p w14:paraId="428108CA" w14:textId="77777777" w:rsidR="00C0704D" w:rsidRPr="008C75E4" w:rsidRDefault="00C0704D" w:rsidP="006126D1">
            <w:pPr>
              <w:jc w:val="both"/>
              <w:rPr>
                <w:rFonts w:ascii="Calibri" w:hAnsi="Calibri"/>
                <w:b/>
                <w:szCs w:val="22"/>
              </w:rPr>
            </w:pPr>
            <w:r w:rsidRPr="008C75E4">
              <w:rPr>
                <w:rFonts w:ascii="Calibri" w:hAnsi="Calibri"/>
                <w:b/>
                <w:bCs/>
                <w:szCs w:val="22"/>
              </w:rPr>
              <w:lastRenderedPageBreak/>
              <w:t>ASSESSMENT OF PROPOSED DEVELOPMENT:</w:t>
            </w:r>
          </w:p>
        </w:tc>
      </w:tr>
      <w:tr w:rsidR="008C75E4" w:rsidRPr="008C75E4" w14:paraId="3B515A79" w14:textId="77777777" w:rsidTr="0051077E">
        <w:trPr>
          <w:trHeight w:val="1152"/>
          <w:jc w:val="center"/>
        </w:trPr>
        <w:tc>
          <w:tcPr>
            <w:tcW w:w="9823" w:type="dxa"/>
            <w:gridSpan w:val="14"/>
            <w:tcMar>
              <w:top w:w="57" w:type="dxa"/>
              <w:bottom w:w="57" w:type="dxa"/>
            </w:tcMar>
          </w:tcPr>
          <w:p w14:paraId="4C3D8373"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686A3EBE" w14:textId="132D58A8" w:rsidR="008E6994" w:rsidRDefault="00043C0C" w:rsidP="00454754">
            <w:pPr>
              <w:pStyle w:val="Header"/>
              <w:tabs>
                <w:tab w:val="clear" w:pos="4153"/>
                <w:tab w:val="clear" w:pos="8306"/>
              </w:tabs>
              <w:contextualSpacing/>
              <w:jc w:val="both"/>
              <w:rPr>
                <w:rFonts w:ascii="Calibri" w:hAnsi="Calibri"/>
                <w:bCs/>
                <w:szCs w:val="22"/>
              </w:rPr>
            </w:pPr>
            <w:r w:rsidRPr="00043C0C">
              <w:rPr>
                <w:rFonts w:ascii="Calibri" w:hAnsi="Calibri"/>
                <w:bCs/>
                <w:szCs w:val="22"/>
              </w:rPr>
              <w:t>The application site is located at the end of Hill Lane, a single-track lane narrowing to a footpath past the site in a remote position approximately ¾ miles from the junction with Shire Lane</w:t>
            </w:r>
            <w:r w:rsidR="00C057A8">
              <w:rPr>
                <w:rFonts w:ascii="Calibri" w:hAnsi="Calibri"/>
                <w:bCs/>
                <w:szCs w:val="22"/>
              </w:rPr>
              <w:t xml:space="preserve">. The site is </w:t>
            </w:r>
            <w:proofErr w:type="gramStart"/>
            <w:r w:rsidR="00C057A8">
              <w:rPr>
                <w:rFonts w:ascii="Calibri" w:hAnsi="Calibri"/>
                <w:bCs/>
                <w:szCs w:val="22"/>
              </w:rPr>
              <w:t>fairly remote</w:t>
            </w:r>
            <w:proofErr w:type="gramEnd"/>
            <w:r w:rsidR="00C057A8">
              <w:rPr>
                <w:rFonts w:ascii="Calibri" w:hAnsi="Calibri"/>
                <w:bCs/>
                <w:szCs w:val="22"/>
              </w:rPr>
              <w:t xml:space="preserve"> from other buildings and lies within the Forest of Bowland AONB. </w:t>
            </w:r>
            <w:r w:rsidRPr="00043C0C">
              <w:rPr>
                <w:rFonts w:ascii="Calibri" w:hAnsi="Calibri"/>
                <w:bCs/>
                <w:szCs w:val="22"/>
              </w:rPr>
              <w:t xml:space="preserve"> </w:t>
            </w:r>
          </w:p>
          <w:p w14:paraId="4E0DE896" w14:textId="77777777" w:rsidR="00043C0C" w:rsidRDefault="00043C0C" w:rsidP="00454754">
            <w:pPr>
              <w:pStyle w:val="Header"/>
              <w:tabs>
                <w:tab w:val="clear" w:pos="4153"/>
                <w:tab w:val="clear" w:pos="8306"/>
              </w:tabs>
              <w:contextualSpacing/>
              <w:jc w:val="both"/>
              <w:rPr>
                <w:rFonts w:ascii="Calibri" w:hAnsi="Calibri"/>
                <w:bCs/>
                <w:szCs w:val="22"/>
              </w:rPr>
            </w:pPr>
          </w:p>
          <w:p w14:paraId="5F195E09" w14:textId="48AA3411" w:rsidR="00043C0C" w:rsidRDefault="00C057A8" w:rsidP="00454754">
            <w:pPr>
              <w:pStyle w:val="Header"/>
              <w:tabs>
                <w:tab w:val="clear" w:pos="4153"/>
                <w:tab w:val="clear" w:pos="8306"/>
              </w:tabs>
              <w:contextualSpacing/>
              <w:jc w:val="both"/>
              <w:rPr>
                <w:rFonts w:ascii="Calibri" w:hAnsi="Calibri"/>
                <w:bCs/>
                <w:szCs w:val="22"/>
              </w:rPr>
            </w:pPr>
            <w:r>
              <w:rPr>
                <w:rFonts w:ascii="Calibri" w:hAnsi="Calibri"/>
                <w:bCs/>
                <w:szCs w:val="22"/>
              </w:rPr>
              <w:t xml:space="preserve">Planning permission was granted in 2020 for the conversion of the barn which lay within the curtilage of Grade II* listed </w:t>
            </w:r>
            <w:proofErr w:type="spellStart"/>
            <w:r>
              <w:rPr>
                <w:rFonts w:ascii="Calibri" w:hAnsi="Calibri"/>
                <w:bCs/>
                <w:szCs w:val="22"/>
              </w:rPr>
              <w:t>Greengore</w:t>
            </w:r>
            <w:proofErr w:type="spellEnd"/>
            <w:r>
              <w:rPr>
                <w:rFonts w:ascii="Calibri" w:hAnsi="Calibri"/>
                <w:bCs/>
                <w:szCs w:val="22"/>
              </w:rPr>
              <w:t xml:space="preserve"> to a dwelling with conversion of the rear outbuilding to a garage and store. </w:t>
            </w:r>
          </w:p>
          <w:p w14:paraId="15FC0C3B" w14:textId="77777777" w:rsidR="00C057A8" w:rsidRDefault="00C057A8" w:rsidP="00454754">
            <w:pPr>
              <w:pStyle w:val="Header"/>
              <w:tabs>
                <w:tab w:val="clear" w:pos="4153"/>
                <w:tab w:val="clear" w:pos="8306"/>
              </w:tabs>
              <w:contextualSpacing/>
              <w:jc w:val="both"/>
              <w:rPr>
                <w:rFonts w:ascii="Calibri" w:hAnsi="Calibri"/>
                <w:bCs/>
                <w:szCs w:val="22"/>
              </w:rPr>
            </w:pPr>
          </w:p>
          <w:p w14:paraId="53ECB7BB" w14:textId="3E042D7B" w:rsidR="00C057A8" w:rsidRPr="00043C0C" w:rsidRDefault="00C057A8" w:rsidP="00454754">
            <w:pPr>
              <w:pStyle w:val="Header"/>
              <w:tabs>
                <w:tab w:val="clear" w:pos="4153"/>
                <w:tab w:val="clear" w:pos="8306"/>
              </w:tabs>
              <w:contextualSpacing/>
              <w:jc w:val="both"/>
              <w:rPr>
                <w:rFonts w:ascii="Calibri" w:hAnsi="Calibri"/>
                <w:bCs/>
                <w:szCs w:val="22"/>
              </w:rPr>
            </w:pPr>
            <w:r w:rsidRPr="00C057A8">
              <w:rPr>
                <w:rFonts w:ascii="Calibri" w:hAnsi="Calibri"/>
                <w:bCs/>
                <w:szCs w:val="22"/>
              </w:rPr>
              <w:t xml:space="preserve">While not </w:t>
            </w:r>
            <w:proofErr w:type="gramStart"/>
            <w:r w:rsidRPr="00C057A8">
              <w:rPr>
                <w:rFonts w:ascii="Calibri" w:hAnsi="Calibri"/>
                <w:bCs/>
                <w:szCs w:val="22"/>
              </w:rPr>
              <w:t>listed in its own right, the</w:t>
            </w:r>
            <w:proofErr w:type="gramEnd"/>
            <w:r w:rsidRPr="00C057A8">
              <w:rPr>
                <w:rFonts w:ascii="Calibri" w:hAnsi="Calibri"/>
                <w:bCs/>
                <w:szCs w:val="22"/>
              </w:rPr>
              <w:t xml:space="preserve"> building is designated by virtue of being within the curtilage of </w:t>
            </w:r>
            <w:proofErr w:type="spellStart"/>
            <w:r w:rsidRPr="00C057A8">
              <w:rPr>
                <w:rFonts w:ascii="Calibri" w:hAnsi="Calibri"/>
                <w:bCs/>
                <w:szCs w:val="22"/>
              </w:rPr>
              <w:t>Greengore</w:t>
            </w:r>
            <w:proofErr w:type="spellEnd"/>
            <w:r w:rsidRPr="00C057A8">
              <w:rPr>
                <w:rFonts w:ascii="Calibri" w:hAnsi="Calibri"/>
                <w:bCs/>
                <w:szCs w:val="22"/>
              </w:rPr>
              <w:t>.</w:t>
            </w:r>
          </w:p>
        </w:tc>
      </w:tr>
      <w:tr w:rsidR="008C75E4" w:rsidRPr="008C75E4" w14:paraId="19AF70A9" w14:textId="77777777" w:rsidTr="0051077E">
        <w:trPr>
          <w:trHeight w:val="1152"/>
          <w:jc w:val="center"/>
        </w:trPr>
        <w:tc>
          <w:tcPr>
            <w:tcW w:w="9823" w:type="dxa"/>
            <w:gridSpan w:val="14"/>
            <w:tcMar>
              <w:top w:w="57" w:type="dxa"/>
              <w:bottom w:w="57" w:type="dxa"/>
            </w:tcMar>
          </w:tcPr>
          <w:p w14:paraId="3B08B01F" w14:textId="77777777"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t>Proposed Development for which consent is sought:</w:t>
            </w:r>
          </w:p>
          <w:p w14:paraId="0AC22F75" w14:textId="54D0ED49" w:rsidR="00454754" w:rsidRDefault="00A7182F" w:rsidP="00454754">
            <w:pPr>
              <w:pStyle w:val="Header"/>
              <w:tabs>
                <w:tab w:val="clear" w:pos="4153"/>
                <w:tab w:val="clear" w:pos="8306"/>
              </w:tabs>
              <w:jc w:val="both"/>
              <w:rPr>
                <w:rFonts w:ascii="Calibri" w:hAnsi="Calibri"/>
                <w:szCs w:val="22"/>
              </w:rPr>
            </w:pPr>
            <w:r>
              <w:rPr>
                <w:rFonts w:ascii="Calibri" w:hAnsi="Calibri"/>
                <w:szCs w:val="22"/>
              </w:rPr>
              <w:t>The application seeks consent for the construction of a detached garage</w:t>
            </w:r>
            <w:r w:rsidR="002362B0">
              <w:rPr>
                <w:rFonts w:ascii="Calibri" w:hAnsi="Calibri"/>
                <w:szCs w:val="22"/>
              </w:rPr>
              <w:t xml:space="preserve">, </w:t>
            </w:r>
            <w:proofErr w:type="gramStart"/>
            <w:r w:rsidR="002362B0">
              <w:rPr>
                <w:rFonts w:ascii="Calibri" w:hAnsi="Calibri"/>
                <w:szCs w:val="22"/>
              </w:rPr>
              <w:t>carport</w:t>
            </w:r>
            <w:proofErr w:type="gramEnd"/>
            <w:r w:rsidR="002362B0">
              <w:rPr>
                <w:rFonts w:ascii="Calibri" w:hAnsi="Calibri"/>
                <w:szCs w:val="22"/>
              </w:rPr>
              <w:t xml:space="preserve"> </w:t>
            </w:r>
            <w:r>
              <w:rPr>
                <w:rFonts w:ascii="Calibri" w:hAnsi="Calibri"/>
                <w:szCs w:val="22"/>
              </w:rPr>
              <w:t xml:space="preserve">and </w:t>
            </w:r>
            <w:r w:rsidR="002362B0">
              <w:rPr>
                <w:rFonts w:ascii="Calibri" w:hAnsi="Calibri"/>
                <w:szCs w:val="22"/>
              </w:rPr>
              <w:t xml:space="preserve">garden store to the front of the building. </w:t>
            </w:r>
          </w:p>
          <w:p w14:paraId="575958C5" w14:textId="336965C2" w:rsidR="00804FC7" w:rsidRPr="00F012FA" w:rsidRDefault="00760868" w:rsidP="00454754">
            <w:pPr>
              <w:pStyle w:val="Header"/>
              <w:tabs>
                <w:tab w:val="clear" w:pos="4153"/>
                <w:tab w:val="clear" w:pos="8306"/>
              </w:tabs>
              <w:jc w:val="both"/>
              <w:rPr>
                <w:rFonts w:ascii="Calibri" w:hAnsi="Calibri"/>
                <w:szCs w:val="22"/>
              </w:rPr>
            </w:pPr>
            <w:r>
              <w:rPr>
                <w:rFonts w:ascii="Calibri" w:hAnsi="Calibri"/>
                <w:szCs w:val="22"/>
              </w:rPr>
              <w:t xml:space="preserve"> </w:t>
            </w:r>
          </w:p>
        </w:tc>
      </w:tr>
      <w:tr w:rsidR="00C214A6" w:rsidRPr="008C75E4" w14:paraId="1510C51E" w14:textId="77777777" w:rsidTr="0051077E">
        <w:trPr>
          <w:trHeight w:val="864"/>
          <w:jc w:val="center"/>
        </w:trPr>
        <w:tc>
          <w:tcPr>
            <w:tcW w:w="9823" w:type="dxa"/>
            <w:gridSpan w:val="14"/>
            <w:tcMar>
              <w:top w:w="57" w:type="dxa"/>
              <w:bottom w:w="57" w:type="dxa"/>
            </w:tcMar>
          </w:tcPr>
          <w:p w14:paraId="7A81B6DE" w14:textId="77777777" w:rsidR="006D7624" w:rsidRPr="006D7624" w:rsidRDefault="006D7624" w:rsidP="006D7624">
            <w:pPr>
              <w:pStyle w:val="Header"/>
              <w:jc w:val="both"/>
              <w:rPr>
                <w:rFonts w:ascii="Calibri" w:hAnsi="Calibri"/>
                <w:b/>
                <w:szCs w:val="22"/>
              </w:rPr>
            </w:pPr>
            <w:r w:rsidRPr="006D7624">
              <w:rPr>
                <w:rFonts w:ascii="Calibri" w:hAnsi="Calibri"/>
                <w:b/>
                <w:szCs w:val="22"/>
              </w:rPr>
              <w:t>Principle of Development:</w:t>
            </w:r>
          </w:p>
          <w:p w14:paraId="1D94BE16" w14:textId="261FD8D0" w:rsidR="00D102D9" w:rsidRDefault="002362B0" w:rsidP="00760868">
            <w:pPr>
              <w:pStyle w:val="Header"/>
              <w:tabs>
                <w:tab w:val="clear" w:pos="4153"/>
                <w:tab w:val="clear" w:pos="8306"/>
              </w:tabs>
              <w:jc w:val="both"/>
              <w:rPr>
                <w:rFonts w:ascii="Calibri" w:hAnsi="Calibri"/>
                <w:szCs w:val="22"/>
              </w:rPr>
            </w:pPr>
            <w:r>
              <w:rPr>
                <w:rFonts w:ascii="Calibri" w:hAnsi="Calibri"/>
                <w:szCs w:val="22"/>
              </w:rPr>
              <w:t xml:space="preserve">The barn is not yet converted to a dwelling and works are currently underway. </w:t>
            </w:r>
          </w:p>
          <w:p w14:paraId="2ECD7D07" w14:textId="1C424ABD" w:rsidR="00551ECD" w:rsidRDefault="00551ECD" w:rsidP="00760868">
            <w:pPr>
              <w:pStyle w:val="Header"/>
              <w:tabs>
                <w:tab w:val="clear" w:pos="4153"/>
                <w:tab w:val="clear" w:pos="8306"/>
              </w:tabs>
              <w:jc w:val="both"/>
              <w:rPr>
                <w:rFonts w:ascii="Calibri" w:hAnsi="Calibri"/>
                <w:szCs w:val="22"/>
              </w:rPr>
            </w:pPr>
          </w:p>
          <w:p w14:paraId="75670F10" w14:textId="77777777" w:rsidR="006815D5" w:rsidRPr="006815D5" w:rsidRDefault="006815D5" w:rsidP="006815D5">
            <w:pPr>
              <w:pStyle w:val="Header"/>
              <w:jc w:val="both"/>
              <w:rPr>
                <w:rFonts w:ascii="Calibri" w:hAnsi="Calibri"/>
                <w:szCs w:val="22"/>
              </w:rPr>
            </w:pPr>
          </w:p>
          <w:p w14:paraId="4BAD2D6D" w14:textId="512BB9AB" w:rsidR="002E6FCA" w:rsidRDefault="0023095E" w:rsidP="006815D5">
            <w:pPr>
              <w:pStyle w:val="Header"/>
              <w:tabs>
                <w:tab w:val="clear" w:pos="4153"/>
                <w:tab w:val="clear" w:pos="8306"/>
              </w:tabs>
              <w:jc w:val="both"/>
              <w:rPr>
                <w:rFonts w:ascii="Calibri" w:hAnsi="Calibri"/>
                <w:szCs w:val="22"/>
              </w:rPr>
            </w:pPr>
            <w:r w:rsidRPr="0023095E">
              <w:rPr>
                <w:rFonts w:ascii="Calibri" w:hAnsi="Calibri"/>
                <w:szCs w:val="22"/>
              </w:rPr>
              <w:t xml:space="preserve">Core Strategy policy </w:t>
            </w:r>
            <w:r w:rsidR="006815D5" w:rsidRPr="006815D5">
              <w:rPr>
                <w:rFonts w:ascii="Calibri" w:hAnsi="Calibri"/>
                <w:szCs w:val="22"/>
              </w:rPr>
              <w:t>DMH5 refers to residential and curtilage extensions and</w:t>
            </w:r>
            <w:r w:rsidR="00752277">
              <w:rPr>
                <w:rFonts w:ascii="Calibri" w:hAnsi="Calibri"/>
                <w:szCs w:val="22"/>
              </w:rPr>
              <w:t xml:space="preserve"> states that proposals to extend residential properties must accord with DMG1 and </w:t>
            </w:r>
            <w:r w:rsidR="002E6FCA">
              <w:rPr>
                <w:rFonts w:ascii="Calibri" w:hAnsi="Calibri"/>
                <w:szCs w:val="22"/>
              </w:rPr>
              <w:t>any relevant designations within which the site is located.</w:t>
            </w:r>
          </w:p>
          <w:p w14:paraId="7711644C" w14:textId="77777777" w:rsidR="0023095E" w:rsidRDefault="0023095E" w:rsidP="0023095E">
            <w:pPr>
              <w:pStyle w:val="Header"/>
              <w:jc w:val="both"/>
              <w:rPr>
                <w:rFonts w:ascii="Calibri" w:hAnsi="Calibri"/>
                <w:szCs w:val="22"/>
              </w:rPr>
            </w:pPr>
          </w:p>
          <w:p w14:paraId="1BE05534" w14:textId="02B3C70A" w:rsidR="0023095E" w:rsidRPr="0023095E" w:rsidRDefault="0023095E" w:rsidP="0023095E">
            <w:pPr>
              <w:pStyle w:val="Header"/>
              <w:jc w:val="both"/>
              <w:rPr>
                <w:rFonts w:ascii="Calibri" w:hAnsi="Calibri"/>
                <w:szCs w:val="22"/>
              </w:rPr>
            </w:pPr>
            <w:r w:rsidRPr="0023095E">
              <w:rPr>
                <w:rFonts w:ascii="Calibri" w:hAnsi="Calibri"/>
                <w:szCs w:val="22"/>
              </w:rPr>
              <w:t>DMH4 states that amongst other things barn conversions must be capable of providing adequate living accommodation without the need for additional extensions, when the original application for conversion of the barn was granted, it was requested by planning officers that a detached garage in a similar position was removed from the scheme, and this was the basis of the approval. Furthermore, this consent included the conversion of a large building to the rear of the barn into garage and store.</w:t>
            </w:r>
          </w:p>
          <w:p w14:paraId="08317B18" w14:textId="77777777" w:rsidR="0023095E" w:rsidRPr="0023095E" w:rsidRDefault="0023095E" w:rsidP="0023095E">
            <w:pPr>
              <w:pStyle w:val="Header"/>
              <w:jc w:val="both"/>
              <w:rPr>
                <w:rFonts w:ascii="Calibri" w:hAnsi="Calibri"/>
                <w:szCs w:val="22"/>
              </w:rPr>
            </w:pPr>
          </w:p>
          <w:p w14:paraId="6D4BFAF8" w14:textId="77777777" w:rsidR="0023095E" w:rsidRPr="0023095E" w:rsidRDefault="0023095E" w:rsidP="0023095E">
            <w:pPr>
              <w:pStyle w:val="Header"/>
              <w:jc w:val="both"/>
              <w:rPr>
                <w:rFonts w:ascii="Calibri" w:hAnsi="Calibri"/>
                <w:szCs w:val="22"/>
              </w:rPr>
            </w:pPr>
            <w:r w:rsidRPr="0023095E">
              <w:rPr>
                <w:rFonts w:ascii="Calibri" w:hAnsi="Calibri"/>
                <w:szCs w:val="22"/>
              </w:rPr>
              <w:t xml:space="preserve">In all cases when barns are converted it is important to respect the rural origins and the historic relationship between it and other buildings </w:t>
            </w:r>
          </w:p>
          <w:p w14:paraId="16E7DF3A" w14:textId="77777777" w:rsidR="0023095E" w:rsidRPr="0023095E" w:rsidRDefault="0023095E" w:rsidP="0023095E">
            <w:pPr>
              <w:pStyle w:val="Header"/>
              <w:jc w:val="both"/>
              <w:rPr>
                <w:rFonts w:ascii="Calibri" w:hAnsi="Calibri"/>
                <w:szCs w:val="22"/>
              </w:rPr>
            </w:pPr>
          </w:p>
          <w:p w14:paraId="244466F2" w14:textId="586B7389" w:rsidR="002E6FCA" w:rsidRDefault="0023095E" w:rsidP="0023095E">
            <w:pPr>
              <w:pStyle w:val="Header"/>
              <w:tabs>
                <w:tab w:val="clear" w:pos="4153"/>
                <w:tab w:val="clear" w:pos="8306"/>
              </w:tabs>
              <w:jc w:val="both"/>
              <w:rPr>
                <w:rFonts w:ascii="Calibri" w:hAnsi="Calibri"/>
                <w:szCs w:val="22"/>
              </w:rPr>
            </w:pPr>
            <w:r w:rsidRPr="0023095E">
              <w:rPr>
                <w:rFonts w:ascii="Calibri" w:hAnsi="Calibri"/>
                <w:szCs w:val="22"/>
              </w:rPr>
              <w:t>It is not considered that a domestic building in front of the barn would achieve that aim as it would not respect the hierarchy and form of the original farmstead.</w:t>
            </w:r>
          </w:p>
          <w:p w14:paraId="34B71795" w14:textId="31F47D48" w:rsidR="002E6FCA" w:rsidRDefault="002E6FCA" w:rsidP="006815D5">
            <w:pPr>
              <w:pStyle w:val="Header"/>
              <w:tabs>
                <w:tab w:val="clear" w:pos="4153"/>
                <w:tab w:val="clear" w:pos="8306"/>
              </w:tabs>
              <w:jc w:val="both"/>
              <w:rPr>
                <w:rFonts w:ascii="Calibri" w:hAnsi="Calibri"/>
                <w:szCs w:val="22"/>
              </w:rPr>
            </w:pPr>
            <w:r w:rsidRPr="002E6FCA">
              <w:rPr>
                <w:rFonts w:ascii="Calibri" w:hAnsi="Calibri"/>
                <w:szCs w:val="22"/>
              </w:rPr>
              <w:t xml:space="preserve">The building is located adjacent to a Grade II* listed </w:t>
            </w:r>
            <w:r w:rsidR="0023095E" w:rsidRPr="002E6FCA">
              <w:rPr>
                <w:rFonts w:ascii="Calibri" w:hAnsi="Calibri"/>
                <w:szCs w:val="22"/>
              </w:rPr>
              <w:t>building</w:t>
            </w:r>
            <w:r w:rsidR="0023095E">
              <w:rPr>
                <w:rFonts w:ascii="Calibri" w:hAnsi="Calibri"/>
                <w:szCs w:val="22"/>
              </w:rPr>
              <w:t xml:space="preserve">, </w:t>
            </w:r>
            <w:proofErr w:type="spellStart"/>
            <w:r w:rsidR="0023095E" w:rsidRPr="002E6FCA">
              <w:rPr>
                <w:rFonts w:ascii="Calibri" w:hAnsi="Calibri"/>
                <w:szCs w:val="22"/>
              </w:rPr>
              <w:t>Greengore</w:t>
            </w:r>
            <w:proofErr w:type="spellEnd"/>
            <w:r w:rsidRPr="002E6FCA">
              <w:rPr>
                <w:rFonts w:ascii="Calibri" w:hAnsi="Calibri"/>
                <w:szCs w:val="22"/>
              </w:rPr>
              <w:t xml:space="preserve"> and in the AONB</w:t>
            </w:r>
            <w:r>
              <w:rPr>
                <w:rFonts w:ascii="Calibri" w:hAnsi="Calibri"/>
                <w:szCs w:val="22"/>
              </w:rPr>
              <w:t>.</w:t>
            </w:r>
          </w:p>
          <w:p w14:paraId="65DF80BC" w14:textId="77777777" w:rsidR="002E6FCA" w:rsidRDefault="002E6FCA" w:rsidP="006815D5">
            <w:pPr>
              <w:pStyle w:val="Header"/>
              <w:tabs>
                <w:tab w:val="clear" w:pos="4153"/>
                <w:tab w:val="clear" w:pos="8306"/>
              </w:tabs>
              <w:jc w:val="both"/>
              <w:rPr>
                <w:rFonts w:ascii="Calibri" w:hAnsi="Calibri"/>
                <w:szCs w:val="22"/>
              </w:rPr>
            </w:pPr>
          </w:p>
          <w:p w14:paraId="1C2DDA63" w14:textId="155B8B0D" w:rsidR="00551ECD" w:rsidRDefault="002E6FCA" w:rsidP="006815D5">
            <w:pPr>
              <w:pStyle w:val="Header"/>
              <w:tabs>
                <w:tab w:val="clear" w:pos="4153"/>
                <w:tab w:val="clear" w:pos="8306"/>
              </w:tabs>
              <w:jc w:val="both"/>
              <w:rPr>
                <w:rFonts w:ascii="Calibri" w:hAnsi="Calibri"/>
                <w:szCs w:val="22"/>
              </w:rPr>
            </w:pPr>
            <w:r>
              <w:rPr>
                <w:rFonts w:ascii="Calibri" w:hAnsi="Calibri"/>
                <w:szCs w:val="22"/>
              </w:rPr>
              <w:t xml:space="preserve">The LPA must accord with the duties at Section 66 of the </w:t>
            </w:r>
            <w:r w:rsidRPr="002E6FCA">
              <w:rPr>
                <w:rFonts w:ascii="Calibri" w:hAnsi="Calibri"/>
                <w:szCs w:val="22"/>
              </w:rPr>
              <w:t>Planning (Listed Buildings and Conservation Areas) Act</w:t>
            </w:r>
            <w:r>
              <w:rPr>
                <w:rFonts w:ascii="Calibri" w:hAnsi="Calibri"/>
                <w:szCs w:val="22"/>
              </w:rPr>
              <w:t xml:space="preserve"> therefore </w:t>
            </w:r>
            <w:r w:rsidR="007C5607">
              <w:rPr>
                <w:rFonts w:ascii="Calibri" w:hAnsi="Calibri"/>
                <w:szCs w:val="22"/>
              </w:rPr>
              <w:t xml:space="preserve">the LPA </w:t>
            </w:r>
            <w:r w:rsidR="007C5607" w:rsidRPr="007C5607">
              <w:rPr>
                <w:rFonts w:ascii="Calibri" w:hAnsi="Calibri"/>
                <w:szCs w:val="22"/>
              </w:rPr>
              <w:t>shall have special regard to the desirability of preserving the building or its setting or any features of special architectural or historic interest which it possesses.</w:t>
            </w:r>
          </w:p>
          <w:p w14:paraId="73F232FB" w14:textId="2D9ACF68" w:rsidR="007C5607" w:rsidRDefault="007C5607" w:rsidP="006815D5">
            <w:pPr>
              <w:pStyle w:val="Header"/>
              <w:tabs>
                <w:tab w:val="clear" w:pos="4153"/>
                <w:tab w:val="clear" w:pos="8306"/>
              </w:tabs>
              <w:jc w:val="both"/>
              <w:rPr>
                <w:rFonts w:ascii="Calibri" w:hAnsi="Calibri"/>
                <w:szCs w:val="22"/>
              </w:rPr>
            </w:pPr>
          </w:p>
          <w:p w14:paraId="5D515AAF" w14:textId="72FFDE1F" w:rsidR="00551ECD" w:rsidRPr="006D7624" w:rsidRDefault="00F54541" w:rsidP="00760868">
            <w:pPr>
              <w:pStyle w:val="Header"/>
              <w:tabs>
                <w:tab w:val="clear" w:pos="4153"/>
                <w:tab w:val="clear" w:pos="8306"/>
              </w:tabs>
              <w:jc w:val="both"/>
              <w:rPr>
                <w:rFonts w:ascii="Calibri" w:hAnsi="Calibri"/>
                <w:szCs w:val="22"/>
              </w:rPr>
            </w:pPr>
            <w:r>
              <w:rPr>
                <w:rFonts w:ascii="Calibri" w:hAnsi="Calibri"/>
                <w:szCs w:val="22"/>
              </w:rPr>
              <w:t xml:space="preserve">Key Statement </w:t>
            </w:r>
            <w:r w:rsidRPr="00F54541">
              <w:rPr>
                <w:rFonts w:ascii="Calibri" w:hAnsi="Calibri"/>
                <w:szCs w:val="22"/>
              </w:rPr>
              <w:t xml:space="preserve">EN2 requires that ‘any development will need to contribute to the conservation of the natural beauty of the area.  The landscape and character of those areas that contribute to the setting and character of the Forest of Bowland Areas of Outstanding Natural Beauty will be protected and conserved and wherever possible enhanced’ with the requirements of EN2 further stipulating that ‘the Council will expect development to be in keeping with the character of the landscape, reflecting local distinctiveness, vernacular style, scale, style, features and building </w:t>
            </w:r>
            <w:proofErr w:type="gramStart"/>
            <w:r w:rsidRPr="00F54541">
              <w:rPr>
                <w:rFonts w:ascii="Calibri" w:hAnsi="Calibri"/>
                <w:szCs w:val="22"/>
              </w:rPr>
              <w:t>materials’</w:t>
            </w:r>
            <w:proofErr w:type="gramEnd"/>
            <w:r w:rsidRPr="00F54541">
              <w:rPr>
                <w:rFonts w:ascii="Calibri" w:hAnsi="Calibri"/>
                <w:szCs w:val="22"/>
              </w:rPr>
              <w:t>.</w:t>
            </w:r>
          </w:p>
        </w:tc>
      </w:tr>
      <w:tr w:rsidR="00A7182F" w:rsidRPr="008C75E4" w14:paraId="7E89BD9D" w14:textId="77777777" w:rsidTr="0051077E">
        <w:trPr>
          <w:trHeight w:val="864"/>
          <w:jc w:val="center"/>
        </w:trPr>
        <w:tc>
          <w:tcPr>
            <w:tcW w:w="9823" w:type="dxa"/>
            <w:gridSpan w:val="14"/>
            <w:tcMar>
              <w:top w:w="57" w:type="dxa"/>
              <w:bottom w:w="57" w:type="dxa"/>
            </w:tcMar>
          </w:tcPr>
          <w:p w14:paraId="6DD92B3C" w14:textId="77777777" w:rsidR="00A7182F" w:rsidRDefault="00A7182F" w:rsidP="006D7624">
            <w:pPr>
              <w:pStyle w:val="Header"/>
              <w:jc w:val="both"/>
              <w:rPr>
                <w:rFonts w:ascii="Calibri" w:hAnsi="Calibri"/>
                <w:b/>
                <w:szCs w:val="22"/>
              </w:rPr>
            </w:pPr>
            <w:r>
              <w:rPr>
                <w:rFonts w:ascii="Calibri" w:hAnsi="Calibri"/>
                <w:b/>
                <w:szCs w:val="22"/>
              </w:rPr>
              <w:t>Heritage Assets:</w:t>
            </w:r>
          </w:p>
          <w:p w14:paraId="5EE5D33E" w14:textId="1B54DA4A" w:rsidR="007C74E2" w:rsidRPr="007C74E2" w:rsidRDefault="007C74E2" w:rsidP="007C74E2">
            <w:pPr>
              <w:pStyle w:val="Header"/>
              <w:jc w:val="both"/>
              <w:rPr>
                <w:rFonts w:ascii="Calibri" w:hAnsi="Calibri"/>
                <w:bCs/>
                <w:szCs w:val="22"/>
              </w:rPr>
            </w:pPr>
            <w:r w:rsidRPr="007C74E2">
              <w:rPr>
                <w:rFonts w:ascii="Calibri" w:hAnsi="Calibri"/>
                <w:bCs/>
                <w:szCs w:val="22"/>
              </w:rPr>
              <w:t>‘</w:t>
            </w:r>
            <w:proofErr w:type="spellStart"/>
            <w:r w:rsidRPr="007C74E2">
              <w:rPr>
                <w:rFonts w:ascii="Calibri" w:hAnsi="Calibri"/>
                <w:bCs/>
                <w:szCs w:val="22"/>
              </w:rPr>
              <w:t>Greengore</w:t>
            </w:r>
            <w:proofErr w:type="spellEnd"/>
            <w:r w:rsidRPr="007C74E2">
              <w:rPr>
                <w:rFonts w:ascii="Calibri" w:hAnsi="Calibri"/>
                <w:bCs/>
                <w:szCs w:val="22"/>
              </w:rPr>
              <w:t>’ is a Grade II* listed house of c. 1600</w:t>
            </w:r>
          </w:p>
          <w:p w14:paraId="31E5E3DD" w14:textId="77777777" w:rsidR="007C74E2" w:rsidRPr="007C74E2" w:rsidRDefault="007C74E2" w:rsidP="007C74E2">
            <w:pPr>
              <w:pStyle w:val="Header"/>
              <w:jc w:val="both"/>
              <w:rPr>
                <w:rFonts w:ascii="Calibri" w:hAnsi="Calibri"/>
                <w:bCs/>
                <w:szCs w:val="22"/>
              </w:rPr>
            </w:pPr>
          </w:p>
          <w:p w14:paraId="5B63762B" w14:textId="501170E4" w:rsidR="007C74E2" w:rsidRPr="007C74E2" w:rsidRDefault="007C74E2" w:rsidP="007C74E2">
            <w:pPr>
              <w:pStyle w:val="Header"/>
              <w:jc w:val="both"/>
              <w:rPr>
                <w:rFonts w:ascii="Calibri" w:hAnsi="Calibri"/>
                <w:bCs/>
                <w:szCs w:val="22"/>
              </w:rPr>
            </w:pPr>
            <w:r w:rsidRPr="007C74E2">
              <w:rPr>
                <w:rFonts w:ascii="Calibri" w:hAnsi="Calibri"/>
                <w:bCs/>
                <w:szCs w:val="22"/>
              </w:rPr>
              <w:t>‘The Flat’ is immediately adjacent to the house and a Grade II listed ‘cottage, formerly an agricultural building, of C17 origin</w:t>
            </w:r>
            <w:r>
              <w:rPr>
                <w:rFonts w:ascii="Calibri" w:hAnsi="Calibri"/>
                <w:bCs/>
                <w:szCs w:val="22"/>
              </w:rPr>
              <w:t>.</w:t>
            </w:r>
          </w:p>
          <w:p w14:paraId="11B92425" w14:textId="77777777" w:rsidR="007C74E2" w:rsidRPr="007C74E2" w:rsidRDefault="007C74E2" w:rsidP="007C74E2">
            <w:pPr>
              <w:pStyle w:val="Header"/>
              <w:jc w:val="both"/>
              <w:rPr>
                <w:rFonts w:ascii="Calibri" w:hAnsi="Calibri"/>
                <w:bCs/>
                <w:szCs w:val="22"/>
              </w:rPr>
            </w:pPr>
          </w:p>
          <w:p w14:paraId="42763B35" w14:textId="5DF35B39" w:rsidR="0023095E" w:rsidRDefault="007C74E2" w:rsidP="007C74E2">
            <w:pPr>
              <w:pStyle w:val="Header"/>
              <w:jc w:val="both"/>
              <w:rPr>
                <w:rFonts w:ascii="Calibri" w:hAnsi="Calibri"/>
                <w:bCs/>
                <w:szCs w:val="22"/>
              </w:rPr>
            </w:pPr>
            <w:r w:rsidRPr="007C74E2">
              <w:rPr>
                <w:rFonts w:ascii="Calibri" w:hAnsi="Calibri"/>
                <w:bCs/>
                <w:szCs w:val="22"/>
              </w:rPr>
              <w:lastRenderedPageBreak/>
              <w:t xml:space="preserve">The complex also includes </w:t>
            </w:r>
            <w:r>
              <w:rPr>
                <w:rFonts w:ascii="Calibri" w:hAnsi="Calibri"/>
                <w:bCs/>
                <w:szCs w:val="22"/>
              </w:rPr>
              <w:t>the early</w:t>
            </w:r>
            <w:r w:rsidRPr="007C74E2">
              <w:rPr>
                <w:rFonts w:ascii="Calibri" w:hAnsi="Calibri"/>
                <w:bCs/>
                <w:szCs w:val="22"/>
              </w:rPr>
              <w:t xml:space="preserve"> C19 barn which is the subject of application. It is not individually listed but is an important contributor to the character of the historic farm steading which has strong inter-visibility between buildings.</w:t>
            </w:r>
            <w:r w:rsidR="00E60B49">
              <w:t xml:space="preserve"> T</w:t>
            </w:r>
            <w:r w:rsidR="00E60B49" w:rsidRPr="00E60B49">
              <w:rPr>
                <w:rFonts w:ascii="Calibri" w:hAnsi="Calibri"/>
                <w:bCs/>
                <w:szCs w:val="22"/>
              </w:rPr>
              <w:t xml:space="preserve">he significance of the barn is enhanced by its group value and setting. Furthermore, by its substantial presence and character it makes a key contribution to the farmstead setting of the listed </w:t>
            </w:r>
            <w:proofErr w:type="spellStart"/>
            <w:r w:rsidR="00E60B49" w:rsidRPr="00E60B49">
              <w:rPr>
                <w:rFonts w:ascii="Calibri" w:hAnsi="Calibri"/>
                <w:bCs/>
                <w:szCs w:val="22"/>
              </w:rPr>
              <w:t>Greengore</w:t>
            </w:r>
            <w:proofErr w:type="spellEnd"/>
            <w:r w:rsidR="00E60B49" w:rsidRPr="00E60B49">
              <w:rPr>
                <w:rFonts w:ascii="Calibri" w:hAnsi="Calibri"/>
                <w:bCs/>
                <w:szCs w:val="22"/>
              </w:rPr>
              <w:t xml:space="preserve"> and former </w:t>
            </w:r>
            <w:proofErr w:type="spellStart"/>
            <w:r w:rsidR="00E60B49" w:rsidRPr="00E60B49">
              <w:rPr>
                <w:rFonts w:ascii="Calibri" w:hAnsi="Calibri"/>
                <w:bCs/>
                <w:szCs w:val="22"/>
              </w:rPr>
              <w:t>shippon</w:t>
            </w:r>
            <w:proofErr w:type="spellEnd"/>
            <w:r w:rsidR="00E60B49" w:rsidRPr="00E60B49">
              <w:rPr>
                <w:rFonts w:ascii="Calibri" w:hAnsi="Calibri"/>
                <w:bCs/>
                <w:szCs w:val="22"/>
              </w:rPr>
              <w:t>.</w:t>
            </w:r>
          </w:p>
          <w:p w14:paraId="5BFF8142" w14:textId="740E9BDD" w:rsidR="00E60B49" w:rsidRDefault="00E60B49" w:rsidP="007C74E2">
            <w:pPr>
              <w:pStyle w:val="Header"/>
              <w:jc w:val="both"/>
              <w:rPr>
                <w:rFonts w:ascii="Calibri" w:hAnsi="Calibri"/>
                <w:bCs/>
                <w:szCs w:val="22"/>
              </w:rPr>
            </w:pPr>
          </w:p>
          <w:p w14:paraId="6F7E53C9" w14:textId="1F0FCE53" w:rsidR="00E60B49" w:rsidRDefault="00E60B49" w:rsidP="007C74E2">
            <w:pPr>
              <w:pStyle w:val="Header"/>
              <w:jc w:val="both"/>
              <w:rPr>
                <w:rFonts w:ascii="Calibri" w:hAnsi="Calibri"/>
                <w:bCs/>
                <w:szCs w:val="22"/>
              </w:rPr>
            </w:pPr>
            <w:r>
              <w:rPr>
                <w:rFonts w:ascii="Calibri" w:hAnsi="Calibri"/>
                <w:bCs/>
                <w:szCs w:val="22"/>
              </w:rPr>
              <w:t>Adjacent to the barn is a large</w:t>
            </w:r>
            <w:r w:rsidR="00252F99">
              <w:rPr>
                <w:rFonts w:ascii="Calibri" w:hAnsi="Calibri"/>
                <w:bCs/>
                <w:szCs w:val="22"/>
              </w:rPr>
              <w:t xml:space="preserve"> agricultural building which is proposed to be removed, whilst it is not an attractive building and dominates the view it is clearly agricultural and therefore in keeping with the farmstead setting. Its removal would however </w:t>
            </w:r>
            <w:proofErr w:type="gramStart"/>
            <w:r w:rsidR="00252F99">
              <w:rPr>
                <w:rFonts w:ascii="Calibri" w:hAnsi="Calibri"/>
                <w:bCs/>
                <w:szCs w:val="22"/>
              </w:rPr>
              <w:t>open up</w:t>
            </w:r>
            <w:proofErr w:type="gramEnd"/>
            <w:r w:rsidR="00252F99">
              <w:rPr>
                <w:rFonts w:ascii="Calibri" w:hAnsi="Calibri"/>
                <w:bCs/>
                <w:szCs w:val="22"/>
              </w:rPr>
              <w:t xml:space="preserve"> the views to the barn from more angles than at present. </w:t>
            </w:r>
          </w:p>
          <w:p w14:paraId="6196BAB8" w14:textId="6E85FDA2" w:rsidR="00252F99" w:rsidRDefault="00252F99" w:rsidP="007C74E2">
            <w:pPr>
              <w:pStyle w:val="Header"/>
              <w:jc w:val="both"/>
              <w:rPr>
                <w:rFonts w:ascii="Calibri" w:hAnsi="Calibri"/>
                <w:bCs/>
                <w:szCs w:val="22"/>
              </w:rPr>
            </w:pPr>
          </w:p>
          <w:p w14:paraId="2560130F" w14:textId="3FD72E25" w:rsidR="00252F99" w:rsidRDefault="00252F99" w:rsidP="007C74E2">
            <w:pPr>
              <w:pStyle w:val="Header"/>
              <w:jc w:val="both"/>
              <w:rPr>
                <w:rFonts w:ascii="Calibri" w:hAnsi="Calibri"/>
                <w:bCs/>
                <w:szCs w:val="22"/>
              </w:rPr>
            </w:pPr>
            <w:r>
              <w:rPr>
                <w:rFonts w:ascii="Calibri" w:hAnsi="Calibri"/>
                <w:bCs/>
                <w:szCs w:val="22"/>
              </w:rPr>
              <w:t xml:space="preserve">When planning permission was granted for </w:t>
            </w:r>
            <w:r w:rsidR="00E9421B">
              <w:rPr>
                <w:rFonts w:ascii="Calibri" w:hAnsi="Calibri"/>
                <w:bCs/>
                <w:szCs w:val="22"/>
              </w:rPr>
              <w:t xml:space="preserve">the conversion of the barn originally, </w:t>
            </w:r>
            <w:r w:rsidR="00AA03D5">
              <w:rPr>
                <w:rFonts w:ascii="Calibri" w:hAnsi="Calibri"/>
                <w:bCs/>
                <w:szCs w:val="22"/>
              </w:rPr>
              <w:t xml:space="preserve">it was requested that a detached garage in a similar position was removed from the scheme. </w:t>
            </w:r>
          </w:p>
          <w:p w14:paraId="3D121C7B" w14:textId="7ADB68C1" w:rsidR="00AA03D5" w:rsidRDefault="00AA03D5" w:rsidP="007C74E2">
            <w:pPr>
              <w:pStyle w:val="Header"/>
              <w:jc w:val="both"/>
              <w:rPr>
                <w:rFonts w:ascii="Calibri" w:hAnsi="Calibri"/>
                <w:bCs/>
                <w:szCs w:val="22"/>
              </w:rPr>
            </w:pPr>
          </w:p>
          <w:p w14:paraId="4E4EBEA8" w14:textId="7C184851" w:rsidR="00AA03D5" w:rsidRDefault="00AA03D5" w:rsidP="007C74E2">
            <w:pPr>
              <w:pStyle w:val="Header"/>
              <w:jc w:val="both"/>
              <w:rPr>
                <w:rFonts w:ascii="Calibri" w:hAnsi="Calibri"/>
                <w:bCs/>
                <w:szCs w:val="22"/>
              </w:rPr>
            </w:pPr>
            <w:r>
              <w:rPr>
                <w:rFonts w:ascii="Calibri" w:hAnsi="Calibri"/>
                <w:bCs/>
                <w:szCs w:val="22"/>
              </w:rPr>
              <w:t xml:space="preserve">The </w:t>
            </w:r>
            <w:r w:rsidR="00AF3F64">
              <w:rPr>
                <w:rFonts w:ascii="Calibri" w:hAnsi="Calibri"/>
                <w:bCs/>
                <w:szCs w:val="22"/>
              </w:rPr>
              <w:t>siting</w:t>
            </w:r>
            <w:r>
              <w:rPr>
                <w:rFonts w:ascii="Calibri" w:hAnsi="Calibri"/>
                <w:bCs/>
                <w:szCs w:val="22"/>
              </w:rPr>
              <w:t xml:space="preserve"> of a domestic building to the front would be harmful to the setting of </w:t>
            </w:r>
            <w:proofErr w:type="spellStart"/>
            <w:r>
              <w:rPr>
                <w:rFonts w:ascii="Calibri" w:hAnsi="Calibri"/>
                <w:bCs/>
                <w:szCs w:val="22"/>
              </w:rPr>
              <w:t>Greengore</w:t>
            </w:r>
            <w:proofErr w:type="spellEnd"/>
            <w:r>
              <w:rPr>
                <w:rFonts w:ascii="Calibri" w:hAnsi="Calibri"/>
                <w:bCs/>
                <w:szCs w:val="22"/>
              </w:rPr>
              <w:t xml:space="preserve"> and the relationship between the house and barn which is an important contribution to the character and setting of the historic farmstead </w:t>
            </w:r>
          </w:p>
          <w:p w14:paraId="06B5EA4A" w14:textId="77777777" w:rsidR="007C74E2" w:rsidRDefault="007C74E2" w:rsidP="007C74E2">
            <w:pPr>
              <w:pStyle w:val="Header"/>
              <w:jc w:val="both"/>
              <w:rPr>
                <w:rFonts w:ascii="Calibri" w:hAnsi="Calibri"/>
                <w:b/>
                <w:szCs w:val="22"/>
              </w:rPr>
            </w:pPr>
          </w:p>
          <w:p w14:paraId="7BCCE568" w14:textId="483462B7" w:rsidR="007C74E2" w:rsidRPr="00AF3F64" w:rsidRDefault="00AF3F64" w:rsidP="007C74E2">
            <w:pPr>
              <w:pStyle w:val="Header"/>
              <w:jc w:val="both"/>
              <w:rPr>
                <w:rFonts w:ascii="Calibri" w:hAnsi="Calibri"/>
                <w:bCs/>
                <w:szCs w:val="22"/>
              </w:rPr>
            </w:pPr>
            <w:r w:rsidRPr="00AF3F64">
              <w:rPr>
                <w:rFonts w:ascii="Calibri" w:hAnsi="Calibri"/>
                <w:bCs/>
                <w:szCs w:val="22"/>
              </w:rPr>
              <w:t xml:space="preserve">It is not considered that there is any public benefit demonstrated that would outweigh this harm. </w:t>
            </w:r>
            <w:proofErr w:type="gramStart"/>
            <w:r w:rsidRPr="00AF3F64">
              <w:rPr>
                <w:rFonts w:ascii="Calibri" w:hAnsi="Calibri"/>
                <w:bCs/>
                <w:szCs w:val="22"/>
              </w:rPr>
              <w:t>Furthermore</w:t>
            </w:r>
            <w:r>
              <w:rPr>
                <w:rFonts w:ascii="Calibri" w:hAnsi="Calibri"/>
                <w:bCs/>
                <w:szCs w:val="22"/>
              </w:rPr>
              <w:t>;</w:t>
            </w:r>
            <w:proofErr w:type="gramEnd"/>
            <w:r>
              <w:rPr>
                <w:rFonts w:ascii="Calibri" w:hAnsi="Calibri"/>
                <w:bCs/>
                <w:szCs w:val="22"/>
              </w:rPr>
              <w:t xml:space="preserve"> </w:t>
            </w:r>
            <w:r w:rsidRPr="00AF3F64">
              <w:rPr>
                <w:rFonts w:ascii="Calibri" w:hAnsi="Calibri"/>
                <w:bCs/>
                <w:szCs w:val="22"/>
              </w:rPr>
              <w:t xml:space="preserve">there is another large outbuilding to the rear of the barn which was intended to be garages and storage. </w:t>
            </w:r>
          </w:p>
        </w:tc>
      </w:tr>
      <w:tr w:rsidR="008C75E4" w:rsidRPr="008C75E4" w14:paraId="7AE8A5DB" w14:textId="77777777" w:rsidTr="0051077E">
        <w:trPr>
          <w:trHeight w:val="864"/>
          <w:jc w:val="center"/>
        </w:trPr>
        <w:tc>
          <w:tcPr>
            <w:tcW w:w="9823" w:type="dxa"/>
            <w:gridSpan w:val="14"/>
            <w:tcMar>
              <w:top w:w="57" w:type="dxa"/>
              <w:bottom w:w="57" w:type="dxa"/>
            </w:tcMar>
          </w:tcPr>
          <w:p w14:paraId="498CAE63" w14:textId="77777777" w:rsidR="00C6456D" w:rsidRDefault="00A7182F" w:rsidP="00454754">
            <w:pPr>
              <w:contextualSpacing/>
              <w:jc w:val="both"/>
              <w:rPr>
                <w:rFonts w:ascii="Calibri" w:hAnsi="Calibri"/>
                <w:b/>
                <w:szCs w:val="22"/>
              </w:rPr>
            </w:pPr>
            <w:r>
              <w:rPr>
                <w:rFonts w:ascii="Calibri" w:hAnsi="Calibri"/>
                <w:b/>
                <w:szCs w:val="22"/>
              </w:rPr>
              <w:lastRenderedPageBreak/>
              <w:t xml:space="preserve">Visual </w:t>
            </w:r>
            <w:r w:rsidR="0051077E" w:rsidRPr="0051077E">
              <w:rPr>
                <w:rFonts w:ascii="Calibri" w:hAnsi="Calibri"/>
                <w:b/>
                <w:szCs w:val="22"/>
              </w:rPr>
              <w:t>Amenity</w:t>
            </w:r>
            <w:r>
              <w:rPr>
                <w:rFonts w:ascii="Calibri" w:hAnsi="Calibri"/>
                <w:b/>
                <w:szCs w:val="22"/>
              </w:rPr>
              <w:t xml:space="preserve"> / Landscape</w:t>
            </w:r>
            <w:r w:rsidR="0051077E" w:rsidRPr="0051077E">
              <w:rPr>
                <w:rFonts w:ascii="Calibri" w:hAnsi="Calibri"/>
                <w:b/>
                <w:szCs w:val="22"/>
              </w:rPr>
              <w:t>:</w:t>
            </w:r>
          </w:p>
          <w:p w14:paraId="64BB2789" w14:textId="55C5539E" w:rsidR="008675C4" w:rsidRPr="009C227E" w:rsidRDefault="008675C4" w:rsidP="00454754">
            <w:pPr>
              <w:contextualSpacing/>
              <w:jc w:val="both"/>
              <w:rPr>
                <w:rFonts w:ascii="Calibri" w:hAnsi="Calibri"/>
                <w:bCs/>
                <w:szCs w:val="22"/>
              </w:rPr>
            </w:pPr>
            <w:r w:rsidRPr="009C227E">
              <w:rPr>
                <w:rFonts w:ascii="Calibri" w:hAnsi="Calibri"/>
                <w:bCs/>
                <w:szCs w:val="22"/>
              </w:rPr>
              <w:t xml:space="preserve">The farmstead at </w:t>
            </w:r>
            <w:proofErr w:type="spellStart"/>
            <w:r w:rsidRPr="009C227E">
              <w:rPr>
                <w:rFonts w:ascii="Calibri" w:hAnsi="Calibri"/>
                <w:bCs/>
                <w:szCs w:val="22"/>
              </w:rPr>
              <w:t>Greengore</w:t>
            </w:r>
            <w:proofErr w:type="spellEnd"/>
            <w:r w:rsidRPr="009C227E">
              <w:rPr>
                <w:rFonts w:ascii="Calibri" w:hAnsi="Calibri"/>
                <w:bCs/>
                <w:szCs w:val="22"/>
              </w:rPr>
              <w:t xml:space="preserve"> is located on a flat parcel of land and </w:t>
            </w:r>
            <w:r w:rsidR="009C227E" w:rsidRPr="009C227E">
              <w:rPr>
                <w:rFonts w:ascii="Calibri" w:hAnsi="Calibri"/>
                <w:bCs/>
                <w:szCs w:val="22"/>
              </w:rPr>
              <w:t xml:space="preserve">is visible from some distance away. </w:t>
            </w:r>
            <w:r w:rsidR="009C227E">
              <w:rPr>
                <w:rFonts w:ascii="Calibri" w:hAnsi="Calibri"/>
                <w:bCs/>
                <w:szCs w:val="22"/>
              </w:rPr>
              <w:t xml:space="preserve"> It is accepted that the removal of the large agricultural building would bring some visual benefits, however as aforementioned this building is also part of the rural character. There is a concern that construction of prominently sited domestic outbuildings will have an urbanising effect on the character of the landscape.  I cannot be argued that the development would be in keeping with the character of the landscape as required by key statement EN2. </w:t>
            </w:r>
          </w:p>
        </w:tc>
      </w:tr>
      <w:tr w:rsidR="00D4736E" w:rsidRPr="008C75E4" w14:paraId="62F02BE4" w14:textId="77777777" w:rsidTr="0051077E">
        <w:trPr>
          <w:trHeight w:val="864"/>
          <w:jc w:val="center"/>
        </w:trPr>
        <w:tc>
          <w:tcPr>
            <w:tcW w:w="9823" w:type="dxa"/>
            <w:gridSpan w:val="14"/>
            <w:tcMar>
              <w:top w:w="57" w:type="dxa"/>
              <w:bottom w:w="57" w:type="dxa"/>
            </w:tcMar>
          </w:tcPr>
          <w:p w14:paraId="1CACD14F" w14:textId="75D4398C" w:rsidR="00D4736E" w:rsidRDefault="00D4736E" w:rsidP="00454754">
            <w:pPr>
              <w:contextualSpacing/>
              <w:jc w:val="both"/>
              <w:rPr>
                <w:rFonts w:ascii="Calibri" w:hAnsi="Calibri"/>
                <w:b/>
                <w:szCs w:val="22"/>
              </w:rPr>
            </w:pPr>
            <w:r>
              <w:rPr>
                <w:rFonts w:ascii="Calibri" w:hAnsi="Calibri"/>
                <w:b/>
                <w:szCs w:val="22"/>
              </w:rPr>
              <w:t xml:space="preserve">Residential </w:t>
            </w:r>
            <w:r w:rsidR="00F74544">
              <w:rPr>
                <w:rFonts w:ascii="Calibri" w:hAnsi="Calibri"/>
                <w:b/>
                <w:szCs w:val="22"/>
              </w:rPr>
              <w:t>Amenity</w:t>
            </w:r>
            <w:r>
              <w:rPr>
                <w:rFonts w:ascii="Calibri" w:hAnsi="Calibri"/>
                <w:b/>
                <w:szCs w:val="22"/>
              </w:rPr>
              <w:t xml:space="preserve">: </w:t>
            </w:r>
          </w:p>
          <w:p w14:paraId="63F5ACB9" w14:textId="483902AC" w:rsidR="00D4736E" w:rsidRPr="00D4736E" w:rsidRDefault="00D4736E" w:rsidP="00454754">
            <w:pPr>
              <w:contextualSpacing/>
              <w:jc w:val="both"/>
              <w:rPr>
                <w:rFonts w:ascii="Calibri" w:hAnsi="Calibri"/>
                <w:bCs/>
                <w:szCs w:val="22"/>
              </w:rPr>
            </w:pPr>
            <w:r>
              <w:rPr>
                <w:rFonts w:ascii="Calibri" w:hAnsi="Calibri"/>
                <w:bCs/>
                <w:szCs w:val="22"/>
              </w:rPr>
              <w:t xml:space="preserve">The site is a sufficient distance away so from the adjacent dwelling to prevent any loss of amenity. </w:t>
            </w:r>
          </w:p>
        </w:tc>
      </w:tr>
      <w:tr w:rsidR="008C75E4" w:rsidRPr="008C75E4" w14:paraId="08C82EC6" w14:textId="77777777" w:rsidTr="0051077E">
        <w:trPr>
          <w:trHeight w:val="864"/>
          <w:jc w:val="center"/>
        </w:trPr>
        <w:tc>
          <w:tcPr>
            <w:tcW w:w="9823" w:type="dxa"/>
            <w:gridSpan w:val="14"/>
            <w:tcMar>
              <w:top w:w="57" w:type="dxa"/>
              <w:bottom w:w="57" w:type="dxa"/>
            </w:tcMar>
          </w:tcPr>
          <w:p w14:paraId="3243CB4D" w14:textId="6479D0EA" w:rsidR="00C0704D" w:rsidRDefault="005E13F6" w:rsidP="006126D1">
            <w:pPr>
              <w:pStyle w:val="Header"/>
              <w:tabs>
                <w:tab w:val="clear" w:pos="4153"/>
                <w:tab w:val="clear" w:pos="8306"/>
              </w:tabs>
              <w:contextualSpacing/>
              <w:jc w:val="both"/>
              <w:rPr>
                <w:rFonts w:ascii="Calibri" w:hAnsi="Calibri"/>
                <w:b/>
                <w:szCs w:val="22"/>
              </w:rPr>
            </w:pPr>
            <w:r>
              <w:rPr>
                <w:rFonts w:ascii="Calibri" w:hAnsi="Calibri"/>
                <w:b/>
                <w:szCs w:val="22"/>
              </w:rPr>
              <w:t xml:space="preserve">Highway </w:t>
            </w:r>
            <w:r w:rsidR="0051077E">
              <w:rPr>
                <w:rFonts w:ascii="Calibri" w:hAnsi="Calibri"/>
                <w:b/>
                <w:szCs w:val="22"/>
              </w:rPr>
              <w:t>Safety</w:t>
            </w:r>
            <w:r w:rsidR="007C5713">
              <w:rPr>
                <w:rFonts w:ascii="Calibri" w:hAnsi="Calibri"/>
                <w:b/>
                <w:szCs w:val="22"/>
              </w:rPr>
              <w:t>:</w:t>
            </w:r>
          </w:p>
          <w:p w14:paraId="6DDB152C" w14:textId="037B4ACE" w:rsidR="00C50517" w:rsidRPr="002A7DF7" w:rsidRDefault="00D4736E" w:rsidP="00454754">
            <w:pPr>
              <w:pStyle w:val="Header"/>
              <w:tabs>
                <w:tab w:val="clear" w:pos="4153"/>
                <w:tab w:val="clear" w:pos="8306"/>
              </w:tabs>
              <w:contextualSpacing/>
              <w:jc w:val="both"/>
              <w:rPr>
                <w:rFonts w:ascii="Calibri" w:hAnsi="Calibri"/>
                <w:szCs w:val="22"/>
              </w:rPr>
            </w:pPr>
            <w:r>
              <w:rPr>
                <w:rFonts w:ascii="Calibri" w:hAnsi="Calibri"/>
                <w:szCs w:val="22"/>
              </w:rPr>
              <w:t xml:space="preserve">There are no highway safety </w:t>
            </w:r>
            <w:r w:rsidR="00F74544">
              <w:rPr>
                <w:rFonts w:ascii="Calibri" w:hAnsi="Calibri"/>
                <w:szCs w:val="22"/>
              </w:rPr>
              <w:t>implications</w:t>
            </w:r>
            <w:r>
              <w:rPr>
                <w:rFonts w:ascii="Calibri" w:hAnsi="Calibri"/>
                <w:szCs w:val="22"/>
              </w:rPr>
              <w:t>.</w:t>
            </w:r>
          </w:p>
        </w:tc>
      </w:tr>
      <w:tr w:rsidR="008C75E4" w:rsidRPr="008C75E4" w14:paraId="06E44D5C" w14:textId="77777777" w:rsidTr="0051077E">
        <w:trPr>
          <w:trHeight w:val="864"/>
          <w:jc w:val="center"/>
        </w:trPr>
        <w:tc>
          <w:tcPr>
            <w:tcW w:w="9823" w:type="dxa"/>
            <w:gridSpan w:val="14"/>
            <w:tcMar>
              <w:top w:w="57" w:type="dxa"/>
              <w:bottom w:w="57" w:type="dxa"/>
            </w:tcMar>
          </w:tcPr>
          <w:p w14:paraId="02B72A17" w14:textId="77777777" w:rsidR="00C0704D" w:rsidRPr="008C75E4" w:rsidRDefault="00C0704D" w:rsidP="006126D1">
            <w:pPr>
              <w:contextualSpacing/>
              <w:jc w:val="both"/>
              <w:rPr>
                <w:rFonts w:ascii="Calibri" w:hAnsi="Calibri"/>
                <w:b/>
                <w:bCs/>
                <w:szCs w:val="22"/>
              </w:rPr>
            </w:pPr>
            <w:r w:rsidRPr="008C75E4">
              <w:rPr>
                <w:rFonts w:ascii="Calibri" w:hAnsi="Calibri"/>
                <w:b/>
                <w:bCs/>
                <w:szCs w:val="22"/>
              </w:rPr>
              <w:t>Observations/Consideration of Matters Raised/Conclusion:</w:t>
            </w:r>
          </w:p>
          <w:p w14:paraId="47D664C2" w14:textId="00156738" w:rsidR="00C44E40" w:rsidRPr="00BA2247" w:rsidRDefault="00F74544" w:rsidP="00454754">
            <w:pPr>
              <w:pStyle w:val="Header"/>
              <w:tabs>
                <w:tab w:val="clear" w:pos="4153"/>
                <w:tab w:val="clear" w:pos="8306"/>
              </w:tabs>
              <w:contextualSpacing/>
              <w:jc w:val="both"/>
              <w:rPr>
                <w:rFonts w:ascii="Calibri" w:hAnsi="Calibri"/>
                <w:szCs w:val="22"/>
              </w:rPr>
            </w:pPr>
            <w:r>
              <w:rPr>
                <w:rFonts w:ascii="Calibri" w:hAnsi="Calibri"/>
                <w:szCs w:val="22"/>
              </w:rPr>
              <w:t xml:space="preserve">The proposed development would </w:t>
            </w:r>
            <w:r w:rsidR="00B17099">
              <w:rPr>
                <w:rFonts w:ascii="Calibri" w:hAnsi="Calibri"/>
                <w:szCs w:val="22"/>
              </w:rPr>
              <w:t xml:space="preserve">be prominently sited and have an urbanising effect which would </w:t>
            </w:r>
            <w:r>
              <w:rPr>
                <w:rFonts w:ascii="Calibri" w:hAnsi="Calibri"/>
                <w:szCs w:val="22"/>
              </w:rPr>
              <w:t xml:space="preserve">detract from the character and </w:t>
            </w:r>
            <w:r w:rsidR="00B17099">
              <w:rPr>
                <w:rFonts w:ascii="Calibri" w:hAnsi="Calibri"/>
                <w:szCs w:val="22"/>
              </w:rPr>
              <w:t>hierarchy</w:t>
            </w:r>
            <w:r>
              <w:rPr>
                <w:rFonts w:ascii="Calibri" w:hAnsi="Calibri"/>
                <w:szCs w:val="22"/>
              </w:rPr>
              <w:t xml:space="preserve"> of buildings within the historic farmstead</w:t>
            </w:r>
            <w:r w:rsidR="00B17099">
              <w:rPr>
                <w:rFonts w:ascii="Calibri" w:hAnsi="Calibri"/>
                <w:szCs w:val="22"/>
              </w:rPr>
              <w:t>. This would be harmful</w:t>
            </w:r>
            <w:r>
              <w:rPr>
                <w:rFonts w:ascii="Calibri" w:hAnsi="Calibri"/>
                <w:szCs w:val="22"/>
              </w:rPr>
              <w:t xml:space="preserve"> to the setting of the Grade II* listed building and character of the AONB</w:t>
            </w:r>
            <w:r w:rsidR="00B17099">
              <w:rPr>
                <w:rFonts w:ascii="Calibri" w:hAnsi="Calibri"/>
                <w:szCs w:val="22"/>
              </w:rPr>
              <w:t xml:space="preserve"> contrary to EN2, EN4, DME5 of the Core Strategy</w:t>
            </w:r>
            <w:r w:rsidR="0078706F">
              <w:rPr>
                <w:rFonts w:ascii="Calibri" w:hAnsi="Calibri"/>
                <w:szCs w:val="22"/>
              </w:rPr>
              <w:t xml:space="preserve"> and the NPPF</w:t>
            </w:r>
            <w:r>
              <w:rPr>
                <w:rFonts w:ascii="Calibri" w:hAnsi="Calibri"/>
                <w:szCs w:val="22"/>
              </w:rPr>
              <w:t xml:space="preserve">.  </w:t>
            </w:r>
          </w:p>
        </w:tc>
      </w:tr>
      <w:tr w:rsidR="00C0704D" w:rsidRPr="008C75E4" w14:paraId="15F4450D" w14:textId="77777777" w:rsidTr="0051077E">
        <w:trPr>
          <w:jc w:val="center"/>
        </w:trPr>
        <w:tc>
          <w:tcPr>
            <w:tcW w:w="2837" w:type="dxa"/>
            <w:gridSpan w:val="4"/>
            <w:tcMar>
              <w:top w:w="57" w:type="dxa"/>
              <w:bottom w:w="57" w:type="dxa"/>
            </w:tcMar>
          </w:tcPr>
          <w:p w14:paraId="7F787598"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986" w:type="dxa"/>
            <w:gridSpan w:val="10"/>
          </w:tcPr>
          <w:p w14:paraId="4B444ABE" w14:textId="59C045F4" w:rsidR="00C0704D" w:rsidRPr="008C75E4" w:rsidRDefault="005E13F6" w:rsidP="006126D1">
            <w:pPr>
              <w:jc w:val="both"/>
              <w:rPr>
                <w:rFonts w:ascii="Calibri" w:hAnsi="Calibri"/>
                <w:bCs/>
                <w:szCs w:val="22"/>
              </w:rPr>
            </w:pPr>
            <w:r>
              <w:rPr>
                <w:rFonts w:ascii="Calibri" w:hAnsi="Calibri"/>
                <w:bCs/>
                <w:szCs w:val="22"/>
              </w:rPr>
              <w:t xml:space="preserve">To </w:t>
            </w:r>
            <w:r w:rsidR="0078706F">
              <w:rPr>
                <w:rFonts w:ascii="Calibri" w:hAnsi="Calibri"/>
                <w:bCs/>
                <w:szCs w:val="22"/>
              </w:rPr>
              <w:t>refuse planning permission</w:t>
            </w:r>
            <w:r>
              <w:rPr>
                <w:rFonts w:ascii="Calibri" w:hAnsi="Calibri"/>
                <w:bCs/>
                <w:szCs w:val="22"/>
              </w:rPr>
              <w:t xml:space="preserve"> </w:t>
            </w:r>
          </w:p>
        </w:tc>
      </w:tr>
    </w:tbl>
    <w:p w14:paraId="5709B806" w14:textId="77777777" w:rsidR="0031197A" w:rsidRPr="008C75E4" w:rsidRDefault="006E7E99"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DBECC" w14:textId="77777777" w:rsidR="00990720" w:rsidRDefault="00990720" w:rsidP="006D0B5F">
      <w:r>
        <w:separator/>
      </w:r>
    </w:p>
  </w:endnote>
  <w:endnote w:type="continuationSeparator" w:id="0">
    <w:p w14:paraId="207441A7" w14:textId="77777777" w:rsidR="00990720" w:rsidRDefault="00990720"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CA57E" w14:textId="77777777" w:rsidR="00990720" w:rsidRDefault="00990720" w:rsidP="006D0B5F">
      <w:r>
        <w:separator/>
      </w:r>
    </w:p>
  </w:footnote>
  <w:footnote w:type="continuationSeparator" w:id="0">
    <w:p w14:paraId="798C52FB" w14:textId="77777777" w:rsidR="00990720" w:rsidRDefault="00990720"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0888995">
    <w:abstractNumId w:val="9"/>
  </w:num>
  <w:num w:numId="2" w16cid:durableId="502017038">
    <w:abstractNumId w:val="7"/>
  </w:num>
  <w:num w:numId="3" w16cid:durableId="1038504399">
    <w:abstractNumId w:val="3"/>
  </w:num>
  <w:num w:numId="4" w16cid:durableId="1982687511">
    <w:abstractNumId w:val="4"/>
  </w:num>
  <w:num w:numId="5" w16cid:durableId="713819041">
    <w:abstractNumId w:val="0"/>
  </w:num>
  <w:num w:numId="6" w16cid:durableId="169563632">
    <w:abstractNumId w:val="1"/>
  </w:num>
  <w:num w:numId="7" w16cid:durableId="986665056">
    <w:abstractNumId w:val="5"/>
  </w:num>
  <w:num w:numId="8" w16cid:durableId="2078091284">
    <w:abstractNumId w:val="8"/>
  </w:num>
  <w:num w:numId="9" w16cid:durableId="1791513592">
    <w:abstractNumId w:val="2"/>
  </w:num>
  <w:num w:numId="10" w16cid:durableId="5385952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6A73"/>
    <w:rsid w:val="00041FBF"/>
    <w:rsid w:val="00043C0C"/>
    <w:rsid w:val="00055B13"/>
    <w:rsid w:val="0008638E"/>
    <w:rsid w:val="000B5CB5"/>
    <w:rsid w:val="000C7A57"/>
    <w:rsid w:val="00101855"/>
    <w:rsid w:val="0010371E"/>
    <w:rsid w:val="00106932"/>
    <w:rsid w:val="00130035"/>
    <w:rsid w:val="00141512"/>
    <w:rsid w:val="0016428F"/>
    <w:rsid w:val="00174004"/>
    <w:rsid w:val="001946E0"/>
    <w:rsid w:val="00196722"/>
    <w:rsid w:val="001B769B"/>
    <w:rsid w:val="001C1453"/>
    <w:rsid w:val="001D4F7A"/>
    <w:rsid w:val="001D5ADD"/>
    <w:rsid w:val="001D7E40"/>
    <w:rsid w:val="00203F50"/>
    <w:rsid w:val="00206E24"/>
    <w:rsid w:val="0023095E"/>
    <w:rsid w:val="002362B0"/>
    <w:rsid w:val="00237DA1"/>
    <w:rsid w:val="002459E7"/>
    <w:rsid w:val="00250879"/>
    <w:rsid w:val="00252F99"/>
    <w:rsid w:val="00284480"/>
    <w:rsid w:val="0028751A"/>
    <w:rsid w:val="0029334A"/>
    <w:rsid w:val="002A01CF"/>
    <w:rsid w:val="002A7DF7"/>
    <w:rsid w:val="002B7854"/>
    <w:rsid w:val="002C6277"/>
    <w:rsid w:val="002D4346"/>
    <w:rsid w:val="002E2952"/>
    <w:rsid w:val="002E6FCA"/>
    <w:rsid w:val="002E7CC1"/>
    <w:rsid w:val="002F041D"/>
    <w:rsid w:val="002F2580"/>
    <w:rsid w:val="002F7502"/>
    <w:rsid w:val="003137E0"/>
    <w:rsid w:val="00320A6F"/>
    <w:rsid w:val="00321B6E"/>
    <w:rsid w:val="003359D0"/>
    <w:rsid w:val="00341E8D"/>
    <w:rsid w:val="00347F5E"/>
    <w:rsid w:val="003562A3"/>
    <w:rsid w:val="003634D9"/>
    <w:rsid w:val="00363596"/>
    <w:rsid w:val="0036759A"/>
    <w:rsid w:val="003825D5"/>
    <w:rsid w:val="003A4376"/>
    <w:rsid w:val="003C28E1"/>
    <w:rsid w:val="003D365F"/>
    <w:rsid w:val="003E2151"/>
    <w:rsid w:val="003E4BD1"/>
    <w:rsid w:val="003F16AA"/>
    <w:rsid w:val="003F16B4"/>
    <w:rsid w:val="003F3DB5"/>
    <w:rsid w:val="003F481A"/>
    <w:rsid w:val="00404C72"/>
    <w:rsid w:val="00435FC9"/>
    <w:rsid w:val="0044039F"/>
    <w:rsid w:val="00440CB6"/>
    <w:rsid w:val="00454754"/>
    <w:rsid w:val="00454FC1"/>
    <w:rsid w:val="004654DD"/>
    <w:rsid w:val="004854EC"/>
    <w:rsid w:val="004936A6"/>
    <w:rsid w:val="004947BB"/>
    <w:rsid w:val="004A5EA9"/>
    <w:rsid w:val="004C2434"/>
    <w:rsid w:val="004D6FC7"/>
    <w:rsid w:val="004E58E3"/>
    <w:rsid w:val="004F0649"/>
    <w:rsid w:val="004F1043"/>
    <w:rsid w:val="004F1E99"/>
    <w:rsid w:val="0050432D"/>
    <w:rsid w:val="00504440"/>
    <w:rsid w:val="0051077E"/>
    <w:rsid w:val="00510DBF"/>
    <w:rsid w:val="00510FA2"/>
    <w:rsid w:val="00510FE3"/>
    <w:rsid w:val="00521ABA"/>
    <w:rsid w:val="00525341"/>
    <w:rsid w:val="00527A31"/>
    <w:rsid w:val="00534611"/>
    <w:rsid w:val="005352CD"/>
    <w:rsid w:val="00545D8C"/>
    <w:rsid w:val="00551ECD"/>
    <w:rsid w:val="00556ECD"/>
    <w:rsid w:val="005631B3"/>
    <w:rsid w:val="005633B0"/>
    <w:rsid w:val="005635FF"/>
    <w:rsid w:val="00573B90"/>
    <w:rsid w:val="005878FE"/>
    <w:rsid w:val="00593040"/>
    <w:rsid w:val="005B0A0E"/>
    <w:rsid w:val="005D3432"/>
    <w:rsid w:val="005E13F6"/>
    <w:rsid w:val="005E1C6C"/>
    <w:rsid w:val="005E65DF"/>
    <w:rsid w:val="006126D1"/>
    <w:rsid w:val="006326A2"/>
    <w:rsid w:val="00665C24"/>
    <w:rsid w:val="006815D5"/>
    <w:rsid w:val="00690EC3"/>
    <w:rsid w:val="00692B60"/>
    <w:rsid w:val="00695F88"/>
    <w:rsid w:val="00697B2D"/>
    <w:rsid w:val="006A71AD"/>
    <w:rsid w:val="006C126E"/>
    <w:rsid w:val="006C2BFA"/>
    <w:rsid w:val="006D0B5F"/>
    <w:rsid w:val="006D4E58"/>
    <w:rsid w:val="006D7624"/>
    <w:rsid w:val="006E7E99"/>
    <w:rsid w:val="006F137D"/>
    <w:rsid w:val="006F4D38"/>
    <w:rsid w:val="0070054B"/>
    <w:rsid w:val="00706480"/>
    <w:rsid w:val="00710DBB"/>
    <w:rsid w:val="00725F1C"/>
    <w:rsid w:val="007430C8"/>
    <w:rsid w:val="00752277"/>
    <w:rsid w:val="00755FCC"/>
    <w:rsid w:val="00760868"/>
    <w:rsid w:val="00762FCC"/>
    <w:rsid w:val="00776AE2"/>
    <w:rsid w:val="0078706F"/>
    <w:rsid w:val="007921CD"/>
    <w:rsid w:val="007C5607"/>
    <w:rsid w:val="007C5713"/>
    <w:rsid w:val="007C74E2"/>
    <w:rsid w:val="007C791C"/>
    <w:rsid w:val="007D6D02"/>
    <w:rsid w:val="007D7DF4"/>
    <w:rsid w:val="007E0D23"/>
    <w:rsid w:val="007F196D"/>
    <w:rsid w:val="00804FC7"/>
    <w:rsid w:val="00805895"/>
    <w:rsid w:val="008075CB"/>
    <w:rsid w:val="00811771"/>
    <w:rsid w:val="008154DD"/>
    <w:rsid w:val="008542DE"/>
    <w:rsid w:val="008638DE"/>
    <w:rsid w:val="008675C4"/>
    <w:rsid w:val="0087130E"/>
    <w:rsid w:val="00891182"/>
    <w:rsid w:val="008A28C8"/>
    <w:rsid w:val="008C75E4"/>
    <w:rsid w:val="008E6994"/>
    <w:rsid w:val="008F6B58"/>
    <w:rsid w:val="0090282C"/>
    <w:rsid w:val="00906D0C"/>
    <w:rsid w:val="00934B34"/>
    <w:rsid w:val="009565F5"/>
    <w:rsid w:val="009825FF"/>
    <w:rsid w:val="00985097"/>
    <w:rsid w:val="00990720"/>
    <w:rsid w:val="00994EF1"/>
    <w:rsid w:val="009C227E"/>
    <w:rsid w:val="009C4BCF"/>
    <w:rsid w:val="009C7F61"/>
    <w:rsid w:val="009E6A8B"/>
    <w:rsid w:val="00A04A96"/>
    <w:rsid w:val="00A40070"/>
    <w:rsid w:val="00A42E82"/>
    <w:rsid w:val="00A46EE9"/>
    <w:rsid w:val="00A55E83"/>
    <w:rsid w:val="00A579BB"/>
    <w:rsid w:val="00A63D55"/>
    <w:rsid w:val="00A7182F"/>
    <w:rsid w:val="00A8441B"/>
    <w:rsid w:val="00A9088C"/>
    <w:rsid w:val="00A9168C"/>
    <w:rsid w:val="00A95D89"/>
    <w:rsid w:val="00AA03D5"/>
    <w:rsid w:val="00AB0CFF"/>
    <w:rsid w:val="00AB3243"/>
    <w:rsid w:val="00AB5232"/>
    <w:rsid w:val="00AD0A85"/>
    <w:rsid w:val="00AD2D69"/>
    <w:rsid w:val="00AF3F64"/>
    <w:rsid w:val="00B14DDC"/>
    <w:rsid w:val="00B17099"/>
    <w:rsid w:val="00B30A5E"/>
    <w:rsid w:val="00B31505"/>
    <w:rsid w:val="00B6269C"/>
    <w:rsid w:val="00B74C73"/>
    <w:rsid w:val="00B93EB5"/>
    <w:rsid w:val="00B96F5A"/>
    <w:rsid w:val="00BA2247"/>
    <w:rsid w:val="00BA5D97"/>
    <w:rsid w:val="00BA6B19"/>
    <w:rsid w:val="00BB1C52"/>
    <w:rsid w:val="00BB2A50"/>
    <w:rsid w:val="00BC1E48"/>
    <w:rsid w:val="00BD3F03"/>
    <w:rsid w:val="00C057A8"/>
    <w:rsid w:val="00C0704D"/>
    <w:rsid w:val="00C214A6"/>
    <w:rsid w:val="00C24A51"/>
    <w:rsid w:val="00C25722"/>
    <w:rsid w:val="00C44E40"/>
    <w:rsid w:val="00C50517"/>
    <w:rsid w:val="00C618DB"/>
    <w:rsid w:val="00C6456D"/>
    <w:rsid w:val="00C73C2B"/>
    <w:rsid w:val="00C93384"/>
    <w:rsid w:val="00CA28BA"/>
    <w:rsid w:val="00CD1729"/>
    <w:rsid w:val="00CD2E03"/>
    <w:rsid w:val="00CD38B1"/>
    <w:rsid w:val="00D102D9"/>
    <w:rsid w:val="00D1063F"/>
    <w:rsid w:val="00D11007"/>
    <w:rsid w:val="00D1420C"/>
    <w:rsid w:val="00D23470"/>
    <w:rsid w:val="00D2449B"/>
    <w:rsid w:val="00D4736E"/>
    <w:rsid w:val="00D54384"/>
    <w:rsid w:val="00D54E67"/>
    <w:rsid w:val="00D54F48"/>
    <w:rsid w:val="00D632BB"/>
    <w:rsid w:val="00D80310"/>
    <w:rsid w:val="00D9608A"/>
    <w:rsid w:val="00D96DF7"/>
    <w:rsid w:val="00D97AA3"/>
    <w:rsid w:val="00DA27B6"/>
    <w:rsid w:val="00DC3C8A"/>
    <w:rsid w:val="00DD62F6"/>
    <w:rsid w:val="00DD7E97"/>
    <w:rsid w:val="00DE740E"/>
    <w:rsid w:val="00DF2B3D"/>
    <w:rsid w:val="00DF42DA"/>
    <w:rsid w:val="00DF63B4"/>
    <w:rsid w:val="00E03AFD"/>
    <w:rsid w:val="00E0485E"/>
    <w:rsid w:val="00E06DFC"/>
    <w:rsid w:val="00E23FB0"/>
    <w:rsid w:val="00E242BC"/>
    <w:rsid w:val="00E270CB"/>
    <w:rsid w:val="00E3317F"/>
    <w:rsid w:val="00E46243"/>
    <w:rsid w:val="00E60B49"/>
    <w:rsid w:val="00E66534"/>
    <w:rsid w:val="00E719D1"/>
    <w:rsid w:val="00E71A35"/>
    <w:rsid w:val="00E72F6C"/>
    <w:rsid w:val="00E80113"/>
    <w:rsid w:val="00E9421B"/>
    <w:rsid w:val="00EA09F9"/>
    <w:rsid w:val="00EA1673"/>
    <w:rsid w:val="00EB7D74"/>
    <w:rsid w:val="00EC23C7"/>
    <w:rsid w:val="00ED00B7"/>
    <w:rsid w:val="00EF1341"/>
    <w:rsid w:val="00EF44E6"/>
    <w:rsid w:val="00F012FA"/>
    <w:rsid w:val="00F055D3"/>
    <w:rsid w:val="00F129DD"/>
    <w:rsid w:val="00F16D0F"/>
    <w:rsid w:val="00F32789"/>
    <w:rsid w:val="00F54541"/>
    <w:rsid w:val="00F666A1"/>
    <w:rsid w:val="00F71D53"/>
    <w:rsid w:val="00F731F5"/>
    <w:rsid w:val="00F74544"/>
    <w:rsid w:val="00F75F59"/>
    <w:rsid w:val="00F8201E"/>
    <w:rsid w:val="00FA3622"/>
    <w:rsid w:val="00FC046F"/>
    <w:rsid w:val="00FC6A11"/>
    <w:rsid w:val="00FC77EC"/>
    <w:rsid w:val="00FD334A"/>
    <w:rsid w:val="00FD6AE3"/>
    <w:rsid w:val="00FF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2B597"/>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8FF5A-2E0A-4C1C-93FF-9C61C992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2022-06-01T13:49:00Z</cp:lastPrinted>
  <dcterms:created xsi:type="dcterms:W3CDTF">2022-06-01T13:51:00Z</dcterms:created>
  <dcterms:modified xsi:type="dcterms:W3CDTF">2022-06-01T13:51:00Z</dcterms:modified>
</cp:coreProperties>
</file>