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6"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194"/>
        <w:gridCol w:w="956"/>
        <w:gridCol w:w="681"/>
        <w:gridCol w:w="399"/>
        <w:gridCol w:w="126"/>
        <w:gridCol w:w="325"/>
        <w:gridCol w:w="464"/>
        <w:gridCol w:w="1278"/>
        <w:gridCol w:w="782"/>
        <w:gridCol w:w="554"/>
        <w:gridCol w:w="757"/>
        <w:gridCol w:w="829"/>
        <w:gridCol w:w="1431"/>
      </w:tblGrid>
      <w:tr w:rsidR="00965C32" w14:paraId="7D956072"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0BCAC933" w14:textId="77777777" w:rsidR="00965C32" w:rsidRDefault="00965C32" w:rsidP="00A01063">
            <w:pPr>
              <w:jc w:val="center"/>
              <w:rPr>
                <w:rFonts w:ascii="Calibri" w:hAnsi="Calibri"/>
                <w:b/>
                <w:szCs w:val="22"/>
              </w:rPr>
            </w:pPr>
            <w:r>
              <w:rPr>
                <w:rFonts w:ascii="Calibri" w:hAnsi="Calibri"/>
                <w:b/>
                <w:szCs w:val="22"/>
              </w:rPr>
              <w:t>Report to be read in conjunction with the Decision Notice.</w:t>
            </w:r>
          </w:p>
        </w:tc>
      </w:tr>
      <w:tr w:rsidR="00965C32" w14:paraId="172CC1B6" w14:textId="77777777" w:rsidTr="00621C14">
        <w:trPr>
          <w:trHeight w:val="535"/>
          <w:jc w:val="center"/>
        </w:trPr>
        <w:tc>
          <w:tcPr>
            <w:tcW w:w="1194" w:type="dxa"/>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66A1FB16" w14:textId="77777777" w:rsidR="00965C32" w:rsidRDefault="00965C32" w:rsidP="00A01063">
            <w:pPr>
              <w:jc w:val="center"/>
              <w:rPr>
                <w:rFonts w:ascii="Calibri" w:hAnsi="Calibri"/>
                <w:b/>
                <w:szCs w:val="22"/>
              </w:rPr>
            </w:pPr>
            <w:r>
              <w:rPr>
                <w:rFonts w:ascii="Calibri" w:hAnsi="Calibri"/>
                <w:b/>
                <w:szCs w:val="22"/>
              </w:rPr>
              <w:t>Signed:</w:t>
            </w:r>
          </w:p>
        </w:tc>
        <w:tc>
          <w:tcPr>
            <w:tcW w:w="956" w:type="dxa"/>
            <w:tcBorders>
              <w:top w:val="single" w:sz="4" w:space="0" w:color="A6A6A6"/>
              <w:left w:val="single" w:sz="4" w:space="0" w:color="A6A6A6"/>
              <w:bottom w:val="single" w:sz="4" w:space="0" w:color="A6A6A6"/>
              <w:right w:val="single" w:sz="4" w:space="0" w:color="A6A6A6"/>
            </w:tcBorders>
            <w:hideMark/>
          </w:tcPr>
          <w:p w14:paraId="6F2A56A0" w14:textId="77777777" w:rsidR="00965C32" w:rsidRDefault="00965C32" w:rsidP="00A01063">
            <w:pPr>
              <w:jc w:val="center"/>
              <w:rPr>
                <w:rFonts w:ascii="Calibri" w:hAnsi="Calibri"/>
                <w:b/>
                <w:szCs w:val="22"/>
              </w:rPr>
            </w:pPr>
            <w:r>
              <w:rPr>
                <w:rFonts w:ascii="Calibri" w:hAnsi="Calibri"/>
                <w:b/>
                <w:szCs w:val="22"/>
              </w:rPr>
              <w:t>Officer:</w:t>
            </w:r>
          </w:p>
        </w:tc>
        <w:tc>
          <w:tcPr>
            <w:tcW w:w="1080" w:type="dxa"/>
            <w:gridSpan w:val="2"/>
            <w:tcBorders>
              <w:top w:val="single" w:sz="4" w:space="0" w:color="A6A6A6"/>
              <w:left w:val="single" w:sz="4" w:space="0" w:color="A6A6A6"/>
              <w:bottom w:val="single" w:sz="4" w:space="0" w:color="A6A6A6"/>
              <w:right w:val="single" w:sz="4" w:space="0" w:color="A6A6A6"/>
            </w:tcBorders>
            <w:hideMark/>
          </w:tcPr>
          <w:p w14:paraId="464A3DF2" w14:textId="60A3CFC3" w:rsidR="00965C32" w:rsidRDefault="00C16305" w:rsidP="00A01063">
            <w:pPr>
              <w:jc w:val="center"/>
              <w:rPr>
                <w:rFonts w:ascii="Calibri" w:hAnsi="Calibri"/>
                <w:bCs/>
                <w:szCs w:val="22"/>
              </w:rPr>
            </w:pPr>
            <w:r>
              <w:rPr>
                <w:rFonts w:ascii="Calibri" w:hAnsi="Calibri"/>
                <w:bCs/>
                <w:szCs w:val="22"/>
              </w:rPr>
              <w:t>MW</w:t>
            </w:r>
          </w:p>
        </w:tc>
        <w:tc>
          <w:tcPr>
            <w:tcW w:w="915" w:type="dxa"/>
            <w:gridSpan w:val="3"/>
            <w:tcBorders>
              <w:top w:val="single" w:sz="4" w:space="0" w:color="A6A6A6"/>
              <w:left w:val="single" w:sz="4" w:space="0" w:color="A6A6A6"/>
              <w:bottom w:val="single" w:sz="4" w:space="0" w:color="A6A6A6"/>
              <w:right w:val="single" w:sz="4" w:space="0" w:color="A6A6A6"/>
            </w:tcBorders>
            <w:hideMark/>
          </w:tcPr>
          <w:p w14:paraId="293756A4" w14:textId="77777777" w:rsidR="00965C32" w:rsidRDefault="00965C32" w:rsidP="00A01063">
            <w:pPr>
              <w:jc w:val="center"/>
              <w:rPr>
                <w:rFonts w:ascii="Calibri" w:hAnsi="Calibri"/>
                <w:b/>
                <w:szCs w:val="22"/>
              </w:rPr>
            </w:pPr>
            <w:r>
              <w:rPr>
                <w:rFonts w:ascii="Calibri" w:hAnsi="Calibri"/>
                <w:b/>
                <w:szCs w:val="22"/>
              </w:rPr>
              <w:t>Date:</w:t>
            </w:r>
          </w:p>
        </w:tc>
        <w:tc>
          <w:tcPr>
            <w:tcW w:w="1278" w:type="dxa"/>
            <w:tcBorders>
              <w:top w:val="single" w:sz="4" w:space="0" w:color="A6A6A6"/>
              <w:left w:val="single" w:sz="4" w:space="0" w:color="A6A6A6"/>
              <w:bottom w:val="single" w:sz="4" w:space="0" w:color="A6A6A6"/>
              <w:right w:val="single" w:sz="4" w:space="0" w:color="A6A6A6"/>
            </w:tcBorders>
            <w:hideMark/>
          </w:tcPr>
          <w:p w14:paraId="4B03905E" w14:textId="42F5FA71" w:rsidR="00965C32" w:rsidRDefault="008C5C91" w:rsidP="00A01063">
            <w:pPr>
              <w:jc w:val="center"/>
              <w:rPr>
                <w:rFonts w:ascii="Calibri" w:hAnsi="Calibri"/>
                <w:szCs w:val="22"/>
              </w:rPr>
            </w:pPr>
            <w:r>
              <w:rPr>
                <w:rFonts w:ascii="Calibri" w:hAnsi="Calibri"/>
                <w:szCs w:val="22"/>
              </w:rPr>
              <w:t>1</w:t>
            </w:r>
            <w:r w:rsidR="00026E4E">
              <w:rPr>
                <w:rFonts w:ascii="Calibri" w:hAnsi="Calibri"/>
                <w:szCs w:val="22"/>
              </w:rPr>
              <w:t>2</w:t>
            </w:r>
            <w:r w:rsidR="00633164">
              <w:rPr>
                <w:rFonts w:ascii="Calibri" w:hAnsi="Calibri"/>
                <w:szCs w:val="22"/>
              </w:rPr>
              <w:t>/07/2022</w:t>
            </w:r>
          </w:p>
        </w:tc>
        <w:tc>
          <w:tcPr>
            <w:tcW w:w="1336" w:type="dxa"/>
            <w:gridSpan w:val="2"/>
            <w:tcBorders>
              <w:top w:val="single" w:sz="4" w:space="0" w:color="A6A6A6"/>
              <w:left w:val="single" w:sz="4" w:space="0" w:color="A6A6A6"/>
              <w:bottom w:val="single" w:sz="4" w:space="0" w:color="A6A6A6"/>
              <w:right w:val="single" w:sz="4" w:space="0" w:color="A6A6A6"/>
            </w:tcBorders>
            <w:hideMark/>
          </w:tcPr>
          <w:p w14:paraId="62C6483A" w14:textId="77777777" w:rsidR="00965C32" w:rsidRDefault="00965C32" w:rsidP="00A01063">
            <w:pPr>
              <w:jc w:val="center"/>
              <w:rPr>
                <w:rFonts w:ascii="Calibri" w:hAnsi="Calibri"/>
                <w:b/>
                <w:szCs w:val="22"/>
              </w:rPr>
            </w:pPr>
            <w:r>
              <w:rPr>
                <w:rFonts w:ascii="Calibri" w:hAnsi="Calibri"/>
                <w:b/>
                <w:szCs w:val="22"/>
              </w:rPr>
              <w:t>Manager:</w:t>
            </w:r>
          </w:p>
        </w:tc>
        <w:tc>
          <w:tcPr>
            <w:tcW w:w="757" w:type="dxa"/>
            <w:tcBorders>
              <w:top w:val="single" w:sz="4" w:space="0" w:color="A6A6A6"/>
              <w:left w:val="single" w:sz="4" w:space="0" w:color="A6A6A6"/>
              <w:bottom w:val="single" w:sz="4" w:space="0" w:color="A6A6A6"/>
              <w:right w:val="single" w:sz="4" w:space="0" w:color="A6A6A6"/>
            </w:tcBorders>
          </w:tcPr>
          <w:p w14:paraId="6BCDD05B" w14:textId="77777777" w:rsidR="00965C32" w:rsidRDefault="00965C32" w:rsidP="00A01063">
            <w:pPr>
              <w:jc w:val="center"/>
              <w:rPr>
                <w:rFonts w:ascii="Calibri" w:hAnsi="Calibri"/>
                <w:b/>
                <w:szCs w:val="22"/>
              </w:rPr>
            </w:pPr>
          </w:p>
        </w:tc>
        <w:tc>
          <w:tcPr>
            <w:tcW w:w="829" w:type="dxa"/>
            <w:tcBorders>
              <w:top w:val="single" w:sz="4" w:space="0" w:color="A6A6A6"/>
              <w:left w:val="single" w:sz="4" w:space="0" w:color="A6A6A6"/>
              <w:bottom w:val="single" w:sz="4" w:space="0" w:color="A6A6A6"/>
              <w:right w:val="single" w:sz="4" w:space="0" w:color="A6A6A6"/>
            </w:tcBorders>
            <w:hideMark/>
          </w:tcPr>
          <w:p w14:paraId="51BF137E" w14:textId="77777777" w:rsidR="00965C32" w:rsidRDefault="00965C32" w:rsidP="00A01063">
            <w:pPr>
              <w:jc w:val="center"/>
              <w:rPr>
                <w:rFonts w:ascii="Calibri" w:hAnsi="Calibri"/>
                <w:b/>
                <w:szCs w:val="22"/>
              </w:rPr>
            </w:pPr>
            <w:r>
              <w:rPr>
                <w:rFonts w:ascii="Calibri" w:hAnsi="Calibri"/>
                <w:b/>
                <w:szCs w:val="22"/>
              </w:rPr>
              <w:t>Date:</w:t>
            </w:r>
          </w:p>
        </w:tc>
        <w:tc>
          <w:tcPr>
            <w:tcW w:w="1431" w:type="dxa"/>
            <w:tcBorders>
              <w:top w:val="single" w:sz="4" w:space="0" w:color="A6A6A6"/>
              <w:left w:val="single" w:sz="4" w:space="0" w:color="A6A6A6"/>
              <w:bottom w:val="single" w:sz="4" w:space="0" w:color="A6A6A6"/>
              <w:right w:val="single" w:sz="4" w:space="0" w:color="A6A6A6"/>
            </w:tcBorders>
          </w:tcPr>
          <w:p w14:paraId="2A5B99EC" w14:textId="77777777" w:rsidR="00965C32" w:rsidRDefault="00965C32" w:rsidP="00A01063">
            <w:pPr>
              <w:jc w:val="center"/>
              <w:rPr>
                <w:rFonts w:ascii="Calibri" w:hAnsi="Calibri"/>
                <w:b/>
                <w:szCs w:val="22"/>
              </w:rPr>
            </w:pPr>
          </w:p>
        </w:tc>
      </w:tr>
      <w:tr w:rsidR="00965C32" w14:paraId="0B0E5C06" w14:textId="77777777" w:rsidTr="00621C14">
        <w:trPr>
          <w:trHeight w:val="508"/>
          <w:jc w:val="center"/>
        </w:trPr>
        <w:tc>
          <w:tcPr>
            <w:tcW w:w="1194" w:type="dxa"/>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2B1027D4" w14:textId="77777777" w:rsidR="00965C32" w:rsidRDefault="00965C32" w:rsidP="00A01063">
            <w:pPr>
              <w:rPr>
                <w:rFonts w:ascii="Calibri" w:hAnsi="Calibri"/>
                <w:b/>
                <w:szCs w:val="22"/>
              </w:rPr>
            </w:pPr>
            <w:r>
              <w:rPr>
                <w:rFonts w:ascii="Calibri" w:hAnsi="Calibri"/>
                <w:b/>
                <w:szCs w:val="22"/>
              </w:rPr>
              <w:t>Site notice displayed</w:t>
            </w:r>
          </w:p>
        </w:tc>
        <w:tc>
          <w:tcPr>
            <w:tcW w:w="956" w:type="dxa"/>
            <w:tcBorders>
              <w:top w:val="single" w:sz="4" w:space="0" w:color="A6A6A6"/>
              <w:left w:val="single" w:sz="4" w:space="0" w:color="A6A6A6"/>
              <w:bottom w:val="single" w:sz="4" w:space="0" w:color="A6A6A6"/>
              <w:right w:val="single" w:sz="4" w:space="0" w:color="A6A6A6"/>
            </w:tcBorders>
            <w:hideMark/>
          </w:tcPr>
          <w:p w14:paraId="25D4B926" w14:textId="77777777" w:rsidR="00965C32" w:rsidRDefault="00965C32" w:rsidP="00A01063">
            <w:pPr>
              <w:jc w:val="center"/>
              <w:rPr>
                <w:rFonts w:ascii="Calibri" w:hAnsi="Calibri"/>
                <w:bCs/>
                <w:szCs w:val="22"/>
              </w:rPr>
            </w:pPr>
            <w:r>
              <w:rPr>
                <w:rFonts w:ascii="Calibri" w:hAnsi="Calibri"/>
                <w:bCs/>
                <w:szCs w:val="22"/>
              </w:rPr>
              <w:t>N/A</w:t>
            </w:r>
          </w:p>
        </w:tc>
        <w:tc>
          <w:tcPr>
            <w:tcW w:w="1080" w:type="dxa"/>
            <w:gridSpan w:val="2"/>
            <w:tcBorders>
              <w:top w:val="single" w:sz="4" w:space="0" w:color="A6A6A6"/>
              <w:left w:val="single" w:sz="4" w:space="0" w:color="A6A6A6"/>
              <w:bottom w:val="single" w:sz="4" w:space="0" w:color="A6A6A6"/>
              <w:right w:val="single" w:sz="4" w:space="0" w:color="A6A6A6"/>
            </w:tcBorders>
            <w:hideMark/>
          </w:tcPr>
          <w:p w14:paraId="6CCFA511" w14:textId="77777777" w:rsidR="00965C32" w:rsidRDefault="00965C32" w:rsidP="00A01063">
            <w:pPr>
              <w:jc w:val="center"/>
              <w:rPr>
                <w:rFonts w:ascii="Calibri" w:hAnsi="Calibri"/>
                <w:b/>
                <w:szCs w:val="22"/>
              </w:rPr>
            </w:pPr>
            <w:r>
              <w:rPr>
                <w:rFonts w:ascii="Calibri" w:hAnsi="Calibri"/>
                <w:b/>
                <w:szCs w:val="22"/>
              </w:rPr>
              <w:t>Photos uploaded</w:t>
            </w:r>
          </w:p>
        </w:tc>
        <w:tc>
          <w:tcPr>
            <w:tcW w:w="915" w:type="dxa"/>
            <w:gridSpan w:val="3"/>
            <w:tcBorders>
              <w:top w:val="single" w:sz="4" w:space="0" w:color="A6A6A6"/>
              <w:left w:val="single" w:sz="4" w:space="0" w:color="A6A6A6"/>
              <w:bottom w:val="single" w:sz="4" w:space="0" w:color="A6A6A6"/>
              <w:right w:val="single" w:sz="4" w:space="0" w:color="A6A6A6"/>
            </w:tcBorders>
            <w:hideMark/>
          </w:tcPr>
          <w:p w14:paraId="74FC7B34" w14:textId="77777777" w:rsidR="00965C32" w:rsidRDefault="00965C32" w:rsidP="00A01063">
            <w:pPr>
              <w:jc w:val="center"/>
              <w:rPr>
                <w:rFonts w:ascii="Calibri" w:hAnsi="Calibri"/>
                <w:bCs/>
                <w:szCs w:val="22"/>
              </w:rPr>
            </w:pPr>
            <w:r>
              <w:rPr>
                <w:rFonts w:ascii="Calibri" w:hAnsi="Calibri"/>
                <w:bCs/>
                <w:szCs w:val="22"/>
              </w:rPr>
              <w:t>N/A</w:t>
            </w:r>
          </w:p>
        </w:tc>
        <w:tc>
          <w:tcPr>
            <w:tcW w:w="5631" w:type="dxa"/>
            <w:gridSpan w:val="6"/>
            <w:tcBorders>
              <w:top w:val="single" w:sz="4" w:space="0" w:color="A6A6A6"/>
              <w:left w:val="single" w:sz="4" w:space="0" w:color="A6A6A6"/>
              <w:bottom w:val="single" w:sz="4" w:space="0" w:color="A6A6A6"/>
              <w:right w:val="single" w:sz="4" w:space="0" w:color="A6A6A6"/>
            </w:tcBorders>
          </w:tcPr>
          <w:p w14:paraId="150F67D0" w14:textId="77777777" w:rsidR="00965C32" w:rsidRDefault="00965C32" w:rsidP="00A01063">
            <w:pPr>
              <w:jc w:val="center"/>
              <w:rPr>
                <w:rFonts w:ascii="Calibri" w:hAnsi="Calibri"/>
                <w:b/>
                <w:szCs w:val="22"/>
              </w:rPr>
            </w:pPr>
          </w:p>
        </w:tc>
      </w:tr>
      <w:tr w:rsidR="00965C32" w14:paraId="622F567C" w14:textId="77777777" w:rsidTr="00A01063">
        <w:trPr>
          <w:jc w:val="center"/>
        </w:trPr>
        <w:tc>
          <w:tcPr>
            <w:tcW w:w="9776" w:type="dxa"/>
            <w:gridSpan w:val="13"/>
            <w:tcBorders>
              <w:top w:val="single" w:sz="4" w:space="0" w:color="A6A6A6"/>
              <w:left w:val="nil"/>
              <w:bottom w:val="single" w:sz="4" w:space="0" w:color="A6A6A6"/>
              <w:right w:val="nil"/>
            </w:tcBorders>
            <w:tcMar>
              <w:top w:w="57" w:type="dxa"/>
              <w:left w:w="108" w:type="dxa"/>
              <w:bottom w:w="57" w:type="dxa"/>
              <w:right w:w="108" w:type="dxa"/>
            </w:tcMar>
          </w:tcPr>
          <w:p w14:paraId="40ED1444" w14:textId="77777777" w:rsidR="00965C32" w:rsidRDefault="00965C32" w:rsidP="00A01063">
            <w:pPr>
              <w:jc w:val="center"/>
              <w:rPr>
                <w:rFonts w:ascii="Calibri" w:hAnsi="Calibri"/>
                <w:b/>
                <w:szCs w:val="22"/>
              </w:rPr>
            </w:pPr>
          </w:p>
        </w:tc>
      </w:tr>
      <w:tr w:rsidR="00965C32" w14:paraId="2F06884B" w14:textId="77777777" w:rsidTr="00621C14">
        <w:trPr>
          <w:jc w:val="center"/>
        </w:trPr>
        <w:tc>
          <w:tcPr>
            <w:tcW w:w="2831" w:type="dxa"/>
            <w:gridSpan w:val="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4D15AE75" w14:textId="77777777" w:rsidR="00965C32" w:rsidRDefault="00965C32" w:rsidP="00A01063">
            <w:pPr>
              <w:rPr>
                <w:rFonts w:ascii="Calibri" w:hAnsi="Calibri"/>
                <w:b/>
                <w:szCs w:val="22"/>
              </w:rPr>
            </w:pPr>
            <w:r>
              <w:rPr>
                <w:rFonts w:ascii="Calibri" w:hAnsi="Calibri"/>
                <w:b/>
                <w:szCs w:val="22"/>
              </w:rPr>
              <w:t>Application Ref:</w:t>
            </w:r>
          </w:p>
        </w:tc>
        <w:tc>
          <w:tcPr>
            <w:tcW w:w="3374" w:type="dxa"/>
            <w:gridSpan w:val="6"/>
            <w:tcBorders>
              <w:top w:val="single" w:sz="4" w:space="0" w:color="A6A6A6"/>
              <w:left w:val="single" w:sz="4" w:space="0" w:color="A6A6A6"/>
              <w:bottom w:val="single" w:sz="4" w:space="0" w:color="A6A6A6"/>
              <w:right w:val="single" w:sz="4" w:space="0" w:color="A6A6A6"/>
            </w:tcBorders>
            <w:hideMark/>
          </w:tcPr>
          <w:p w14:paraId="53D2AF6C" w14:textId="19423D88" w:rsidR="00965C32" w:rsidRDefault="00965C32" w:rsidP="00A01063">
            <w:pPr>
              <w:rPr>
                <w:rFonts w:ascii="Calibri" w:hAnsi="Calibri"/>
                <w:color w:val="548DD4"/>
                <w:szCs w:val="22"/>
              </w:rPr>
            </w:pPr>
            <w:r>
              <w:rPr>
                <w:rFonts w:ascii="Calibri" w:hAnsi="Calibri"/>
                <w:szCs w:val="22"/>
              </w:rPr>
              <w:t>3/2022/</w:t>
            </w:r>
            <w:r w:rsidR="00C16305">
              <w:rPr>
                <w:rFonts w:ascii="Calibri" w:hAnsi="Calibri"/>
                <w:szCs w:val="22"/>
              </w:rPr>
              <w:t>0</w:t>
            </w:r>
            <w:r w:rsidR="00621C14">
              <w:rPr>
                <w:rFonts w:ascii="Calibri" w:hAnsi="Calibri"/>
                <w:szCs w:val="22"/>
              </w:rPr>
              <w:t>457</w:t>
            </w:r>
          </w:p>
        </w:tc>
        <w:tc>
          <w:tcPr>
            <w:tcW w:w="3571" w:type="dxa"/>
            <w:gridSpan w:val="4"/>
            <w:vMerge w:val="restart"/>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54A091CF" w14:textId="77777777" w:rsidR="00965C32" w:rsidRDefault="00965C32" w:rsidP="00A01063">
            <w:pPr>
              <w:rPr>
                <w:rFonts w:ascii="Calibri" w:hAnsi="Calibri"/>
                <w:szCs w:val="22"/>
              </w:rPr>
            </w:pPr>
            <w:r>
              <w:rPr>
                <w:noProof/>
              </w:rPr>
              <w:drawing>
                <wp:anchor distT="0" distB="0" distL="114300" distR="114300" simplePos="0" relativeHeight="251659264" behindDoc="0" locked="0" layoutInCell="1" allowOverlap="1" wp14:anchorId="67707E6A" wp14:editId="61AEA975">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965C32" w14:paraId="51DA9869" w14:textId="77777777" w:rsidTr="00621C14">
        <w:trPr>
          <w:jc w:val="center"/>
        </w:trPr>
        <w:tc>
          <w:tcPr>
            <w:tcW w:w="2831" w:type="dxa"/>
            <w:gridSpan w:val="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28A773C6" w14:textId="77777777" w:rsidR="00965C32" w:rsidRDefault="00965C32" w:rsidP="00A01063">
            <w:pPr>
              <w:rPr>
                <w:rFonts w:ascii="Calibri" w:hAnsi="Calibri"/>
                <w:b/>
                <w:szCs w:val="22"/>
              </w:rPr>
            </w:pPr>
            <w:r>
              <w:rPr>
                <w:rFonts w:ascii="Calibri" w:hAnsi="Calibri"/>
                <w:b/>
                <w:szCs w:val="22"/>
              </w:rPr>
              <w:t>Date Inspected:</w:t>
            </w:r>
          </w:p>
        </w:tc>
        <w:tc>
          <w:tcPr>
            <w:tcW w:w="3374" w:type="dxa"/>
            <w:gridSpan w:val="6"/>
            <w:tcBorders>
              <w:top w:val="single" w:sz="4" w:space="0" w:color="A6A6A6"/>
              <w:left w:val="single" w:sz="4" w:space="0" w:color="A6A6A6"/>
              <w:bottom w:val="single" w:sz="4" w:space="0" w:color="A6A6A6"/>
              <w:right w:val="single" w:sz="4" w:space="0" w:color="A6A6A6"/>
            </w:tcBorders>
            <w:hideMark/>
          </w:tcPr>
          <w:p w14:paraId="3B113431" w14:textId="7512612E" w:rsidR="00965C32" w:rsidRDefault="00621C14" w:rsidP="00A01063">
            <w:pPr>
              <w:rPr>
                <w:rFonts w:ascii="Calibri" w:hAnsi="Calibri"/>
                <w:szCs w:val="22"/>
              </w:rPr>
            </w:pPr>
            <w:r>
              <w:rPr>
                <w:rFonts w:ascii="Calibri" w:hAnsi="Calibri"/>
                <w:szCs w:val="22"/>
              </w:rPr>
              <w:t>31/05/2022</w:t>
            </w:r>
          </w:p>
        </w:tc>
        <w:tc>
          <w:tcPr>
            <w:tcW w:w="3571" w:type="dxa"/>
            <w:gridSpan w:val="4"/>
            <w:vMerge/>
            <w:tcBorders>
              <w:top w:val="single" w:sz="4" w:space="0" w:color="A6A6A6"/>
              <w:left w:val="single" w:sz="4" w:space="0" w:color="A6A6A6"/>
              <w:bottom w:val="single" w:sz="4" w:space="0" w:color="A6A6A6"/>
              <w:right w:val="single" w:sz="4" w:space="0" w:color="A6A6A6"/>
            </w:tcBorders>
            <w:vAlign w:val="center"/>
            <w:hideMark/>
          </w:tcPr>
          <w:p w14:paraId="1E0C1DA9" w14:textId="77777777" w:rsidR="00965C32" w:rsidRDefault="00965C32" w:rsidP="00A01063">
            <w:pPr>
              <w:overflowPunct/>
              <w:autoSpaceDE/>
              <w:autoSpaceDN/>
              <w:adjustRightInd/>
              <w:rPr>
                <w:rFonts w:ascii="Calibri" w:hAnsi="Calibri"/>
                <w:szCs w:val="22"/>
              </w:rPr>
            </w:pPr>
          </w:p>
        </w:tc>
      </w:tr>
      <w:tr w:rsidR="00965C32" w14:paraId="2AA664D3" w14:textId="77777777" w:rsidTr="00621C14">
        <w:trPr>
          <w:jc w:val="center"/>
        </w:trPr>
        <w:tc>
          <w:tcPr>
            <w:tcW w:w="2831" w:type="dxa"/>
            <w:gridSpan w:val="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4A15E0F1" w14:textId="77777777" w:rsidR="00965C32" w:rsidRDefault="00965C32" w:rsidP="00A01063">
            <w:pPr>
              <w:rPr>
                <w:rFonts w:ascii="Calibri" w:hAnsi="Calibri"/>
                <w:b/>
                <w:szCs w:val="22"/>
              </w:rPr>
            </w:pPr>
            <w:r>
              <w:rPr>
                <w:rFonts w:ascii="Calibri" w:hAnsi="Calibri"/>
                <w:b/>
                <w:szCs w:val="22"/>
              </w:rPr>
              <w:t>Officer:</w:t>
            </w:r>
          </w:p>
        </w:tc>
        <w:tc>
          <w:tcPr>
            <w:tcW w:w="3374" w:type="dxa"/>
            <w:gridSpan w:val="6"/>
            <w:tcBorders>
              <w:top w:val="single" w:sz="4" w:space="0" w:color="A6A6A6"/>
              <w:left w:val="single" w:sz="4" w:space="0" w:color="A6A6A6"/>
              <w:bottom w:val="single" w:sz="4" w:space="0" w:color="A6A6A6"/>
              <w:right w:val="single" w:sz="4" w:space="0" w:color="A6A6A6"/>
            </w:tcBorders>
            <w:hideMark/>
          </w:tcPr>
          <w:p w14:paraId="44634D80" w14:textId="4D27903F" w:rsidR="00965C32" w:rsidRDefault="00C16305" w:rsidP="00A01063">
            <w:pPr>
              <w:rPr>
                <w:rFonts w:ascii="Calibri" w:hAnsi="Calibri"/>
                <w:szCs w:val="22"/>
              </w:rPr>
            </w:pPr>
            <w:r>
              <w:rPr>
                <w:rFonts w:ascii="Calibri" w:hAnsi="Calibri"/>
                <w:szCs w:val="22"/>
              </w:rPr>
              <w:t>MW</w:t>
            </w:r>
          </w:p>
        </w:tc>
        <w:tc>
          <w:tcPr>
            <w:tcW w:w="3571" w:type="dxa"/>
            <w:gridSpan w:val="4"/>
            <w:vMerge/>
            <w:tcBorders>
              <w:top w:val="single" w:sz="4" w:space="0" w:color="A6A6A6"/>
              <w:left w:val="single" w:sz="4" w:space="0" w:color="A6A6A6"/>
              <w:bottom w:val="single" w:sz="4" w:space="0" w:color="A6A6A6"/>
              <w:right w:val="single" w:sz="4" w:space="0" w:color="A6A6A6"/>
            </w:tcBorders>
            <w:vAlign w:val="center"/>
            <w:hideMark/>
          </w:tcPr>
          <w:p w14:paraId="30A0FA12" w14:textId="77777777" w:rsidR="00965C32" w:rsidRDefault="00965C32" w:rsidP="00A01063">
            <w:pPr>
              <w:overflowPunct/>
              <w:autoSpaceDE/>
              <w:autoSpaceDN/>
              <w:adjustRightInd/>
              <w:rPr>
                <w:rFonts w:ascii="Calibri" w:hAnsi="Calibri"/>
                <w:szCs w:val="22"/>
              </w:rPr>
            </w:pPr>
          </w:p>
        </w:tc>
      </w:tr>
      <w:tr w:rsidR="00965C32" w14:paraId="16BECCEF" w14:textId="77777777" w:rsidTr="00621C14">
        <w:trPr>
          <w:jc w:val="center"/>
        </w:trPr>
        <w:tc>
          <w:tcPr>
            <w:tcW w:w="6205" w:type="dxa"/>
            <w:gridSpan w:val="9"/>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4C76B5CA" w14:textId="77777777" w:rsidR="00965C32" w:rsidRPr="00973C4E" w:rsidRDefault="00965C32" w:rsidP="00A01063">
            <w:pPr>
              <w:rPr>
                <w:rFonts w:ascii="Calibri" w:hAnsi="Calibri"/>
                <w:b/>
                <w:szCs w:val="22"/>
              </w:rPr>
            </w:pPr>
            <w:r w:rsidRPr="00973C4E">
              <w:rPr>
                <w:rFonts w:ascii="Calibri" w:hAnsi="Calibri"/>
                <w:b/>
                <w:szCs w:val="22"/>
              </w:rPr>
              <w:t xml:space="preserve">DELEGATED ITEM FILE REPORT: </w:t>
            </w:r>
          </w:p>
        </w:tc>
        <w:tc>
          <w:tcPr>
            <w:tcW w:w="3571" w:type="dxa"/>
            <w:gridSpan w:val="4"/>
            <w:tcBorders>
              <w:top w:val="single" w:sz="4" w:space="0" w:color="A6A6A6"/>
              <w:left w:val="single" w:sz="4" w:space="0" w:color="A6A6A6"/>
              <w:bottom w:val="single" w:sz="4" w:space="0" w:color="A6A6A6"/>
              <w:right w:val="single" w:sz="4" w:space="0" w:color="A6A6A6"/>
            </w:tcBorders>
            <w:shd w:val="clear" w:color="auto" w:fill="auto"/>
            <w:hideMark/>
          </w:tcPr>
          <w:p w14:paraId="0128D6A3" w14:textId="1C9C85C7" w:rsidR="00965C32" w:rsidRPr="00973C4E" w:rsidRDefault="00621C14" w:rsidP="00A01063">
            <w:pPr>
              <w:jc w:val="center"/>
              <w:rPr>
                <w:rFonts w:ascii="Calibri" w:hAnsi="Calibri"/>
                <w:b/>
                <w:szCs w:val="22"/>
              </w:rPr>
            </w:pPr>
            <w:r>
              <w:rPr>
                <w:rFonts w:ascii="Calibri" w:hAnsi="Calibri"/>
                <w:b/>
                <w:szCs w:val="22"/>
              </w:rPr>
              <w:t>APPROVAL</w:t>
            </w:r>
          </w:p>
        </w:tc>
      </w:tr>
      <w:tr w:rsidR="00965C32" w14:paraId="1FF91643" w14:textId="77777777" w:rsidTr="00A01063">
        <w:trPr>
          <w:trHeight w:val="170"/>
          <w:jc w:val="center"/>
        </w:trPr>
        <w:tc>
          <w:tcPr>
            <w:tcW w:w="9776" w:type="dxa"/>
            <w:gridSpan w:val="13"/>
            <w:tcBorders>
              <w:top w:val="single" w:sz="4" w:space="0" w:color="A6A6A6"/>
              <w:left w:val="nil"/>
              <w:bottom w:val="single" w:sz="4" w:space="0" w:color="A6A6A6"/>
              <w:right w:val="nil"/>
            </w:tcBorders>
            <w:tcMar>
              <w:top w:w="57" w:type="dxa"/>
              <w:left w:w="108" w:type="dxa"/>
              <w:bottom w:w="57" w:type="dxa"/>
              <w:right w:w="108" w:type="dxa"/>
            </w:tcMar>
            <w:hideMark/>
          </w:tcPr>
          <w:p w14:paraId="30C8BCA0" w14:textId="77777777" w:rsidR="00965C32" w:rsidRDefault="00965C32" w:rsidP="00A01063">
            <w:pPr>
              <w:tabs>
                <w:tab w:val="left" w:pos="4007"/>
              </w:tabs>
              <w:rPr>
                <w:rFonts w:ascii="Calibri" w:hAnsi="Calibri"/>
                <w:b/>
                <w:szCs w:val="22"/>
              </w:rPr>
            </w:pPr>
            <w:r>
              <w:rPr>
                <w:rFonts w:ascii="Calibri" w:hAnsi="Calibri"/>
                <w:b/>
                <w:szCs w:val="22"/>
              </w:rPr>
              <w:tab/>
            </w:r>
          </w:p>
        </w:tc>
      </w:tr>
      <w:tr w:rsidR="00965C32" w14:paraId="187E412B" w14:textId="77777777" w:rsidTr="00621C14">
        <w:trPr>
          <w:jc w:val="center"/>
        </w:trPr>
        <w:tc>
          <w:tcPr>
            <w:tcW w:w="3681" w:type="dxa"/>
            <w:gridSpan w:val="6"/>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31D7D927" w14:textId="77777777" w:rsidR="00965C32" w:rsidRDefault="00965C32" w:rsidP="00A01063">
            <w:pPr>
              <w:rPr>
                <w:rFonts w:ascii="Calibri" w:hAnsi="Calibri"/>
                <w:b/>
                <w:szCs w:val="22"/>
              </w:rPr>
            </w:pPr>
            <w:r>
              <w:rPr>
                <w:rFonts w:ascii="Calibri" w:hAnsi="Calibri"/>
                <w:b/>
                <w:szCs w:val="22"/>
              </w:rPr>
              <w:t>Development Description:</w:t>
            </w:r>
          </w:p>
        </w:tc>
        <w:tc>
          <w:tcPr>
            <w:tcW w:w="6095" w:type="dxa"/>
            <w:gridSpan w:val="7"/>
            <w:tcBorders>
              <w:top w:val="single" w:sz="4" w:space="0" w:color="A6A6A6"/>
              <w:left w:val="single" w:sz="4" w:space="0" w:color="A6A6A6"/>
              <w:bottom w:val="single" w:sz="4" w:space="0" w:color="A6A6A6"/>
              <w:right w:val="single" w:sz="4" w:space="0" w:color="A6A6A6"/>
            </w:tcBorders>
            <w:hideMark/>
          </w:tcPr>
          <w:p w14:paraId="40B26FF8" w14:textId="77B4E789" w:rsidR="00965C32" w:rsidRPr="00882C8B" w:rsidRDefault="00621C14" w:rsidP="00A01063">
            <w:pPr>
              <w:overflowPunct/>
              <w:autoSpaceDE/>
              <w:autoSpaceDN/>
              <w:adjustRightInd/>
              <w:rPr>
                <w:rFonts w:ascii="Calibri" w:hAnsi="Calibri" w:cs="Calibri"/>
                <w:color w:val="000000"/>
                <w:szCs w:val="22"/>
              </w:rPr>
            </w:pPr>
            <w:r>
              <w:rPr>
                <w:rFonts w:ascii="Calibri" w:hAnsi="Calibri" w:cs="Calibri"/>
                <w:color w:val="000000"/>
                <w:szCs w:val="22"/>
              </w:rPr>
              <w:t>Outline application with all matters reserved for the demolition of an existing outbuilding and erection of a detached dwelling house in the grounds of 94 Ribchester Road. Previously approved under 3/2018/1116.</w:t>
            </w:r>
          </w:p>
        </w:tc>
      </w:tr>
      <w:tr w:rsidR="00965C32" w14:paraId="1896D850" w14:textId="77777777" w:rsidTr="00621C14">
        <w:trPr>
          <w:jc w:val="center"/>
        </w:trPr>
        <w:tc>
          <w:tcPr>
            <w:tcW w:w="3681" w:type="dxa"/>
            <w:gridSpan w:val="6"/>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3E96D61A" w14:textId="77777777" w:rsidR="00965C32" w:rsidRDefault="00965C32" w:rsidP="00A01063">
            <w:pPr>
              <w:rPr>
                <w:rFonts w:ascii="Calibri" w:hAnsi="Calibri"/>
                <w:b/>
                <w:szCs w:val="22"/>
              </w:rPr>
            </w:pPr>
            <w:r>
              <w:rPr>
                <w:rFonts w:ascii="Calibri" w:hAnsi="Calibri"/>
                <w:b/>
                <w:szCs w:val="22"/>
              </w:rPr>
              <w:t>Site Address/Location:</w:t>
            </w:r>
          </w:p>
        </w:tc>
        <w:tc>
          <w:tcPr>
            <w:tcW w:w="6095" w:type="dxa"/>
            <w:gridSpan w:val="7"/>
            <w:tcBorders>
              <w:top w:val="single" w:sz="4" w:space="0" w:color="A6A6A6"/>
              <w:left w:val="single" w:sz="4" w:space="0" w:color="A6A6A6"/>
              <w:bottom w:val="single" w:sz="4" w:space="0" w:color="A6A6A6"/>
              <w:right w:val="single" w:sz="4" w:space="0" w:color="A6A6A6"/>
            </w:tcBorders>
            <w:hideMark/>
          </w:tcPr>
          <w:p w14:paraId="3BA08839" w14:textId="00E3AE10" w:rsidR="00965C32" w:rsidRPr="00882C8B" w:rsidRDefault="00621C14" w:rsidP="00A01063">
            <w:pPr>
              <w:overflowPunct/>
              <w:autoSpaceDE/>
              <w:autoSpaceDN/>
              <w:adjustRightInd/>
              <w:rPr>
                <w:rFonts w:ascii="Calibri" w:hAnsi="Calibri" w:cs="Calibri"/>
                <w:color w:val="000000"/>
                <w:szCs w:val="22"/>
              </w:rPr>
            </w:pPr>
            <w:r>
              <w:rPr>
                <w:rFonts w:ascii="Calibri" w:hAnsi="Calibri" w:cs="Calibri"/>
                <w:color w:val="000000"/>
                <w:szCs w:val="22"/>
              </w:rPr>
              <w:t>94 Ribchester Road Clayton-Le-Dale BB1 9HQ</w:t>
            </w:r>
          </w:p>
        </w:tc>
      </w:tr>
      <w:tr w:rsidR="00965C32" w14:paraId="72E173A1" w14:textId="77777777" w:rsidTr="00A01063">
        <w:trPr>
          <w:trHeight w:val="170"/>
          <w:jc w:val="center"/>
        </w:trPr>
        <w:tc>
          <w:tcPr>
            <w:tcW w:w="9776" w:type="dxa"/>
            <w:gridSpan w:val="13"/>
            <w:tcBorders>
              <w:top w:val="single" w:sz="4" w:space="0" w:color="A6A6A6"/>
              <w:left w:val="nil"/>
              <w:bottom w:val="single" w:sz="4" w:space="0" w:color="A6A6A6"/>
              <w:right w:val="nil"/>
            </w:tcBorders>
            <w:tcMar>
              <w:top w:w="57" w:type="dxa"/>
              <w:left w:w="108" w:type="dxa"/>
              <w:bottom w:w="57" w:type="dxa"/>
              <w:right w:w="108" w:type="dxa"/>
            </w:tcMar>
            <w:hideMark/>
          </w:tcPr>
          <w:p w14:paraId="6DF53439" w14:textId="77777777" w:rsidR="00965C32" w:rsidRDefault="00965C32" w:rsidP="00A01063">
            <w:pPr>
              <w:tabs>
                <w:tab w:val="left" w:pos="2667"/>
              </w:tabs>
              <w:rPr>
                <w:rFonts w:ascii="Calibri" w:hAnsi="Calibri"/>
                <w:b/>
                <w:szCs w:val="22"/>
              </w:rPr>
            </w:pPr>
            <w:r>
              <w:rPr>
                <w:rFonts w:ascii="Calibri" w:hAnsi="Calibri"/>
                <w:b/>
                <w:szCs w:val="22"/>
              </w:rPr>
              <w:tab/>
            </w:r>
          </w:p>
        </w:tc>
      </w:tr>
      <w:tr w:rsidR="00965C32" w14:paraId="359CDE94" w14:textId="77777777" w:rsidTr="00621C14">
        <w:trPr>
          <w:jc w:val="center"/>
        </w:trPr>
        <w:tc>
          <w:tcPr>
            <w:tcW w:w="3681" w:type="dxa"/>
            <w:gridSpan w:val="6"/>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4E1DCA51" w14:textId="77777777" w:rsidR="00965C32" w:rsidRDefault="00965C32" w:rsidP="00A01063">
            <w:pPr>
              <w:rPr>
                <w:rFonts w:ascii="Calibri" w:hAnsi="Calibri"/>
                <w:b/>
                <w:szCs w:val="22"/>
              </w:rPr>
            </w:pPr>
            <w:r>
              <w:rPr>
                <w:rFonts w:ascii="Calibri" w:hAnsi="Calibri"/>
                <w:b/>
                <w:szCs w:val="22"/>
              </w:rPr>
              <w:t xml:space="preserve">CONSULTATIONS: </w:t>
            </w:r>
          </w:p>
        </w:tc>
        <w:tc>
          <w:tcPr>
            <w:tcW w:w="6095" w:type="dxa"/>
            <w:gridSpan w:val="7"/>
            <w:tcBorders>
              <w:top w:val="single" w:sz="4" w:space="0" w:color="A6A6A6"/>
              <w:left w:val="single" w:sz="4" w:space="0" w:color="A6A6A6"/>
              <w:bottom w:val="single" w:sz="4" w:space="0" w:color="A6A6A6"/>
              <w:right w:val="single" w:sz="4" w:space="0" w:color="A6A6A6"/>
            </w:tcBorders>
            <w:hideMark/>
          </w:tcPr>
          <w:p w14:paraId="67E775BE" w14:textId="77777777" w:rsidR="00965C32" w:rsidRDefault="00965C32" w:rsidP="00A01063">
            <w:pPr>
              <w:rPr>
                <w:rFonts w:ascii="Calibri" w:hAnsi="Calibri"/>
                <w:b/>
                <w:szCs w:val="22"/>
              </w:rPr>
            </w:pPr>
            <w:r>
              <w:rPr>
                <w:rFonts w:ascii="Calibri" w:hAnsi="Calibri"/>
                <w:b/>
                <w:szCs w:val="22"/>
              </w:rPr>
              <w:t>Parish/Town Council</w:t>
            </w:r>
          </w:p>
        </w:tc>
      </w:tr>
      <w:tr w:rsidR="00965C32" w14:paraId="329934C2" w14:textId="77777777" w:rsidTr="00621C14">
        <w:trPr>
          <w:trHeight w:val="294"/>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5E13A476" w14:textId="6B02C05E" w:rsidR="00965C32" w:rsidRDefault="00435A6A" w:rsidP="00A01063">
            <w:pPr>
              <w:rPr>
                <w:rFonts w:ascii="Calibri" w:hAnsi="Calibri"/>
                <w:szCs w:val="22"/>
              </w:rPr>
            </w:pPr>
            <w:r w:rsidRPr="00435A6A">
              <w:rPr>
                <w:rFonts w:ascii="Calibri" w:hAnsi="Calibri"/>
                <w:szCs w:val="22"/>
              </w:rPr>
              <w:t xml:space="preserve">The Parish Council object on the basis that a </w:t>
            </w:r>
            <w:r w:rsidR="008015C2" w:rsidRPr="00435A6A">
              <w:rPr>
                <w:rFonts w:ascii="Calibri" w:hAnsi="Calibri"/>
                <w:szCs w:val="22"/>
              </w:rPr>
              <w:t>three-storey</w:t>
            </w:r>
            <w:r w:rsidRPr="00435A6A">
              <w:rPr>
                <w:rFonts w:ascii="Calibri" w:hAnsi="Calibri"/>
                <w:szCs w:val="22"/>
              </w:rPr>
              <w:t xml:space="preserve"> dwelling would </w:t>
            </w:r>
            <w:r>
              <w:rPr>
                <w:rFonts w:ascii="Calibri" w:hAnsi="Calibri"/>
                <w:szCs w:val="22"/>
              </w:rPr>
              <w:t>fail to be in keeping</w:t>
            </w:r>
            <w:r w:rsidRPr="00435A6A">
              <w:rPr>
                <w:rFonts w:ascii="Calibri" w:hAnsi="Calibri"/>
                <w:szCs w:val="22"/>
              </w:rPr>
              <w:t xml:space="preserve"> with the existing street scene.</w:t>
            </w:r>
          </w:p>
        </w:tc>
      </w:tr>
      <w:tr w:rsidR="00621C14" w14:paraId="79F20A62" w14:textId="77777777" w:rsidTr="00621C14">
        <w:trPr>
          <w:jc w:val="center"/>
        </w:trPr>
        <w:tc>
          <w:tcPr>
            <w:tcW w:w="3681" w:type="dxa"/>
            <w:gridSpan w:val="6"/>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3EA6AD85" w14:textId="31967F1B" w:rsidR="00621C14" w:rsidRPr="00621C14" w:rsidRDefault="00621C14" w:rsidP="00A01063">
            <w:pPr>
              <w:rPr>
                <w:rFonts w:ascii="Calibri" w:hAnsi="Calibri"/>
                <w:b/>
                <w:bCs/>
                <w:szCs w:val="22"/>
              </w:rPr>
            </w:pPr>
            <w:r w:rsidRPr="00621C14">
              <w:rPr>
                <w:rFonts w:ascii="Calibri" w:hAnsi="Calibri"/>
                <w:b/>
                <w:bCs/>
                <w:szCs w:val="22"/>
              </w:rPr>
              <w:t>CONSULTATIONS:</w:t>
            </w:r>
          </w:p>
        </w:tc>
        <w:tc>
          <w:tcPr>
            <w:tcW w:w="6095" w:type="dxa"/>
            <w:gridSpan w:val="7"/>
            <w:tcBorders>
              <w:top w:val="single" w:sz="4" w:space="0" w:color="A6A6A6"/>
              <w:left w:val="single" w:sz="4" w:space="0" w:color="A6A6A6"/>
              <w:bottom w:val="single" w:sz="4" w:space="0" w:color="A6A6A6"/>
              <w:right w:val="single" w:sz="4" w:space="0" w:color="A6A6A6"/>
            </w:tcBorders>
          </w:tcPr>
          <w:p w14:paraId="35E0538D" w14:textId="5B360BF5" w:rsidR="00621C14" w:rsidRPr="002D3632" w:rsidRDefault="00621C14" w:rsidP="00A01063">
            <w:pPr>
              <w:rPr>
                <w:rFonts w:ascii="Calibri" w:hAnsi="Calibri"/>
                <w:b/>
                <w:bCs/>
                <w:szCs w:val="22"/>
              </w:rPr>
            </w:pPr>
            <w:r w:rsidRPr="002D3632">
              <w:rPr>
                <w:rFonts w:ascii="Calibri" w:hAnsi="Calibri"/>
                <w:b/>
                <w:bCs/>
                <w:szCs w:val="22"/>
              </w:rPr>
              <w:t>United Utilities</w:t>
            </w:r>
          </w:p>
        </w:tc>
      </w:tr>
      <w:tr w:rsidR="00621C14" w14:paraId="12AE6C6A"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2B211D0C" w14:textId="77777777" w:rsidR="00250D9E" w:rsidRDefault="00250D9E" w:rsidP="00E32735">
            <w:pPr>
              <w:rPr>
                <w:rFonts w:ascii="Calibri" w:hAnsi="Calibri"/>
                <w:szCs w:val="22"/>
              </w:rPr>
            </w:pPr>
          </w:p>
          <w:p w14:paraId="5013CA6D" w14:textId="406AF242" w:rsidR="00E32735" w:rsidRPr="00E32735" w:rsidRDefault="00435A6A" w:rsidP="00E32735">
            <w:pPr>
              <w:rPr>
                <w:rFonts w:ascii="Calibri" w:hAnsi="Calibri"/>
                <w:szCs w:val="22"/>
              </w:rPr>
            </w:pPr>
            <w:r>
              <w:rPr>
                <w:rFonts w:ascii="Calibri" w:hAnsi="Calibri"/>
                <w:szCs w:val="22"/>
              </w:rPr>
              <w:t>It is r</w:t>
            </w:r>
            <w:r w:rsidR="00E32735">
              <w:rPr>
                <w:rFonts w:ascii="Calibri" w:hAnsi="Calibri"/>
                <w:szCs w:val="22"/>
              </w:rPr>
              <w:t xml:space="preserve">ecommended that </w:t>
            </w:r>
            <w:r w:rsidR="00E32735" w:rsidRPr="00E32735">
              <w:rPr>
                <w:rFonts w:ascii="Calibri" w:hAnsi="Calibri"/>
                <w:szCs w:val="22"/>
              </w:rPr>
              <w:t>the applicant considers their drainage plans in accordance with the drainage</w:t>
            </w:r>
          </w:p>
          <w:p w14:paraId="11418F8D" w14:textId="73FA0B0A" w:rsidR="00621C14" w:rsidRDefault="00E32735" w:rsidP="00E32735">
            <w:pPr>
              <w:rPr>
                <w:rFonts w:ascii="Calibri" w:hAnsi="Calibri"/>
                <w:szCs w:val="22"/>
              </w:rPr>
            </w:pPr>
            <w:r w:rsidRPr="00E32735">
              <w:rPr>
                <w:rFonts w:ascii="Calibri" w:hAnsi="Calibri"/>
                <w:szCs w:val="22"/>
              </w:rPr>
              <w:t>hierarchy.</w:t>
            </w:r>
          </w:p>
          <w:p w14:paraId="5A868235" w14:textId="753E0397" w:rsidR="00E32735" w:rsidRDefault="00E32735" w:rsidP="00E32735">
            <w:pPr>
              <w:rPr>
                <w:rFonts w:ascii="Calibri" w:hAnsi="Calibri"/>
                <w:szCs w:val="22"/>
              </w:rPr>
            </w:pPr>
          </w:p>
          <w:p w14:paraId="671CBDFA" w14:textId="355F6349" w:rsidR="00E32735" w:rsidRDefault="00004A14" w:rsidP="00004A14">
            <w:pPr>
              <w:jc w:val="both"/>
              <w:rPr>
                <w:rFonts w:ascii="Calibri" w:hAnsi="Calibri"/>
                <w:szCs w:val="22"/>
              </w:rPr>
            </w:pPr>
            <w:r w:rsidRPr="00004A14">
              <w:rPr>
                <w:rFonts w:ascii="Calibri" w:hAnsi="Calibri"/>
                <w:szCs w:val="22"/>
              </w:rPr>
              <w:t>The applicant or developer should contact our Developer Services team for advice if their</w:t>
            </w:r>
            <w:r>
              <w:rPr>
                <w:rFonts w:ascii="Calibri" w:hAnsi="Calibri"/>
                <w:szCs w:val="22"/>
              </w:rPr>
              <w:t xml:space="preserve"> </w:t>
            </w:r>
            <w:r w:rsidRPr="00004A14">
              <w:rPr>
                <w:rFonts w:ascii="Calibri" w:hAnsi="Calibri"/>
                <w:szCs w:val="22"/>
              </w:rPr>
              <w:t>proposal is in the vicinity of water or wastewater pipelines and apparatus. It is their</w:t>
            </w:r>
            <w:r>
              <w:rPr>
                <w:rFonts w:ascii="Calibri" w:hAnsi="Calibri"/>
                <w:szCs w:val="22"/>
              </w:rPr>
              <w:t xml:space="preserve"> </w:t>
            </w:r>
            <w:r w:rsidRPr="00004A14">
              <w:rPr>
                <w:rFonts w:ascii="Calibri" w:hAnsi="Calibri"/>
                <w:szCs w:val="22"/>
              </w:rPr>
              <w:t>responsibility to ensure that United</w:t>
            </w:r>
            <w:r>
              <w:rPr>
                <w:rFonts w:ascii="Calibri" w:hAnsi="Calibri"/>
                <w:szCs w:val="22"/>
              </w:rPr>
              <w:t xml:space="preserve"> </w:t>
            </w:r>
            <w:r w:rsidRPr="00004A14">
              <w:rPr>
                <w:rFonts w:ascii="Calibri" w:hAnsi="Calibri"/>
                <w:szCs w:val="22"/>
              </w:rPr>
              <w:t>Utilities’ required access is provided within their layout</w:t>
            </w:r>
            <w:r>
              <w:rPr>
                <w:rFonts w:ascii="Calibri" w:hAnsi="Calibri"/>
                <w:szCs w:val="22"/>
              </w:rPr>
              <w:t xml:space="preserve"> </w:t>
            </w:r>
            <w:r w:rsidRPr="00004A14">
              <w:rPr>
                <w:rFonts w:ascii="Calibri" w:hAnsi="Calibri"/>
                <w:szCs w:val="22"/>
              </w:rPr>
              <w:t>and that our infrastructure is appropriately protected. The developer would be liable for the</w:t>
            </w:r>
            <w:r>
              <w:rPr>
                <w:rFonts w:ascii="Calibri" w:hAnsi="Calibri"/>
                <w:szCs w:val="22"/>
              </w:rPr>
              <w:t xml:space="preserve"> </w:t>
            </w:r>
            <w:r w:rsidRPr="00004A14">
              <w:rPr>
                <w:rFonts w:ascii="Calibri" w:hAnsi="Calibri"/>
                <w:szCs w:val="22"/>
              </w:rPr>
              <w:t>cost of any damage to United Utilities’ assets resulting from their activity.</w:t>
            </w:r>
          </w:p>
          <w:p w14:paraId="3262C864" w14:textId="7BCD6250" w:rsidR="00E32735" w:rsidRDefault="00E32735" w:rsidP="00E32735">
            <w:pPr>
              <w:rPr>
                <w:rFonts w:ascii="Calibri" w:hAnsi="Calibri"/>
                <w:szCs w:val="22"/>
              </w:rPr>
            </w:pPr>
          </w:p>
        </w:tc>
      </w:tr>
      <w:tr w:rsidR="00250D9E" w14:paraId="546DA261" w14:textId="77777777" w:rsidTr="00250D9E">
        <w:trPr>
          <w:jc w:val="center"/>
        </w:trPr>
        <w:tc>
          <w:tcPr>
            <w:tcW w:w="3681" w:type="dxa"/>
            <w:gridSpan w:val="6"/>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428B0B9E" w14:textId="6E6CA1B3" w:rsidR="00250D9E" w:rsidRPr="00250D9E" w:rsidRDefault="00250D9E" w:rsidP="00E32735">
            <w:pPr>
              <w:rPr>
                <w:rFonts w:ascii="Calibri" w:hAnsi="Calibri"/>
                <w:b/>
                <w:bCs/>
                <w:szCs w:val="22"/>
              </w:rPr>
            </w:pPr>
            <w:r>
              <w:rPr>
                <w:rFonts w:ascii="Calibri" w:hAnsi="Calibri"/>
                <w:b/>
                <w:bCs/>
                <w:szCs w:val="22"/>
              </w:rPr>
              <w:t>CONSULTATIONS:</w:t>
            </w:r>
          </w:p>
        </w:tc>
        <w:tc>
          <w:tcPr>
            <w:tcW w:w="6095" w:type="dxa"/>
            <w:gridSpan w:val="7"/>
            <w:tcBorders>
              <w:top w:val="single" w:sz="4" w:space="0" w:color="A6A6A6"/>
              <w:left w:val="single" w:sz="4" w:space="0" w:color="A6A6A6"/>
              <w:bottom w:val="single" w:sz="4" w:space="0" w:color="A6A6A6"/>
              <w:right w:val="single" w:sz="4" w:space="0" w:color="A6A6A6"/>
            </w:tcBorders>
          </w:tcPr>
          <w:p w14:paraId="0C73E039" w14:textId="3D412474" w:rsidR="00250D9E" w:rsidRPr="00250D9E" w:rsidRDefault="00250D9E" w:rsidP="00E32735">
            <w:pPr>
              <w:rPr>
                <w:rFonts w:ascii="Calibri" w:hAnsi="Calibri"/>
                <w:b/>
                <w:bCs/>
                <w:szCs w:val="22"/>
              </w:rPr>
            </w:pPr>
            <w:r>
              <w:rPr>
                <w:rFonts w:ascii="Calibri" w:hAnsi="Calibri"/>
                <w:b/>
                <w:bCs/>
                <w:szCs w:val="22"/>
              </w:rPr>
              <w:t>Highways</w:t>
            </w:r>
          </w:p>
        </w:tc>
      </w:tr>
      <w:tr w:rsidR="00250D9E" w14:paraId="6D5495DF"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53BD82F9" w14:textId="77777777" w:rsidR="00026E4E" w:rsidRDefault="00026E4E" w:rsidP="00E32735">
            <w:pPr>
              <w:rPr>
                <w:rFonts w:ascii="Calibri" w:hAnsi="Calibri"/>
                <w:szCs w:val="22"/>
              </w:rPr>
            </w:pPr>
          </w:p>
          <w:p w14:paraId="11AF0229" w14:textId="009ACB2F" w:rsidR="00250D9E" w:rsidRDefault="004C453A" w:rsidP="00E32735">
            <w:pPr>
              <w:rPr>
                <w:rFonts w:ascii="Calibri" w:hAnsi="Calibri"/>
                <w:szCs w:val="22"/>
              </w:rPr>
            </w:pPr>
            <w:r>
              <w:rPr>
                <w:rFonts w:ascii="Calibri" w:hAnsi="Calibri"/>
                <w:szCs w:val="22"/>
              </w:rPr>
              <w:t xml:space="preserve">Following </w:t>
            </w:r>
            <w:r w:rsidR="00026E4E">
              <w:rPr>
                <w:rFonts w:ascii="Calibri" w:hAnsi="Calibri"/>
                <w:szCs w:val="22"/>
              </w:rPr>
              <w:t>re-consultation,</w:t>
            </w:r>
            <w:r>
              <w:rPr>
                <w:rFonts w:ascii="Calibri" w:hAnsi="Calibri"/>
                <w:szCs w:val="22"/>
              </w:rPr>
              <w:t xml:space="preserve"> the LHA have no objection to the proposal.</w:t>
            </w:r>
          </w:p>
          <w:p w14:paraId="1D269CA8" w14:textId="71958F7F" w:rsidR="00026E4E" w:rsidRDefault="00026E4E" w:rsidP="00E32735">
            <w:pPr>
              <w:rPr>
                <w:rFonts w:ascii="Calibri" w:hAnsi="Calibri"/>
                <w:szCs w:val="22"/>
              </w:rPr>
            </w:pPr>
          </w:p>
        </w:tc>
      </w:tr>
      <w:tr w:rsidR="00965C32" w14:paraId="54937EE4"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3A89D3EA" w14:textId="77777777" w:rsidR="00965C32" w:rsidRDefault="00965C32" w:rsidP="00A01063">
            <w:pPr>
              <w:rPr>
                <w:rFonts w:ascii="Calibri" w:hAnsi="Calibri"/>
                <w:b/>
                <w:szCs w:val="22"/>
              </w:rPr>
            </w:pPr>
            <w:r>
              <w:rPr>
                <w:rFonts w:ascii="Calibri" w:hAnsi="Calibri"/>
                <w:b/>
                <w:szCs w:val="22"/>
              </w:rPr>
              <w:t>Additional Representations:</w:t>
            </w:r>
          </w:p>
        </w:tc>
      </w:tr>
      <w:tr w:rsidR="00965C32" w14:paraId="42AF9EEA"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03141970" w14:textId="6CDA074D" w:rsidR="00965C32" w:rsidRDefault="002D3632" w:rsidP="00A01063">
            <w:pPr>
              <w:pStyle w:val="ListParagraph"/>
              <w:ind w:left="0"/>
              <w:rPr>
                <w:rFonts w:ascii="Calibri" w:hAnsi="Calibri"/>
                <w:szCs w:val="22"/>
              </w:rPr>
            </w:pPr>
            <w:r>
              <w:rPr>
                <w:rFonts w:ascii="Calibri" w:hAnsi="Calibri"/>
                <w:szCs w:val="22"/>
              </w:rPr>
              <w:t>Three</w:t>
            </w:r>
            <w:r w:rsidR="00621C14">
              <w:rPr>
                <w:rFonts w:ascii="Calibri" w:hAnsi="Calibri"/>
                <w:szCs w:val="22"/>
              </w:rPr>
              <w:t xml:space="preserve"> additional representations have been received in objection, citing the following grounds:</w:t>
            </w:r>
          </w:p>
          <w:p w14:paraId="3C3FF783" w14:textId="77777777" w:rsidR="00621C14" w:rsidRDefault="00621C14" w:rsidP="00A01063">
            <w:pPr>
              <w:pStyle w:val="ListParagraph"/>
              <w:ind w:left="0"/>
              <w:rPr>
                <w:rFonts w:ascii="Calibri" w:hAnsi="Calibri"/>
                <w:szCs w:val="22"/>
              </w:rPr>
            </w:pPr>
          </w:p>
          <w:p w14:paraId="6CA60DA1" w14:textId="3965BC9F" w:rsidR="00621C14" w:rsidRDefault="00621C14" w:rsidP="00621C14">
            <w:pPr>
              <w:pStyle w:val="ListParagraph"/>
              <w:numPr>
                <w:ilvl w:val="0"/>
                <w:numId w:val="1"/>
              </w:numPr>
              <w:rPr>
                <w:rFonts w:ascii="Calibri" w:hAnsi="Calibri"/>
                <w:szCs w:val="22"/>
              </w:rPr>
            </w:pPr>
            <w:r>
              <w:rPr>
                <w:rFonts w:ascii="Calibri" w:hAnsi="Calibri"/>
                <w:szCs w:val="22"/>
              </w:rPr>
              <w:t>The detached dwelling would be too prominent, not harmonious and unsympathetic in relation to the character to the existing row of neighbouring cottages. It would be overbearing and out of proportion.</w:t>
            </w:r>
          </w:p>
          <w:p w14:paraId="0F01DF3B" w14:textId="77777777" w:rsidR="00E642AA" w:rsidRDefault="00E642AA" w:rsidP="00E642AA">
            <w:pPr>
              <w:pStyle w:val="ListParagraph"/>
              <w:rPr>
                <w:rFonts w:ascii="Calibri" w:hAnsi="Calibri"/>
                <w:szCs w:val="22"/>
              </w:rPr>
            </w:pPr>
          </w:p>
          <w:p w14:paraId="137774A2" w14:textId="0356F436" w:rsidR="00E642AA" w:rsidRDefault="00E642AA" w:rsidP="00E642AA">
            <w:pPr>
              <w:pStyle w:val="ListParagraph"/>
              <w:numPr>
                <w:ilvl w:val="0"/>
                <w:numId w:val="1"/>
              </w:numPr>
              <w:rPr>
                <w:rFonts w:ascii="Calibri" w:hAnsi="Calibri"/>
                <w:szCs w:val="22"/>
              </w:rPr>
            </w:pPr>
            <w:r w:rsidRPr="00E642AA">
              <w:rPr>
                <w:rFonts w:ascii="Calibri" w:hAnsi="Calibri"/>
                <w:szCs w:val="22"/>
              </w:rPr>
              <w:lastRenderedPageBreak/>
              <w:t xml:space="preserve">The proposed development could have a negative impact upon highway safety, there will be insufficient parking and access to the highway itself will be difficult from the proposed development. </w:t>
            </w:r>
          </w:p>
          <w:p w14:paraId="6466462F" w14:textId="77777777" w:rsidR="002D3632" w:rsidRPr="002D3632" w:rsidRDefault="002D3632" w:rsidP="002D3632">
            <w:pPr>
              <w:pStyle w:val="ListParagraph"/>
              <w:rPr>
                <w:rFonts w:ascii="Calibri" w:hAnsi="Calibri"/>
                <w:szCs w:val="22"/>
              </w:rPr>
            </w:pPr>
          </w:p>
          <w:p w14:paraId="39E36A00" w14:textId="001BD4DE" w:rsidR="002D3632" w:rsidRDefault="002D3632" w:rsidP="00E642AA">
            <w:pPr>
              <w:pStyle w:val="ListParagraph"/>
              <w:numPr>
                <w:ilvl w:val="0"/>
                <w:numId w:val="1"/>
              </w:numPr>
              <w:rPr>
                <w:rFonts w:ascii="Calibri" w:hAnsi="Calibri"/>
                <w:szCs w:val="22"/>
              </w:rPr>
            </w:pPr>
            <w:r>
              <w:rPr>
                <w:rFonts w:ascii="Calibri" w:hAnsi="Calibri"/>
                <w:szCs w:val="22"/>
              </w:rPr>
              <w:t>Land fronting the development is unadopted</w:t>
            </w:r>
            <w:r w:rsidR="00D56403">
              <w:rPr>
                <w:rFonts w:ascii="Calibri" w:hAnsi="Calibri"/>
                <w:szCs w:val="22"/>
              </w:rPr>
              <w:t>.</w:t>
            </w:r>
          </w:p>
          <w:p w14:paraId="5A8C3A91" w14:textId="77777777" w:rsidR="00142C4D" w:rsidRPr="00142C4D" w:rsidRDefault="00142C4D" w:rsidP="00142C4D">
            <w:pPr>
              <w:rPr>
                <w:rFonts w:ascii="Calibri" w:hAnsi="Calibri"/>
                <w:szCs w:val="22"/>
              </w:rPr>
            </w:pPr>
          </w:p>
          <w:p w14:paraId="3977C439" w14:textId="7BEECE90" w:rsidR="00E642AA" w:rsidRPr="00E642AA" w:rsidRDefault="00E642AA" w:rsidP="00E642AA">
            <w:pPr>
              <w:rPr>
                <w:rFonts w:ascii="Calibri" w:hAnsi="Calibri"/>
                <w:szCs w:val="22"/>
              </w:rPr>
            </w:pPr>
          </w:p>
        </w:tc>
      </w:tr>
      <w:tr w:rsidR="00965C32" w14:paraId="7F27D780" w14:textId="77777777" w:rsidTr="00A01063">
        <w:trPr>
          <w:trHeight w:val="170"/>
          <w:jc w:val="center"/>
        </w:trPr>
        <w:tc>
          <w:tcPr>
            <w:tcW w:w="9776" w:type="dxa"/>
            <w:gridSpan w:val="13"/>
            <w:tcBorders>
              <w:top w:val="single" w:sz="4" w:space="0" w:color="A6A6A6"/>
              <w:left w:val="nil"/>
              <w:bottom w:val="single" w:sz="4" w:space="0" w:color="A6A6A6"/>
              <w:right w:val="nil"/>
            </w:tcBorders>
            <w:tcMar>
              <w:top w:w="57" w:type="dxa"/>
              <w:left w:w="108" w:type="dxa"/>
              <w:bottom w:w="57" w:type="dxa"/>
              <w:right w:w="108" w:type="dxa"/>
            </w:tcMar>
          </w:tcPr>
          <w:p w14:paraId="66705989" w14:textId="77777777" w:rsidR="00965C32" w:rsidRDefault="00965C32" w:rsidP="00A01063">
            <w:pPr>
              <w:rPr>
                <w:rFonts w:ascii="Calibri" w:hAnsi="Calibri"/>
                <w:bCs/>
                <w:szCs w:val="22"/>
              </w:rPr>
            </w:pPr>
          </w:p>
        </w:tc>
      </w:tr>
      <w:tr w:rsidR="00965C32" w14:paraId="62F7AF6F"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36833792" w14:textId="77777777" w:rsidR="00965C32" w:rsidRDefault="00965C32" w:rsidP="00A01063">
            <w:pPr>
              <w:rPr>
                <w:rFonts w:ascii="Calibri" w:hAnsi="Calibri"/>
                <w:b/>
                <w:szCs w:val="22"/>
              </w:rPr>
            </w:pPr>
            <w:r>
              <w:rPr>
                <w:rFonts w:ascii="Calibri" w:hAnsi="Calibri"/>
                <w:b/>
                <w:szCs w:val="22"/>
              </w:rPr>
              <w:t>RELEVANT POLICIES AND SITE PLANNING HISTORY:</w:t>
            </w:r>
          </w:p>
        </w:tc>
      </w:tr>
      <w:tr w:rsidR="00965C32" w14:paraId="2154F8CF"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30F8FD41" w14:textId="77777777" w:rsidR="00965C32" w:rsidRDefault="00965C32" w:rsidP="00AB7265">
            <w:pPr>
              <w:rPr>
                <w:rFonts w:ascii="Calibri" w:hAnsi="Calibri"/>
                <w:szCs w:val="22"/>
              </w:rPr>
            </w:pPr>
          </w:p>
          <w:p w14:paraId="54FF1F95" w14:textId="7117D146" w:rsidR="00AB7265" w:rsidRDefault="005B3F8F" w:rsidP="00AB7265">
            <w:pPr>
              <w:rPr>
                <w:rFonts w:ascii="Calibri" w:hAnsi="Calibri"/>
                <w:szCs w:val="22"/>
              </w:rPr>
            </w:pPr>
            <w:r>
              <w:rPr>
                <w:rFonts w:ascii="Calibri" w:hAnsi="Calibri"/>
                <w:szCs w:val="22"/>
              </w:rPr>
              <w:t>Key Statement DS1 – Development Strategy</w:t>
            </w:r>
          </w:p>
          <w:p w14:paraId="39C46BC2" w14:textId="7D9001C8" w:rsidR="005B3F8F" w:rsidRDefault="005B3F8F" w:rsidP="00AB7265">
            <w:pPr>
              <w:rPr>
                <w:rFonts w:ascii="Calibri" w:hAnsi="Calibri"/>
                <w:szCs w:val="22"/>
              </w:rPr>
            </w:pPr>
            <w:r>
              <w:rPr>
                <w:rFonts w:ascii="Calibri" w:hAnsi="Calibri"/>
                <w:szCs w:val="22"/>
              </w:rPr>
              <w:t>Key Statement DS2 – Sustainable Development</w:t>
            </w:r>
          </w:p>
          <w:p w14:paraId="18A146E0" w14:textId="141B778A" w:rsidR="009931C2" w:rsidRDefault="009931C2" w:rsidP="00AB7265">
            <w:pPr>
              <w:rPr>
                <w:rFonts w:ascii="Calibri" w:hAnsi="Calibri"/>
                <w:szCs w:val="22"/>
              </w:rPr>
            </w:pPr>
            <w:r>
              <w:rPr>
                <w:rFonts w:ascii="Calibri" w:hAnsi="Calibri"/>
                <w:szCs w:val="22"/>
              </w:rPr>
              <w:t xml:space="preserve">Key Statement </w:t>
            </w:r>
            <w:r w:rsidR="00E642AA">
              <w:rPr>
                <w:rFonts w:ascii="Calibri" w:hAnsi="Calibri"/>
                <w:szCs w:val="22"/>
              </w:rPr>
              <w:t>EN5 – Heritage Assets</w:t>
            </w:r>
          </w:p>
          <w:p w14:paraId="6867DA56" w14:textId="733007BB" w:rsidR="005B3F8F" w:rsidRDefault="005B3F8F" w:rsidP="00AB7265">
            <w:pPr>
              <w:rPr>
                <w:rFonts w:ascii="Calibri" w:hAnsi="Calibri"/>
                <w:szCs w:val="22"/>
              </w:rPr>
            </w:pPr>
          </w:p>
          <w:p w14:paraId="14A57FC1" w14:textId="5E056066" w:rsidR="005B3F8F" w:rsidRDefault="005B3F8F" w:rsidP="00AB7265">
            <w:pPr>
              <w:rPr>
                <w:rFonts w:ascii="Calibri" w:hAnsi="Calibri"/>
                <w:szCs w:val="22"/>
              </w:rPr>
            </w:pPr>
            <w:r>
              <w:rPr>
                <w:rFonts w:ascii="Calibri" w:hAnsi="Calibri"/>
                <w:szCs w:val="22"/>
              </w:rPr>
              <w:t xml:space="preserve">Policy DMG1 – </w:t>
            </w:r>
            <w:r w:rsidR="009931C2">
              <w:rPr>
                <w:rFonts w:ascii="Calibri" w:hAnsi="Calibri"/>
                <w:szCs w:val="22"/>
              </w:rPr>
              <w:t>General Considerations</w:t>
            </w:r>
          </w:p>
          <w:p w14:paraId="7482F37F" w14:textId="0F501F72" w:rsidR="005B3F8F" w:rsidRDefault="009931C2" w:rsidP="00AB7265">
            <w:pPr>
              <w:rPr>
                <w:rFonts w:ascii="Calibri" w:hAnsi="Calibri"/>
                <w:szCs w:val="22"/>
              </w:rPr>
            </w:pPr>
            <w:r>
              <w:rPr>
                <w:rFonts w:ascii="Calibri" w:hAnsi="Calibri"/>
                <w:szCs w:val="22"/>
              </w:rPr>
              <w:t>Policy DMG2 – Strategic Considerations</w:t>
            </w:r>
          </w:p>
          <w:p w14:paraId="0FD30B98" w14:textId="575CB979" w:rsidR="009931C2" w:rsidRDefault="009931C2" w:rsidP="00AB7265">
            <w:pPr>
              <w:rPr>
                <w:rFonts w:ascii="Calibri" w:hAnsi="Calibri"/>
                <w:szCs w:val="22"/>
              </w:rPr>
            </w:pPr>
            <w:r>
              <w:rPr>
                <w:rFonts w:ascii="Calibri" w:hAnsi="Calibri"/>
                <w:szCs w:val="22"/>
              </w:rPr>
              <w:t>Policy DMG3 – Transport and Mobility</w:t>
            </w:r>
          </w:p>
          <w:p w14:paraId="1B443BAA" w14:textId="6FA08EB7" w:rsidR="009931C2" w:rsidRDefault="009931C2" w:rsidP="00AB7265">
            <w:pPr>
              <w:rPr>
                <w:rFonts w:ascii="Calibri" w:hAnsi="Calibri"/>
                <w:szCs w:val="22"/>
              </w:rPr>
            </w:pPr>
            <w:r>
              <w:rPr>
                <w:rFonts w:ascii="Calibri" w:hAnsi="Calibri"/>
                <w:szCs w:val="22"/>
              </w:rPr>
              <w:t>Policy DME4 – Protecting Heritage Assets</w:t>
            </w:r>
          </w:p>
          <w:p w14:paraId="24A9DCAC" w14:textId="77777777" w:rsidR="009931C2" w:rsidRDefault="009931C2" w:rsidP="00AB7265">
            <w:pPr>
              <w:rPr>
                <w:rFonts w:ascii="Calibri" w:hAnsi="Calibri"/>
                <w:szCs w:val="22"/>
              </w:rPr>
            </w:pPr>
          </w:p>
          <w:p w14:paraId="02040AEC" w14:textId="1B23EA0E" w:rsidR="00AB7265" w:rsidRDefault="00E642AA" w:rsidP="00AB7265">
            <w:pPr>
              <w:rPr>
                <w:rFonts w:ascii="Calibri" w:hAnsi="Calibri"/>
                <w:szCs w:val="22"/>
              </w:rPr>
            </w:pPr>
            <w:r>
              <w:rPr>
                <w:rFonts w:ascii="Calibri" w:hAnsi="Calibri"/>
                <w:b/>
                <w:bCs/>
                <w:szCs w:val="22"/>
              </w:rPr>
              <w:t>National Planning Policy Framework (NPPF)</w:t>
            </w:r>
          </w:p>
          <w:p w14:paraId="23EB9F8F" w14:textId="65798584" w:rsidR="00AB7265" w:rsidRDefault="00AB7265" w:rsidP="00AB7265">
            <w:pPr>
              <w:rPr>
                <w:rFonts w:ascii="Calibri" w:hAnsi="Calibri"/>
                <w:szCs w:val="22"/>
              </w:rPr>
            </w:pPr>
          </w:p>
        </w:tc>
      </w:tr>
      <w:tr w:rsidR="00965C32" w14:paraId="63C778AB"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53D9D818" w14:textId="0976DFB5" w:rsidR="00965C32" w:rsidRDefault="00965C32" w:rsidP="00A01063">
            <w:pPr>
              <w:pStyle w:val="PLANNING"/>
              <w:rPr>
                <w:rFonts w:asciiTheme="minorHAnsi" w:hAnsiTheme="minorHAnsi" w:cstheme="minorHAnsi"/>
                <w:b/>
                <w:bCs/>
                <w:szCs w:val="22"/>
              </w:rPr>
            </w:pPr>
            <w:r w:rsidRPr="00AA4D0C">
              <w:rPr>
                <w:rFonts w:asciiTheme="minorHAnsi" w:hAnsiTheme="minorHAnsi" w:cstheme="minorHAnsi"/>
                <w:b/>
                <w:bCs/>
                <w:szCs w:val="22"/>
              </w:rPr>
              <w:t>Relevant Planning History:</w:t>
            </w:r>
          </w:p>
          <w:p w14:paraId="3070CBF7" w14:textId="77777777" w:rsidR="00E642AA" w:rsidRPr="00AA4D0C" w:rsidRDefault="00E642AA" w:rsidP="00A01063">
            <w:pPr>
              <w:pStyle w:val="PLANNING"/>
              <w:rPr>
                <w:rFonts w:asciiTheme="minorHAnsi" w:hAnsiTheme="minorHAnsi" w:cstheme="minorHAnsi"/>
                <w:b/>
                <w:bCs/>
                <w:szCs w:val="22"/>
              </w:rPr>
            </w:pPr>
          </w:p>
          <w:p w14:paraId="74FD0CA3" w14:textId="77777777" w:rsidR="00965C32" w:rsidRDefault="00E642AA" w:rsidP="00965C32">
            <w:pPr>
              <w:pStyle w:val="PLANNING"/>
              <w:rPr>
                <w:rFonts w:asciiTheme="minorHAnsi" w:hAnsiTheme="minorHAnsi" w:cstheme="minorHAnsi"/>
                <w:szCs w:val="22"/>
              </w:rPr>
            </w:pPr>
            <w:r w:rsidRPr="00E642AA">
              <w:rPr>
                <w:rFonts w:asciiTheme="minorHAnsi" w:hAnsiTheme="minorHAnsi" w:cstheme="minorHAnsi"/>
                <w:b/>
                <w:bCs/>
                <w:szCs w:val="22"/>
              </w:rPr>
              <w:t xml:space="preserve">3/2018/1116 </w:t>
            </w:r>
            <w:r w:rsidRPr="00E642AA">
              <w:rPr>
                <w:rFonts w:asciiTheme="minorHAnsi" w:hAnsiTheme="minorHAnsi" w:cstheme="minorHAnsi"/>
                <w:szCs w:val="22"/>
              </w:rPr>
              <w:t>- Proposed construction of a new 5-bedroom dwelling within the curtilage of 98 Ribchester Road, following the demolition of existing stone building. Approved with Conditions.</w:t>
            </w:r>
          </w:p>
          <w:p w14:paraId="43425BC5" w14:textId="7DE5D3D8" w:rsidR="00004A14" w:rsidRPr="00AA4D0C" w:rsidRDefault="00004A14" w:rsidP="00965C32">
            <w:pPr>
              <w:pStyle w:val="PLANNING"/>
              <w:rPr>
                <w:rFonts w:asciiTheme="minorHAnsi" w:hAnsiTheme="minorHAnsi" w:cstheme="minorHAnsi"/>
                <w:szCs w:val="22"/>
              </w:rPr>
            </w:pPr>
          </w:p>
        </w:tc>
      </w:tr>
      <w:tr w:rsidR="00965C32" w14:paraId="5533AF8D" w14:textId="77777777" w:rsidTr="00A01063">
        <w:trPr>
          <w:trHeight w:val="170"/>
          <w:jc w:val="center"/>
        </w:trPr>
        <w:tc>
          <w:tcPr>
            <w:tcW w:w="9776" w:type="dxa"/>
            <w:gridSpan w:val="13"/>
            <w:tcBorders>
              <w:top w:val="single" w:sz="4" w:space="0" w:color="A6A6A6"/>
              <w:left w:val="nil"/>
              <w:bottom w:val="single" w:sz="4" w:space="0" w:color="A6A6A6"/>
              <w:right w:val="nil"/>
            </w:tcBorders>
            <w:tcMar>
              <w:top w:w="57" w:type="dxa"/>
              <w:left w:w="108" w:type="dxa"/>
              <w:bottom w:w="57" w:type="dxa"/>
              <w:right w:w="108" w:type="dxa"/>
            </w:tcMar>
          </w:tcPr>
          <w:p w14:paraId="766D2BBC" w14:textId="77777777" w:rsidR="00965C32" w:rsidRDefault="00965C32" w:rsidP="00A01063">
            <w:pPr>
              <w:pStyle w:val="PLANNING"/>
              <w:rPr>
                <w:rFonts w:ascii="Calibri" w:hAnsi="Calibri"/>
                <w:b/>
                <w:bCs/>
                <w:szCs w:val="22"/>
              </w:rPr>
            </w:pPr>
          </w:p>
        </w:tc>
      </w:tr>
      <w:tr w:rsidR="00965C32" w14:paraId="20AA4AE6"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3AE28F90" w14:textId="77777777" w:rsidR="00965C32" w:rsidRDefault="00965C32" w:rsidP="00A01063">
            <w:pPr>
              <w:rPr>
                <w:rFonts w:ascii="Calibri" w:hAnsi="Calibri"/>
                <w:b/>
                <w:szCs w:val="22"/>
              </w:rPr>
            </w:pPr>
            <w:r>
              <w:rPr>
                <w:rFonts w:ascii="Calibri" w:hAnsi="Calibri"/>
                <w:b/>
                <w:bCs/>
                <w:szCs w:val="22"/>
              </w:rPr>
              <w:t>ASSESSMENT OF PROPOSED DEVELOPMENT:</w:t>
            </w:r>
          </w:p>
        </w:tc>
      </w:tr>
      <w:tr w:rsidR="00965C32" w:rsidRPr="005F2E8D" w14:paraId="2B4EEAE6"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40082D40" w14:textId="0DDA8837" w:rsidR="00965C32" w:rsidRDefault="00965C32" w:rsidP="00A01063">
            <w:pPr>
              <w:pStyle w:val="Header"/>
              <w:tabs>
                <w:tab w:val="left" w:pos="720"/>
              </w:tabs>
              <w:jc w:val="both"/>
              <w:rPr>
                <w:rFonts w:ascii="Calibri" w:hAnsi="Calibri"/>
                <w:b/>
                <w:szCs w:val="22"/>
              </w:rPr>
            </w:pPr>
            <w:r>
              <w:rPr>
                <w:rFonts w:ascii="Calibri" w:hAnsi="Calibri"/>
                <w:b/>
                <w:szCs w:val="22"/>
              </w:rPr>
              <w:t>Site Description and Surrounding Area:</w:t>
            </w:r>
          </w:p>
          <w:p w14:paraId="13A85929" w14:textId="3C712FB2" w:rsidR="00633164" w:rsidRDefault="00633164" w:rsidP="00A01063">
            <w:pPr>
              <w:pStyle w:val="Header"/>
              <w:tabs>
                <w:tab w:val="left" w:pos="720"/>
              </w:tabs>
              <w:jc w:val="both"/>
              <w:rPr>
                <w:rFonts w:ascii="Calibri" w:hAnsi="Calibri"/>
                <w:b/>
                <w:szCs w:val="22"/>
              </w:rPr>
            </w:pPr>
          </w:p>
          <w:p w14:paraId="5D3F832C" w14:textId="0719CA38" w:rsidR="00633164" w:rsidRPr="00633164" w:rsidRDefault="00633164" w:rsidP="00A01063">
            <w:pPr>
              <w:pStyle w:val="Header"/>
              <w:tabs>
                <w:tab w:val="left" w:pos="720"/>
              </w:tabs>
              <w:jc w:val="both"/>
              <w:rPr>
                <w:rFonts w:ascii="Calibri" w:hAnsi="Calibri"/>
                <w:bCs/>
                <w:szCs w:val="22"/>
              </w:rPr>
            </w:pPr>
            <w:r>
              <w:rPr>
                <w:rFonts w:ascii="Calibri" w:hAnsi="Calibri"/>
                <w:bCs/>
                <w:szCs w:val="22"/>
              </w:rPr>
              <w:t xml:space="preserve">The application relates to a plot of land within the settlement boundary of Wilpshire. The site location features a currently vacant parcel of land with a now redundant random stone outbuilding affronting the highway </w:t>
            </w:r>
            <w:r w:rsidR="00184167">
              <w:rPr>
                <w:rFonts w:ascii="Calibri" w:hAnsi="Calibri"/>
                <w:bCs/>
                <w:szCs w:val="22"/>
              </w:rPr>
              <w:t xml:space="preserve">known as Ribchester Road, also </w:t>
            </w:r>
            <w:r>
              <w:rPr>
                <w:rFonts w:ascii="Calibri" w:hAnsi="Calibri"/>
                <w:bCs/>
                <w:szCs w:val="22"/>
              </w:rPr>
              <w:t>adjoining an existing row of cottages to the east. Th</w:t>
            </w:r>
            <w:r w:rsidR="00184167">
              <w:rPr>
                <w:rFonts w:ascii="Calibri" w:hAnsi="Calibri"/>
                <w:bCs/>
                <w:szCs w:val="22"/>
              </w:rPr>
              <w:t>is aside the surrounding area is predominantly residential, characterised by various forms of ribbon development along Ribchester Road featuring detached and semi-detached properties of mixed design and material typology</w:t>
            </w:r>
            <w:r w:rsidR="00EF7147">
              <w:rPr>
                <w:rFonts w:ascii="Calibri" w:hAnsi="Calibri"/>
                <w:bCs/>
                <w:szCs w:val="22"/>
              </w:rPr>
              <w:t>, with the area north of the site location designated as Green Belt.</w:t>
            </w:r>
          </w:p>
          <w:p w14:paraId="084A73F3" w14:textId="77777777" w:rsidR="00965C32" w:rsidRPr="005F2E8D" w:rsidRDefault="00965C32" w:rsidP="00004A14">
            <w:pPr>
              <w:pStyle w:val="Header"/>
              <w:tabs>
                <w:tab w:val="left" w:pos="720"/>
              </w:tabs>
              <w:jc w:val="both"/>
              <w:rPr>
                <w:rFonts w:ascii="Calibri" w:hAnsi="Calibri"/>
                <w:b/>
                <w:szCs w:val="22"/>
              </w:rPr>
            </w:pPr>
          </w:p>
        </w:tc>
      </w:tr>
      <w:tr w:rsidR="00965C32" w14:paraId="1252E616"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0D96472F" w14:textId="77777777" w:rsidR="00965C32" w:rsidRDefault="00965C32" w:rsidP="00A01063">
            <w:pPr>
              <w:pStyle w:val="Header"/>
              <w:tabs>
                <w:tab w:val="left" w:pos="720"/>
              </w:tabs>
              <w:jc w:val="both"/>
              <w:rPr>
                <w:rFonts w:ascii="Calibri" w:hAnsi="Calibri"/>
                <w:b/>
                <w:szCs w:val="22"/>
              </w:rPr>
            </w:pPr>
            <w:r>
              <w:rPr>
                <w:rFonts w:ascii="Calibri" w:hAnsi="Calibri"/>
                <w:b/>
                <w:szCs w:val="22"/>
              </w:rPr>
              <w:t>Proposed Development for which consent is sought:</w:t>
            </w:r>
          </w:p>
          <w:p w14:paraId="59359071" w14:textId="77777777" w:rsidR="00965C32" w:rsidRDefault="00965C32" w:rsidP="00A01063">
            <w:pPr>
              <w:pStyle w:val="Header"/>
              <w:tabs>
                <w:tab w:val="left" w:pos="720"/>
              </w:tabs>
              <w:jc w:val="both"/>
              <w:rPr>
                <w:rFonts w:ascii="Calibri" w:hAnsi="Calibri"/>
                <w:szCs w:val="22"/>
              </w:rPr>
            </w:pPr>
          </w:p>
          <w:p w14:paraId="3EE7EABF" w14:textId="0B242800" w:rsidR="00CD6EE9" w:rsidRDefault="00E642AA" w:rsidP="00E642AA">
            <w:pPr>
              <w:pStyle w:val="Header"/>
              <w:tabs>
                <w:tab w:val="left" w:pos="720"/>
              </w:tabs>
              <w:jc w:val="both"/>
              <w:rPr>
                <w:rFonts w:ascii="Calibri" w:hAnsi="Calibri"/>
                <w:szCs w:val="22"/>
              </w:rPr>
            </w:pPr>
            <w:r w:rsidRPr="00E642AA">
              <w:rPr>
                <w:rFonts w:ascii="Calibri" w:hAnsi="Calibri"/>
                <w:szCs w:val="22"/>
              </w:rPr>
              <w:t xml:space="preserve">Consent is sought for the </w:t>
            </w:r>
            <w:r w:rsidR="00004A14">
              <w:rPr>
                <w:rFonts w:ascii="Calibri" w:hAnsi="Calibri"/>
                <w:szCs w:val="22"/>
              </w:rPr>
              <w:t xml:space="preserve">demolition of an existing outbuilding and </w:t>
            </w:r>
            <w:r w:rsidRPr="00E642AA">
              <w:rPr>
                <w:rFonts w:ascii="Calibri" w:hAnsi="Calibri"/>
                <w:szCs w:val="22"/>
              </w:rPr>
              <w:t>erection of a detached dwelling house in the grounds of 94 Ribchester Road, Clayton-Le-Dale. At this stage all matters of access, appearance, layout, scale and landscaping are held in abeyance, later addressed at reserved matters stage. Consequently, the application seeks approval for the principle of development only</w:t>
            </w:r>
            <w:r w:rsidR="00004A14">
              <w:rPr>
                <w:rFonts w:ascii="Calibri" w:hAnsi="Calibri"/>
                <w:szCs w:val="22"/>
              </w:rPr>
              <w:t xml:space="preserve"> regarding the proposed demolition and siting of a dwelling at this location</w:t>
            </w:r>
            <w:r w:rsidRPr="00E642AA">
              <w:rPr>
                <w:rFonts w:ascii="Calibri" w:hAnsi="Calibri"/>
                <w:szCs w:val="22"/>
              </w:rPr>
              <w:t>.</w:t>
            </w:r>
          </w:p>
          <w:p w14:paraId="69EBB385" w14:textId="284D7756" w:rsidR="00E642AA" w:rsidRDefault="00E642AA" w:rsidP="00E642AA">
            <w:pPr>
              <w:pStyle w:val="Header"/>
              <w:tabs>
                <w:tab w:val="left" w:pos="720"/>
              </w:tabs>
              <w:jc w:val="both"/>
              <w:rPr>
                <w:rFonts w:ascii="Calibri" w:hAnsi="Calibri"/>
                <w:szCs w:val="22"/>
              </w:rPr>
            </w:pPr>
          </w:p>
        </w:tc>
      </w:tr>
      <w:tr w:rsidR="00486F1E" w14:paraId="4ADC7547"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2D67985E" w14:textId="77777777" w:rsidR="00486F1E" w:rsidRDefault="00486F1E" w:rsidP="00486F1E">
            <w:pPr>
              <w:pStyle w:val="Header"/>
              <w:tabs>
                <w:tab w:val="left" w:pos="720"/>
              </w:tabs>
              <w:jc w:val="both"/>
              <w:rPr>
                <w:rFonts w:ascii="Calibri" w:hAnsi="Calibri"/>
                <w:b/>
                <w:szCs w:val="22"/>
              </w:rPr>
            </w:pPr>
            <w:r>
              <w:rPr>
                <w:rFonts w:ascii="Calibri" w:hAnsi="Calibri"/>
                <w:b/>
                <w:szCs w:val="22"/>
              </w:rPr>
              <w:t>Principle of Development</w:t>
            </w:r>
          </w:p>
          <w:p w14:paraId="7A4D0AD6" w14:textId="77777777" w:rsidR="00486F1E" w:rsidRDefault="00486F1E" w:rsidP="00486F1E">
            <w:pPr>
              <w:pStyle w:val="Header"/>
              <w:tabs>
                <w:tab w:val="left" w:pos="720"/>
              </w:tabs>
              <w:jc w:val="both"/>
              <w:rPr>
                <w:rFonts w:ascii="Calibri" w:hAnsi="Calibri"/>
                <w:b/>
                <w:szCs w:val="22"/>
              </w:rPr>
            </w:pPr>
          </w:p>
          <w:p w14:paraId="78A5B8E3" w14:textId="77777777" w:rsidR="00486F1E" w:rsidRPr="00E642AA" w:rsidRDefault="00486F1E" w:rsidP="00486F1E">
            <w:pPr>
              <w:pStyle w:val="Header"/>
              <w:tabs>
                <w:tab w:val="left" w:pos="720"/>
              </w:tabs>
              <w:jc w:val="both"/>
              <w:rPr>
                <w:rFonts w:ascii="Calibri" w:hAnsi="Calibri"/>
                <w:bCs/>
                <w:szCs w:val="22"/>
              </w:rPr>
            </w:pPr>
            <w:r w:rsidRPr="00E642AA">
              <w:rPr>
                <w:rFonts w:ascii="Calibri" w:hAnsi="Calibri"/>
                <w:bCs/>
                <w:szCs w:val="22"/>
              </w:rPr>
              <w:lastRenderedPageBreak/>
              <w:t>The principle of development for a detached dwelling on this site was previously established through a consent under planning reference: 3/2018/1116 which lapsed in April 2022 as a result of the expiration of three years from the original date of consent. Following the expiration of this consent the principle of development must now be re-assessed using the existing Local Development Framework and associated national policy, including the</w:t>
            </w:r>
            <w:r>
              <w:rPr>
                <w:rFonts w:ascii="Calibri" w:hAnsi="Calibri"/>
                <w:bCs/>
                <w:szCs w:val="22"/>
              </w:rPr>
              <w:t xml:space="preserve"> updated</w:t>
            </w:r>
            <w:r w:rsidRPr="00E642AA">
              <w:rPr>
                <w:rFonts w:ascii="Calibri" w:hAnsi="Calibri"/>
                <w:bCs/>
                <w:szCs w:val="22"/>
              </w:rPr>
              <w:t xml:space="preserve"> National Planning Policy Framework.</w:t>
            </w:r>
          </w:p>
          <w:p w14:paraId="08B2D421" w14:textId="77777777" w:rsidR="00486F1E" w:rsidRPr="00E642AA" w:rsidRDefault="00486F1E" w:rsidP="00486F1E">
            <w:pPr>
              <w:pStyle w:val="Header"/>
              <w:tabs>
                <w:tab w:val="left" w:pos="720"/>
              </w:tabs>
              <w:jc w:val="both"/>
              <w:rPr>
                <w:rFonts w:ascii="Calibri" w:hAnsi="Calibri"/>
                <w:bCs/>
                <w:szCs w:val="22"/>
              </w:rPr>
            </w:pPr>
          </w:p>
          <w:p w14:paraId="194CD5B8" w14:textId="38F6F239" w:rsidR="00486F1E" w:rsidRPr="00E642AA" w:rsidRDefault="00486F1E" w:rsidP="00486F1E">
            <w:pPr>
              <w:pStyle w:val="Header"/>
              <w:tabs>
                <w:tab w:val="left" w:pos="720"/>
              </w:tabs>
              <w:jc w:val="both"/>
              <w:rPr>
                <w:rFonts w:ascii="Calibri" w:hAnsi="Calibri"/>
                <w:bCs/>
                <w:szCs w:val="22"/>
              </w:rPr>
            </w:pPr>
            <w:r w:rsidRPr="00E642AA">
              <w:rPr>
                <w:rFonts w:ascii="Calibri" w:hAnsi="Calibri"/>
                <w:bCs/>
                <w:szCs w:val="22"/>
              </w:rPr>
              <w:t>The Ribble Valley Core Strategy seeks to direct development involving the introduction of new dwellings to those locations to which it is deemed most sustainable. Primarily this includes the principal settlements of Clitheroe, Longridge and Whalley. Elsewhere, housing development is managed to reflect existing population size, the availability of services and the extent to which new development can be accommodated in the area using a tiered settlement approach as demonstrated within Key Statement DS1 of the Ribble Valley Core Strategy (RVCS).</w:t>
            </w:r>
            <w:r w:rsidR="0041349D">
              <w:rPr>
                <w:rFonts w:ascii="Calibri" w:hAnsi="Calibri"/>
                <w:bCs/>
                <w:szCs w:val="22"/>
              </w:rPr>
              <w:t xml:space="preserve"> </w:t>
            </w:r>
            <w:r w:rsidRPr="00E642AA">
              <w:rPr>
                <w:rFonts w:ascii="Calibri" w:hAnsi="Calibri"/>
                <w:bCs/>
                <w:szCs w:val="22"/>
              </w:rPr>
              <w:t>As a mechanism for directing development in accordance with the development strategy outlined above, policy DMG2 sets out the criteria which any development must meet depending on the site location relative to the settlement boundaries as adopted within the Housing and Economic Development, Development Plan Document. It states:</w:t>
            </w:r>
          </w:p>
          <w:p w14:paraId="33AFAB71" w14:textId="77777777" w:rsidR="00486F1E" w:rsidRDefault="00486F1E" w:rsidP="00486F1E">
            <w:pPr>
              <w:pStyle w:val="Header"/>
              <w:tabs>
                <w:tab w:val="left" w:pos="720"/>
              </w:tabs>
              <w:jc w:val="both"/>
              <w:rPr>
                <w:rFonts w:ascii="Calibri" w:hAnsi="Calibri"/>
                <w:bCs/>
                <w:szCs w:val="22"/>
              </w:rPr>
            </w:pPr>
          </w:p>
          <w:p w14:paraId="7550DF58" w14:textId="77777777" w:rsidR="00486F1E" w:rsidRPr="003D6708" w:rsidRDefault="00486F1E" w:rsidP="003D6708">
            <w:pPr>
              <w:pStyle w:val="Header"/>
              <w:tabs>
                <w:tab w:val="left" w:pos="720"/>
              </w:tabs>
              <w:ind w:left="597" w:right="880"/>
              <w:jc w:val="both"/>
              <w:rPr>
                <w:rFonts w:ascii="Calibri" w:hAnsi="Calibri"/>
                <w:bCs/>
                <w:i/>
                <w:iCs/>
                <w:szCs w:val="22"/>
              </w:rPr>
            </w:pPr>
            <w:r w:rsidRPr="003D6708">
              <w:rPr>
                <w:rFonts w:ascii="Calibri" w:hAnsi="Calibri"/>
                <w:bCs/>
                <w:i/>
                <w:iCs/>
                <w:szCs w:val="22"/>
              </w:rPr>
              <w:t>‘Development proposals in the principal settlements of Clitheroe, Longridge and Whalley and the tier 1 villages should consolidate, expand or round off development so that it is closely related to the main built-up areas, ensuring this is appropriate to the scale of, and in keeping with, the existing settlement.’</w:t>
            </w:r>
          </w:p>
          <w:p w14:paraId="3A95363E" w14:textId="77777777" w:rsidR="00486F1E" w:rsidRPr="00E642AA" w:rsidRDefault="00486F1E" w:rsidP="00486F1E">
            <w:pPr>
              <w:pStyle w:val="Header"/>
              <w:tabs>
                <w:tab w:val="left" w:pos="720"/>
              </w:tabs>
              <w:jc w:val="both"/>
              <w:rPr>
                <w:rFonts w:ascii="Calibri" w:hAnsi="Calibri"/>
                <w:bCs/>
                <w:szCs w:val="22"/>
              </w:rPr>
            </w:pPr>
          </w:p>
          <w:p w14:paraId="094ECB5C" w14:textId="5FDD9E56" w:rsidR="00486F1E" w:rsidRPr="00E642AA" w:rsidRDefault="00486F1E" w:rsidP="00486F1E">
            <w:pPr>
              <w:pStyle w:val="Header"/>
              <w:tabs>
                <w:tab w:val="left" w:pos="720"/>
              </w:tabs>
              <w:jc w:val="both"/>
              <w:rPr>
                <w:rFonts w:ascii="Calibri" w:hAnsi="Calibri"/>
                <w:bCs/>
                <w:szCs w:val="22"/>
              </w:rPr>
            </w:pPr>
            <w:r w:rsidRPr="00E642AA">
              <w:rPr>
                <w:rFonts w:ascii="Calibri" w:hAnsi="Calibri"/>
                <w:bCs/>
                <w:szCs w:val="22"/>
              </w:rPr>
              <w:t xml:space="preserve">The location of the proposed development falls within the settlement boundary of Wilpshire, one of nine settlements described as the ‘most sustainable’ within the RVCS and classed as a tier one settlement. The site location is adjacent to Ribchester Road, with the surrounding area characterised by ribbon development to which the proposed dwelling would </w:t>
            </w:r>
            <w:r w:rsidR="00184167">
              <w:rPr>
                <w:rFonts w:ascii="Calibri" w:hAnsi="Calibri"/>
                <w:bCs/>
                <w:szCs w:val="22"/>
              </w:rPr>
              <w:t xml:space="preserve">closely </w:t>
            </w:r>
            <w:r w:rsidRPr="00E642AA">
              <w:rPr>
                <w:rFonts w:ascii="Calibri" w:hAnsi="Calibri"/>
                <w:bCs/>
                <w:szCs w:val="22"/>
              </w:rPr>
              <w:t>relate.</w:t>
            </w:r>
          </w:p>
          <w:p w14:paraId="2EDC2BF0" w14:textId="77777777" w:rsidR="00486F1E" w:rsidRPr="00E642AA" w:rsidRDefault="00486F1E" w:rsidP="00486F1E">
            <w:pPr>
              <w:pStyle w:val="Header"/>
              <w:tabs>
                <w:tab w:val="left" w:pos="720"/>
              </w:tabs>
              <w:jc w:val="both"/>
              <w:rPr>
                <w:rFonts w:ascii="Calibri" w:hAnsi="Calibri"/>
                <w:bCs/>
                <w:szCs w:val="22"/>
              </w:rPr>
            </w:pPr>
          </w:p>
          <w:p w14:paraId="4F8E73C6" w14:textId="7E653B7F" w:rsidR="00486F1E" w:rsidRDefault="00486F1E" w:rsidP="00486F1E">
            <w:pPr>
              <w:pStyle w:val="Header"/>
              <w:tabs>
                <w:tab w:val="left" w:pos="720"/>
              </w:tabs>
              <w:jc w:val="both"/>
              <w:rPr>
                <w:rFonts w:ascii="Calibri" w:hAnsi="Calibri"/>
                <w:bCs/>
                <w:szCs w:val="22"/>
              </w:rPr>
            </w:pPr>
            <w:r w:rsidRPr="00E642AA">
              <w:rPr>
                <w:rFonts w:ascii="Calibri" w:hAnsi="Calibri"/>
                <w:bCs/>
                <w:szCs w:val="22"/>
              </w:rPr>
              <w:t xml:space="preserve">In view of the above it is considered that the principle of residential development on this site complies with national planning policy and Key Statements DS1, DS2 and policy DMG2 of the Core Strategy insofar as that the site location </w:t>
            </w:r>
            <w:r w:rsidR="00184167">
              <w:rPr>
                <w:rFonts w:ascii="Calibri" w:hAnsi="Calibri"/>
                <w:bCs/>
                <w:szCs w:val="22"/>
              </w:rPr>
              <w:t>falls</w:t>
            </w:r>
            <w:r w:rsidRPr="00E642AA">
              <w:rPr>
                <w:rFonts w:ascii="Calibri" w:hAnsi="Calibri"/>
                <w:bCs/>
                <w:szCs w:val="22"/>
              </w:rPr>
              <w:t xml:space="preserve"> within an identified settlement and would be closely related to an existing built-up area</w:t>
            </w:r>
            <w:r w:rsidR="0041349D">
              <w:rPr>
                <w:rFonts w:ascii="Calibri" w:hAnsi="Calibri"/>
                <w:bCs/>
                <w:szCs w:val="22"/>
              </w:rPr>
              <w:t>. The principle of a dwelling at this location is therefore accepted.</w:t>
            </w:r>
          </w:p>
          <w:p w14:paraId="3992ABFA" w14:textId="77777777" w:rsidR="00486F1E" w:rsidRDefault="00486F1E" w:rsidP="00486F1E">
            <w:pPr>
              <w:pStyle w:val="Header"/>
              <w:tabs>
                <w:tab w:val="left" w:pos="720"/>
              </w:tabs>
              <w:jc w:val="both"/>
              <w:rPr>
                <w:rFonts w:ascii="Calibri" w:hAnsi="Calibri"/>
                <w:b/>
                <w:szCs w:val="22"/>
              </w:rPr>
            </w:pPr>
          </w:p>
        </w:tc>
      </w:tr>
      <w:tr w:rsidR="00486F1E" w14:paraId="319DC384"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7F653625" w14:textId="77777777" w:rsidR="00486F1E" w:rsidRDefault="003C164D" w:rsidP="00486F1E">
            <w:pPr>
              <w:pStyle w:val="Header"/>
              <w:tabs>
                <w:tab w:val="left" w:pos="720"/>
              </w:tabs>
              <w:jc w:val="both"/>
              <w:rPr>
                <w:rFonts w:ascii="Calibri" w:hAnsi="Calibri"/>
                <w:b/>
                <w:szCs w:val="22"/>
              </w:rPr>
            </w:pPr>
            <w:r>
              <w:rPr>
                <w:rFonts w:ascii="Calibri" w:hAnsi="Calibri"/>
                <w:b/>
                <w:szCs w:val="22"/>
              </w:rPr>
              <w:lastRenderedPageBreak/>
              <w:t>Heritage</w:t>
            </w:r>
          </w:p>
          <w:p w14:paraId="37A6359F" w14:textId="77777777" w:rsidR="003C164D" w:rsidRDefault="003C164D" w:rsidP="00486F1E">
            <w:pPr>
              <w:pStyle w:val="Header"/>
              <w:tabs>
                <w:tab w:val="left" w:pos="720"/>
              </w:tabs>
              <w:jc w:val="both"/>
              <w:rPr>
                <w:rFonts w:ascii="Calibri" w:hAnsi="Calibri"/>
                <w:b/>
                <w:szCs w:val="22"/>
              </w:rPr>
            </w:pPr>
          </w:p>
          <w:p w14:paraId="0BD16BFE" w14:textId="61C0EAFB" w:rsidR="003476D8" w:rsidRDefault="003C164D" w:rsidP="00B2709D">
            <w:pPr>
              <w:pStyle w:val="Header"/>
              <w:tabs>
                <w:tab w:val="left" w:pos="720"/>
              </w:tabs>
              <w:jc w:val="both"/>
              <w:rPr>
                <w:rFonts w:ascii="Calibri" w:hAnsi="Calibri"/>
                <w:bCs/>
                <w:szCs w:val="22"/>
              </w:rPr>
            </w:pPr>
            <w:r>
              <w:rPr>
                <w:rFonts w:ascii="Calibri" w:hAnsi="Calibri"/>
                <w:bCs/>
                <w:szCs w:val="22"/>
              </w:rPr>
              <w:t xml:space="preserve">The application has been </w:t>
            </w:r>
            <w:r w:rsidR="00184167">
              <w:rPr>
                <w:rFonts w:ascii="Calibri" w:hAnsi="Calibri"/>
                <w:bCs/>
                <w:szCs w:val="22"/>
              </w:rPr>
              <w:t xml:space="preserve">subject to amendments and now proposes </w:t>
            </w:r>
            <w:r>
              <w:rPr>
                <w:rFonts w:ascii="Calibri" w:hAnsi="Calibri"/>
                <w:bCs/>
                <w:szCs w:val="22"/>
              </w:rPr>
              <w:t>the demolition of an existing outbuilding on this site</w:t>
            </w:r>
            <w:r w:rsidR="00184167">
              <w:rPr>
                <w:rFonts w:ascii="Calibri" w:hAnsi="Calibri"/>
                <w:bCs/>
                <w:szCs w:val="22"/>
              </w:rPr>
              <w:t xml:space="preserve"> as part of the development</w:t>
            </w:r>
            <w:r>
              <w:rPr>
                <w:rFonts w:ascii="Calibri" w:hAnsi="Calibri"/>
                <w:bCs/>
                <w:szCs w:val="22"/>
              </w:rPr>
              <w:t>. This outbuilding has previously been identified as a non-designated heritage asset as part of the previous planning consent on this site (3/2018/1116)</w:t>
            </w:r>
            <w:r w:rsidR="003476D8">
              <w:rPr>
                <w:rFonts w:ascii="Calibri" w:hAnsi="Calibri"/>
                <w:bCs/>
                <w:szCs w:val="22"/>
              </w:rPr>
              <w:t xml:space="preserve"> </w:t>
            </w:r>
            <w:r w:rsidR="005C115D">
              <w:rPr>
                <w:rFonts w:ascii="Calibri" w:hAnsi="Calibri"/>
                <w:bCs/>
                <w:szCs w:val="22"/>
              </w:rPr>
              <w:t>where the demolition of the same structure was approved.</w:t>
            </w:r>
          </w:p>
          <w:p w14:paraId="1DD6234E" w14:textId="77777777" w:rsidR="00CC4C95" w:rsidRDefault="00CC4C95" w:rsidP="00B2709D">
            <w:pPr>
              <w:pStyle w:val="Header"/>
              <w:tabs>
                <w:tab w:val="left" w:pos="720"/>
              </w:tabs>
              <w:jc w:val="both"/>
              <w:rPr>
                <w:rFonts w:ascii="Calibri" w:hAnsi="Calibri"/>
                <w:bCs/>
                <w:szCs w:val="22"/>
              </w:rPr>
            </w:pPr>
          </w:p>
          <w:p w14:paraId="18F45647" w14:textId="1AF223FA" w:rsidR="00CC4FEE" w:rsidRDefault="00CC4FEE" w:rsidP="00B2709D">
            <w:pPr>
              <w:pStyle w:val="Header"/>
              <w:tabs>
                <w:tab w:val="left" w:pos="720"/>
              </w:tabs>
              <w:jc w:val="both"/>
              <w:rPr>
                <w:rFonts w:ascii="Calibri" w:hAnsi="Calibri"/>
                <w:bCs/>
                <w:szCs w:val="22"/>
              </w:rPr>
            </w:pPr>
            <w:r>
              <w:rPr>
                <w:rFonts w:ascii="Calibri" w:hAnsi="Calibri"/>
                <w:bCs/>
                <w:szCs w:val="22"/>
              </w:rPr>
              <w:t>Considering the outbuilding as a non-designated heritage asset, the revised NPPF states at paragraph 203:</w:t>
            </w:r>
          </w:p>
          <w:p w14:paraId="565ADC46" w14:textId="76C15AF1" w:rsidR="00CC4FEE" w:rsidRDefault="00CC4FEE" w:rsidP="00B2709D">
            <w:pPr>
              <w:pStyle w:val="Header"/>
              <w:tabs>
                <w:tab w:val="left" w:pos="720"/>
              </w:tabs>
              <w:jc w:val="both"/>
              <w:rPr>
                <w:rFonts w:ascii="Calibri" w:hAnsi="Calibri"/>
                <w:bCs/>
                <w:szCs w:val="22"/>
              </w:rPr>
            </w:pPr>
          </w:p>
          <w:p w14:paraId="72CAD6DE" w14:textId="1A71E594" w:rsidR="00CC4FEE" w:rsidRPr="006B1F41" w:rsidRDefault="00CC4C95" w:rsidP="00F872C6">
            <w:pPr>
              <w:pStyle w:val="Header"/>
              <w:tabs>
                <w:tab w:val="left" w:pos="720"/>
                <w:tab w:val="left" w:pos="8672"/>
              </w:tabs>
              <w:ind w:left="450" w:right="890"/>
              <w:jc w:val="both"/>
              <w:rPr>
                <w:rFonts w:ascii="Calibri" w:hAnsi="Calibri"/>
                <w:bCs/>
                <w:i/>
                <w:iCs/>
                <w:szCs w:val="22"/>
              </w:rPr>
            </w:pPr>
            <w:r w:rsidRPr="006B1F41">
              <w:rPr>
                <w:rFonts w:ascii="Calibri" w:hAnsi="Calibri"/>
                <w:bCs/>
                <w:i/>
                <w:iCs/>
                <w:szCs w:val="22"/>
              </w:rPr>
              <w:t>“</w:t>
            </w:r>
            <w:r w:rsidR="00CC4FEE" w:rsidRPr="006B1F41">
              <w:rPr>
                <w:rFonts w:ascii="Calibri" w:hAnsi="Calibri"/>
                <w:bCs/>
                <w:i/>
                <w:iCs/>
                <w:szCs w:val="22"/>
              </w:rPr>
              <w:t xml:space="preserve">The effect of an application on the </w:t>
            </w:r>
            <w:r w:rsidRPr="006B1F41">
              <w:rPr>
                <w:rFonts w:ascii="Calibri" w:hAnsi="Calibri"/>
                <w:bCs/>
                <w:i/>
                <w:iCs/>
                <w:szCs w:val="22"/>
              </w:rPr>
              <w:t>significance</w:t>
            </w:r>
            <w:r w:rsidR="00CC4FEE" w:rsidRPr="006B1F41">
              <w:rPr>
                <w:rFonts w:ascii="Calibri" w:hAnsi="Calibri"/>
                <w:bCs/>
                <w:i/>
                <w:iCs/>
                <w:szCs w:val="22"/>
              </w:rPr>
              <w:t xml:space="preserve"> of a non-designated heritage asset should be taken into account in determining the application. In weighing applications that directly or indirectly affect non-designated heritage assets, a balanced judgement will be required having regard to the </w:t>
            </w:r>
            <w:r w:rsidRPr="006B1F41">
              <w:rPr>
                <w:rFonts w:ascii="Calibri" w:hAnsi="Calibri"/>
                <w:bCs/>
                <w:i/>
                <w:iCs/>
                <w:szCs w:val="22"/>
              </w:rPr>
              <w:t>scale of any harm or loss and the significance of the heritage asset.”</w:t>
            </w:r>
          </w:p>
          <w:p w14:paraId="1215C41C" w14:textId="77777777" w:rsidR="00CC4FEE" w:rsidRDefault="00CC4FEE" w:rsidP="00B2709D">
            <w:pPr>
              <w:pStyle w:val="Header"/>
              <w:tabs>
                <w:tab w:val="left" w:pos="720"/>
              </w:tabs>
              <w:jc w:val="both"/>
              <w:rPr>
                <w:rFonts w:ascii="Calibri" w:hAnsi="Calibri"/>
                <w:bCs/>
                <w:szCs w:val="22"/>
              </w:rPr>
            </w:pPr>
          </w:p>
          <w:p w14:paraId="0A8E612B" w14:textId="34A9A55B" w:rsidR="00B532FC" w:rsidRDefault="00B532FC" w:rsidP="00B2709D">
            <w:pPr>
              <w:pStyle w:val="Header"/>
              <w:tabs>
                <w:tab w:val="left" w:pos="720"/>
              </w:tabs>
              <w:jc w:val="both"/>
              <w:rPr>
                <w:rFonts w:ascii="Calibri" w:hAnsi="Calibri"/>
                <w:bCs/>
                <w:szCs w:val="22"/>
              </w:rPr>
            </w:pPr>
            <w:r>
              <w:rPr>
                <w:rFonts w:ascii="Calibri" w:hAnsi="Calibri"/>
                <w:bCs/>
                <w:szCs w:val="22"/>
              </w:rPr>
              <w:t xml:space="preserve">The existing outbuilding is two-storey, constructed from random rubble sandstone with rough dressings and painted white render on its eastern elevation. A modern external staircase has since been added on the northern elevation, with few other openings. Inside, the structure is in </w:t>
            </w:r>
            <w:r w:rsidR="00CC4FEE">
              <w:rPr>
                <w:rFonts w:ascii="Calibri" w:hAnsi="Calibri"/>
                <w:bCs/>
                <w:szCs w:val="22"/>
              </w:rPr>
              <w:t xml:space="preserve">a deteriorating </w:t>
            </w:r>
            <w:r w:rsidR="002E0408">
              <w:rPr>
                <w:rFonts w:ascii="Calibri" w:hAnsi="Calibri"/>
                <w:bCs/>
                <w:szCs w:val="22"/>
              </w:rPr>
              <w:t>condition</w:t>
            </w:r>
            <w:r w:rsidR="00CC4FEE">
              <w:rPr>
                <w:rFonts w:ascii="Calibri" w:hAnsi="Calibri"/>
                <w:bCs/>
                <w:szCs w:val="22"/>
              </w:rPr>
              <w:t xml:space="preserve"> with </w:t>
            </w:r>
            <w:r w:rsidR="0041349D">
              <w:rPr>
                <w:rFonts w:ascii="Calibri" w:hAnsi="Calibri"/>
                <w:bCs/>
                <w:szCs w:val="22"/>
              </w:rPr>
              <w:t>several</w:t>
            </w:r>
            <w:r w:rsidR="00CC4FEE">
              <w:rPr>
                <w:rFonts w:ascii="Calibri" w:hAnsi="Calibri"/>
                <w:bCs/>
                <w:szCs w:val="22"/>
              </w:rPr>
              <w:t xml:space="preserve"> roof slates missing and no remaining historic features or fittings internally. </w:t>
            </w:r>
            <w:r w:rsidR="00CC4C95">
              <w:rPr>
                <w:rFonts w:ascii="Calibri" w:hAnsi="Calibri"/>
                <w:bCs/>
                <w:szCs w:val="22"/>
              </w:rPr>
              <w:t xml:space="preserve">It is thought that the structure had originally been </w:t>
            </w:r>
            <w:r w:rsidR="00C17B20">
              <w:rPr>
                <w:rFonts w:ascii="Calibri" w:hAnsi="Calibri"/>
                <w:bCs/>
                <w:szCs w:val="22"/>
              </w:rPr>
              <w:t>constructed in the 19</w:t>
            </w:r>
            <w:r w:rsidR="00C17B20" w:rsidRPr="00C17B20">
              <w:rPr>
                <w:rFonts w:ascii="Calibri" w:hAnsi="Calibri"/>
                <w:bCs/>
                <w:szCs w:val="22"/>
                <w:vertAlign w:val="superscript"/>
              </w:rPr>
              <w:t>th</w:t>
            </w:r>
            <w:r w:rsidR="00C17B20">
              <w:rPr>
                <w:rFonts w:ascii="Calibri" w:hAnsi="Calibri"/>
                <w:bCs/>
                <w:szCs w:val="22"/>
              </w:rPr>
              <w:t xml:space="preserve"> century, </w:t>
            </w:r>
            <w:r w:rsidR="00CC4C95">
              <w:rPr>
                <w:rFonts w:ascii="Calibri" w:hAnsi="Calibri"/>
                <w:bCs/>
                <w:szCs w:val="22"/>
              </w:rPr>
              <w:t xml:space="preserve">associated with the nearby weavers’ cottages to the </w:t>
            </w:r>
            <w:r w:rsidR="00CC4C95">
              <w:rPr>
                <w:rFonts w:ascii="Calibri" w:hAnsi="Calibri"/>
                <w:bCs/>
                <w:szCs w:val="22"/>
              </w:rPr>
              <w:lastRenderedPageBreak/>
              <w:t>east</w:t>
            </w:r>
            <w:r w:rsidR="00F872C6">
              <w:rPr>
                <w:rFonts w:ascii="Calibri" w:hAnsi="Calibri"/>
                <w:bCs/>
                <w:szCs w:val="22"/>
              </w:rPr>
              <w:t>,</w:t>
            </w:r>
            <w:r w:rsidR="005C115D">
              <w:rPr>
                <w:rFonts w:ascii="Calibri" w:hAnsi="Calibri"/>
                <w:bCs/>
                <w:szCs w:val="22"/>
              </w:rPr>
              <w:t xml:space="preserve"> although has most recently been used as a store in relation to 94 Ribchester Road</w:t>
            </w:r>
            <w:r w:rsidR="002E0408">
              <w:rPr>
                <w:rFonts w:ascii="Calibri" w:hAnsi="Calibri"/>
                <w:bCs/>
                <w:szCs w:val="22"/>
              </w:rPr>
              <w:t xml:space="preserve"> and is currently vacant</w:t>
            </w:r>
            <w:r w:rsidR="005C115D">
              <w:rPr>
                <w:rFonts w:ascii="Calibri" w:hAnsi="Calibri"/>
                <w:bCs/>
                <w:szCs w:val="22"/>
              </w:rPr>
              <w:t>.</w:t>
            </w:r>
          </w:p>
          <w:p w14:paraId="3C1F9C2A" w14:textId="23B6B84C" w:rsidR="005C115D" w:rsidRDefault="005C115D" w:rsidP="00B2709D">
            <w:pPr>
              <w:pStyle w:val="Header"/>
              <w:tabs>
                <w:tab w:val="left" w:pos="720"/>
              </w:tabs>
              <w:jc w:val="both"/>
              <w:rPr>
                <w:rFonts w:ascii="Calibri" w:hAnsi="Calibri"/>
                <w:bCs/>
                <w:szCs w:val="22"/>
              </w:rPr>
            </w:pPr>
          </w:p>
          <w:p w14:paraId="238788A0" w14:textId="143433D9" w:rsidR="005C115D" w:rsidRDefault="005C115D" w:rsidP="00B2709D">
            <w:pPr>
              <w:pStyle w:val="Header"/>
              <w:tabs>
                <w:tab w:val="left" w:pos="720"/>
              </w:tabs>
              <w:jc w:val="both"/>
              <w:rPr>
                <w:rFonts w:ascii="Calibri" w:hAnsi="Calibri"/>
                <w:bCs/>
                <w:szCs w:val="22"/>
              </w:rPr>
            </w:pPr>
            <w:r>
              <w:rPr>
                <w:rFonts w:ascii="Calibri" w:hAnsi="Calibri"/>
                <w:bCs/>
                <w:szCs w:val="22"/>
              </w:rPr>
              <w:t xml:space="preserve">In the context of paragraph 203, the building is not </w:t>
            </w:r>
            <w:r w:rsidR="00AE7050">
              <w:rPr>
                <w:rFonts w:ascii="Calibri" w:hAnsi="Calibri"/>
                <w:bCs/>
                <w:szCs w:val="22"/>
              </w:rPr>
              <w:t>considered</w:t>
            </w:r>
            <w:r>
              <w:rPr>
                <w:rFonts w:ascii="Calibri" w:hAnsi="Calibri"/>
                <w:bCs/>
                <w:szCs w:val="22"/>
              </w:rPr>
              <w:t xml:space="preserve"> to </w:t>
            </w:r>
            <w:r w:rsidR="002E0408">
              <w:rPr>
                <w:rFonts w:ascii="Calibri" w:hAnsi="Calibri"/>
                <w:bCs/>
                <w:szCs w:val="22"/>
              </w:rPr>
              <w:t xml:space="preserve">maintain </w:t>
            </w:r>
            <w:r>
              <w:rPr>
                <w:rFonts w:ascii="Calibri" w:hAnsi="Calibri"/>
                <w:bCs/>
                <w:szCs w:val="22"/>
              </w:rPr>
              <w:t>a significant level of historic interest</w:t>
            </w:r>
            <w:r w:rsidR="00C17B20">
              <w:rPr>
                <w:rFonts w:ascii="Calibri" w:hAnsi="Calibri"/>
                <w:bCs/>
                <w:szCs w:val="22"/>
              </w:rPr>
              <w:t xml:space="preserve"> due to the extensive changes to the building over a period of time and </w:t>
            </w:r>
            <w:r w:rsidR="002E0408">
              <w:rPr>
                <w:rFonts w:ascii="Calibri" w:hAnsi="Calibri"/>
                <w:bCs/>
                <w:szCs w:val="22"/>
              </w:rPr>
              <w:t xml:space="preserve">the gradual </w:t>
            </w:r>
            <w:r w:rsidR="00C17B20">
              <w:rPr>
                <w:rFonts w:ascii="Calibri" w:hAnsi="Calibri"/>
                <w:bCs/>
                <w:szCs w:val="22"/>
              </w:rPr>
              <w:t>degradation</w:t>
            </w:r>
            <w:r w:rsidR="002F27EB">
              <w:rPr>
                <w:rFonts w:ascii="Calibri" w:hAnsi="Calibri"/>
                <w:bCs/>
                <w:szCs w:val="22"/>
              </w:rPr>
              <w:t xml:space="preserve"> of historic </w:t>
            </w:r>
            <w:r w:rsidR="00F872C6">
              <w:rPr>
                <w:rFonts w:ascii="Calibri" w:hAnsi="Calibri"/>
                <w:bCs/>
                <w:szCs w:val="22"/>
              </w:rPr>
              <w:t xml:space="preserve">fabric, form and </w:t>
            </w:r>
            <w:r w:rsidR="002F27EB">
              <w:rPr>
                <w:rFonts w:ascii="Calibri" w:hAnsi="Calibri"/>
                <w:bCs/>
                <w:szCs w:val="22"/>
              </w:rPr>
              <w:t xml:space="preserve">features. </w:t>
            </w:r>
            <w:r w:rsidR="002E0408">
              <w:rPr>
                <w:rFonts w:ascii="Calibri" w:hAnsi="Calibri"/>
                <w:bCs/>
                <w:szCs w:val="22"/>
              </w:rPr>
              <w:t xml:space="preserve">As a result of this and the declining </w:t>
            </w:r>
            <w:r w:rsidR="00AE7050">
              <w:rPr>
                <w:rFonts w:ascii="Calibri" w:hAnsi="Calibri"/>
                <w:bCs/>
                <w:szCs w:val="22"/>
              </w:rPr>
              <w:t>condition of the building,</w:t>
            </w:r>
            <w:r w:rsidR="002E0408">
              <w:rPr>
                <w:rFonts w:ascii="Calibri" w:hAnsi="Calibri"/>
                <w:bCs/>
                <w:szCs w:val="22"/>
              </w:rPr>
              <w:t xml:space="preserve"> </w:t>
            </w:r>
            <w:r w:rsidR="00AE7050">
              <w:rPr>
                <w:rFonts w:ascii="Calibri" w:hAnsi="Calibri"/>
                <w:bCs/>
                <w:szCs w:val="22"/>
              </w:rPr>
              <w:t xml:space="preserve">it is deemed that </w:t>
            </w:r>
            <w:r w:rsidR="002E0408">
              <w:rPr>
                <w:rFonts w:ascii="Calibri" w:hAnsi="Calibri"/>
                <w:bCs/>
                <w:szCs w:val="22"/>
              </w:rPr>
              <w:t xml:space="preserve">the </w:t>
            </w:r>
            <w:r w:rsidR="00AE7050">
              <w:rPr>
                <w:rFonts w:ascii="Calibri" w:hAnsi="Calibri"/>
                <w:bCs/>
                <w:szCs w:val="22"/>
              </w:rPr>
              <w:t xml:space="preserve">existing </w:t>
            </w:r>
            <w:r w:rsidR="002F27EB">
              <w:rPr>
                <w:rFonts w:ascii="Calibri" w:hAnsi="Calibri"/>
                <w:bCs/>
                <w:szCs w:val="22"/>
              </w:rPr>
              <w:t xml:space="preserve">contribution of the outbuilding toward the immediate street scene and visual amenities of the area </w:t>
            </w:r>
            <w:r w:rsidR="002E0408">
              <w:rPr>
                <w:rFonts w:ascii="Calibri" w:hAnsi="Calibri"/>
                <w:bCs/>
                <w:szCs w:val="22"/>
              </w:rPr>
              <w:t>is low</w:t>
            </w:r>
            <w:r w:rsidR="00AE7050">
              <w:rPr>
                <w:rFonts w:ascii="Calibri" w:hAnsi="Calibri"/>
                <w:bCs/>
                <w:szCs w:val="22"/>
              </w:rPr>
              <w:t xml:space="preserve">. Consequently, </w:t>
            </w:r>
            <w:r w:rsidR="002F27EB">
              <w:rPr>
                <w:rFonts w:ascii="Calibri" w:hAnsi="Calibri"/>
                <w:bCs/>
                <w:szCs w:val="22"/>
              </w:rPr>
              <w:t xml:space="preserve">in balancing the </w:t>
            </w:r>
            <w:r w:rsidR="00AD482F">
              <w:rPr>
                <w:rFonts w:ascii="Calibri" w:hAnsi="Calibri"/>
                <w:bCs/>
                <w:szCs w:val="22"/>
              </w:rPr>
              <w:t xml:space="preserve">minimal </w:t>
            </w:r>
            <w:r w:rsidR="002F27EB">
              <w:rPr>
                <w:rFonts w:ascii="Calibri" w:hAnsi="Calibri"/>
                <w:bCs/>
                <w:szCs w:val="22"/>
              </w:rPr>
              <w:t>value of the structure as a</w:t>
            </w:r>
            <w:r w:rsidR="00AD482F">
              <w:rPr>
                <w:rFonts w:ascii="Calibri" w:hAnsi="Calibri"/>
                <w:bCs/>
                <w:szCs w:val="22"/>
              </w:rPr>
              <w:t xml:space="preserve"> </w:t>
            </w:r>
            <w:r w:rsidR="00F872C6">
              <w:rPr>
                <w:rFonts w:ascii="Calibri" w:hAnsi="Calibri"/>
                <w:bCs/>
                <w:szCs w:val="22"/>
              </w:rPr>
              <w:t xml:space="preserve">non-designated </w:t>
            </w:r>
            <w:r w:rsidR="00AD482F">
              <w:rPr>
                <w:rFonts w:ascii="Calibri" w:hAnsi="Calibri"/>
                <w:bCs/>
                <w:szCs w:val="22"/>
              </w:rPr>
              <w:t>heritage asset with the removal of a derelict and dilapidated building from the street scene, the principle of demolition is acceptable.</w:t>
            </w:r>
          </w:p>
          <w:p w14:paraId="41085A57" w14:textId="787E98BD" w:rsidR="00AD482F" w:rsidRDefault="00AD482F" w:rsidP="00B2709D">
            <w:pPr>
              <w:pStyle w:val="Header"/>
              <w:tabs>
                <w:tab w:val="left" w:pos="720"/>
              </w:tabs>
              <w:jc w:val="both"/>
              <w:rPr>
                <w:rFonts w:ascii="Calibri" w:hAnsi="Calibri"/>
                <w:bCs/>
                <w:szCs w:val="22"/>
              </w:rPr>
            </w:pPr>
          </w:p>
          <w:p w14:paraId="2BB68266" w14:textId="5D9677BB" w:rsidR="00AD482F" w:rsidRDefault="00AD482F" w:rsidP="00B2709D">
            <w:pPr>
              <w:pStyle w:val="Header"/>
              <w:tabs>
                <w:tab w:val="left" w:pos="720"/>
              </w:tabs>
              <w:jc w:val="both"/>
              <w:rPr>
                <w:rFonts w:ascii="Calibri" w:hAnsi="Calibri"/>
                <w:bCs/>
                <w:szCs w:val="22"/>
              </w:rPr>
            </w:pPr>
            <w:r>
              <w:rPr>
                <w:rFonts w:ascii="Calibri" w:hAnsi="Calibri"/>
                <w:bCs/>
                <w:szCs w:val="22"/>
              </w:rPr>
              <w:t xml:space="preserve">Consideration has also been given to the potential for the </w:t>
            </w:r>
            <w:r w:rsidR="00F872C6">
              <w:rPr>
                <w:rFonts w:ascii="Calibri" w:hAnsi="Calibri"/>
                <w:bCs/>
                <w:szCs w:val="22"/>
              </w:rPr>
              <w:t xml:space="preserve">residential </w:t>
            </w:r>
            <w:r>
              <w:rPr>
                <w:rFonts w:ascii="Calibri" w:hAnsi="Calibri"/>
                <w:bCs/>
                <w:szCs w:val="22"/>
              </w:rPr>
              <w:t xml:space="preserve">conversion of this outbuilding, however, the structure is likely too small and is sited in </w:t>
            </w:r>
            <w:r w:rsidR="00F872C6">
              <w:rPr>
                <w:rFonts w:ascii="Calibri" w:hAnsi="Calibri"/>
                <w:bCs/>
                <w:szCs w:val="22"/>
              </w:rPr>
              <w:t xml:space="preserve">too </w:t>
            </w:r>
            <w:r>
              <w:rPr>
                <w:rFonts w:ascii="Calibri" w:hAnsi="Calibri"/>
                <w:bCs/>
                <w:szCs w:val="22"/>
              </w:rPr>
              <w:t xml:space="preserve">challenging </w:t>
            </w:r>
            <w:r w:rsidR="00F872C6">
              <w:rPr>
                <w:rFonts w:ascii="Calibri" w:hAnsi="Calibri"/>
                <w:bCs/>
                <w:szCs w:val="22"/>
              </w:rPr>
              <w:t xml:space="preserve">a </w:t>
            </w:r>
            <w:r>
              <w:rPr>
                <w:rFonts w:ascii="Calibri" w:hAnsi="Calibri"/>
                <w:bCs/>
                <w:szCs w:val="22"/>
              </w:rPr>
              <w:t>location, directly affronting the highway</w:t>
            </w:r>
            <w:r w:rsidR="00F872C6">
              <w:rPr>
                <w:rFonts w:ascii="Calibri" w:hAnsi="Calibri"/>
                <w:bCs/>
                <w:szCs w:val="22"/>
              </w:rPr>
              <w:t>. Subsequently a</w:t>
            </w:r>
            <w:r>
              <w:rPr>
                <w:rFonts w:ascii="Calibri" w:hAnsi="Calibri"/>
                <w:bCs/>
                <w:szCs w:val="22"/>
              </w:rPr>
              <w:t xml:space="preserve"> conversion scheme would likely raise highway safety concerns.</w:t>
            </w:r>
          </w:p>
          <w:p w14:paraId="2A484578" w14:textId="14BEC6D2" w:rsidR="00CC4C95" w:rsidRPr="003C164D" w:rsidRDefault="00CC4C95" w:rsidP="00B2709D">
            <w:pPr>
              <w:pStyle w:val="Header"/>
              <w:tabs>
                <w:tab w:val="left" w:pos="720"/>
              </w:tabs>
              <w:jc w:val="both"/>
              <w:rPr>
                <w:rFonts w:ascii="Calibri" w:hAnsi="Calibri"/>
                <w:bCs/>
                <w:szCs w:val="22"/>
              </w:rPr>
            </w:pPr>
          </w:p>
        </w:tc>
      </w:tr>
      <w:tr w:rsidR="003C164D" w14:paraId="210780AD" w14:textId="77777777" w:rsidTr="003C164D">
        <w:trPr>
          <w:trHeight w:val="2049"/>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274F64B7" w14:textId="77777777" w:rsidR="003C164D" w:rsidRDefault="003C164D" w:rsidP="003C164D">
            <w:pPr>
              <w:pStyle w:val="Header"/>
              <w:tabs>
                <w:tab w:val="left" w:pos="720"/>
              </w:tabs>
              <w:jc w:val="both"/>
              <w:rPr>
                <w:rFonts w:ascii="Calibri" w:hAnsi="Calibri"/>
                <w:b/>
                <w:szCs w:val="22"/>
              </w:rPr>
            </w:pPr>
            <w:r>
              <w:rPr>
                <w:rFonts w:ascii="Calibri" w:hAnsi="Calibri"/>
                <w:b/>
                <w:szCs w:val="22"/>
              </w:rPr>
              <w:lastRenderedPageBreak/>
              <w:t>Residential Amenity</w:t>
            </w:r>
          </w:p>
          <w:p w14:paraId="2BD79560" w14:textId="77777777" w:rsidR="003C164D" w:rsidRDefault="003C164D" w:rsidP="003C164D">
            <w:pPr>
              <w:pStyle w:val="Header"/>
              <w:tabs>
                <w:tab w:val="left" w:pos="720"/>
              </w:tabs>
              <w:jc w:val="both"/>
              <w:rPr>
                <w:rFonts w:ascii="Calibri" w:hAnsi="Calibri"/>
                <w:b/>
                <w:szCs w:val="22"/>
              </w:rPr>
            </w:pPr>
          </w:p>
          <w:p w14:paraId="088A5600" w14:textId="794AB817" w:rsidR="003C164D" w:rsidRPr="00486F1E" w:rsidRDefault="003C164D" w:rsidP="003C164D">
            <w:pPr>
              <w:pStyle w:val="Header"/>
              <w:tabs>
                <w:tab w:val="left" w:pos="720"/>
              </w:tabs>
              <w:jc w:val="both"/>
              <w:rPr>
                <w:rFonts w:ascii="Calibri" w:hAnsi="Calibri"/>
                <w:bCs/>
                <w:szCs w:val="22"/>
              </w:rPr>
            </w:pPr>
            <w:r w:rsidRPr="00486F1E">
              <w:rPr>
                <w:rFonts w:ascii="Calibri" w:hAnsi="Calibri"/>
                <w:bCs/>
                <w:szCs w:val="22"/>
              </w:rPr>
              <w:t>As an outline application, matters relating to residential amenity are held in abeyance and therefore cannot be accurately assessed whilst the design aspects of the proposal are unknown. However, it is believed that the proposed development of a dwelling on this site is possible without causing undue detriment to neighbouring amenit</w:t>
            </w:r>
            <w:r>
              <w:rPr>
                <w:rFonts w:ascii="Calibri" w:hAnsi="Calibri"/>
                <w:bCs/>
                <w:szCs w:val="22"/>
              </w:rPr>
              <w:t xml:space="preserve">ies </w:t>
            </w:r>
            <w:r w:rsidRPr="00486F1E">
              <w:rPr>
                <w:rFonts w:ascii="Calibri" w:hAnsi="Calibri"/>
                <w:bCs/>
                <w:szCs w:val="22"/>
              </w:rPr>
              <w:t>as the site benefits from adequate separation distances between neighbouring properties.</w:t>
            </w:r>
          </w:p>
          <w:p w14:paraId="6AECFF35" w14:textId="7E63ED53" w:rsidR="003C164D" w:rsidRDefault="003C164D" w:rsidP="00AE7050">
            <w:pPr>
              <w:pStyle w:val="Header"/>
              <w:tabs>
                <w:tab w:val="left" w:pos="720"/>
              </w:tabs>
              <w:jc w:val="both"/>
              <w:rPr>
                <w:rFonts w:ascii="Calibri" w:hAnsi="Calibri"/>
                <w:b/>
                <w:szCs w:val="22"/>
              </w:rPr>
            </w:pPr>
          </w:p>
        </w:tc>
      </w:tr>
      <w:tr w:rsidR="00486F1E" w14:paraId="46F9F7BE"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29B32087" w14:textId="77777777" w:rsidR="00486F1E" w:rsidRDefault="00486F1E" w:rsidP="00486F1E">
            <w:pPr>
              <w:pStyle w:val="Header"/>
              <w:tabs>
                <w:tab w:val="left" w:pos="720"/>
              </w:tabs>
              <w:jc w:val="both"/>
              <w:rPr>
                <w:rFonts w:ascii="Calibri" w:hAnsi="Calibri"/>
                <w:b/>
                <w:szCs w:val="22"/>
              </w:rPr>
            </w:pPr>
            <w:r>
              <w:rPr>
                <w:rFonts w:ascii="Calibri" w:hAnsi="Calibri"/>
                <w:b/>
                <w:szCs w:val="22"/>
              </w:rPr>
              <w:t>Visual Amenity</w:t>
            </w:r>
          </w:p>
          <w:p w14:paraId="39C2C70B" w14:textId="77777777" w:rsidR="00486F1E" w:rsidRDefault="00486F1E" w:rsidP="00486F1E">
            <w:pPr>
              <w:pStyle w:val="Header"/>
              <w:tabs>
                <w:tab w:val="left" w:pos="720"/>
              </w:tabs>
              <w:jc w:val="both"/>
              <w:rPr>
                <w:rFonts w:ascii="Calibri" w:hAnsi="Calibri"/>
                <w:b/>
                <w:szCs w:val="22"/>
              </w:rPr>
            </w:pPr>
          </w:p>
          <w:p w14:paraId="3C2BF8FF" w14:textId="5AFD2B12" w:rsidR="00486F1E" w:rsidRPr="00486F1E" w:rsidRDefault="00486F1E" w:rsidP="00486F1E">
            <w:pPr>
              <w:pStyle w:val="Header"/>
              <w:tabs>
                <w:tab w:val="left" w:pos="720"/>
              </w:tabs>
              <w:jc w:val="both"/>
              <w:rPr>
                <w:rFonts w:ascii="Calibri" w:hAnsi="Calibri"/>
                <w:bCs/>
                <w:szCs w:val="22"/>
              </w:rPr>
            </w:pPr>
            <w:r w:rsidRPr="00486F1E">
              <w:rPr>
                <w:rFonts w:ascii="Calibri" w:hAnsi="Calibri"/>
                <w:bCs/>
                <w:szCs w:val="22"/>
              </w:rPr>
              <w:t>This application is for a single, detached dwelling with four or more bedrooms and at this stage it is not known what form the proposed dwelling will take. However, it is acknowledged that achieving an appropriate scale of development will be important to prevent adverse impacts on the immediate landscape and street scene</w:t>
            </w:r>
            <w:r w:rsidR="008557F3">
              <w:rPr>
                <w:rFonts w:ascii="Calibri" w:hAnsi="Calibri"/>
                <w:bCs/>
                <w:szCs w:val="22"/>
              </w:rPr>
              <w:t>, such is the inherent character of the existing row of cottages to the east of the site location, one of which the site location lies within the curtilage of</w:t>
            </w:r>
            <w:r w:rsidRPr="00486F1E">
              <w:rPr>
                <w:rFonts w:ascii="Calibri" w:hAnsi="Calibri"/>
                <w:bCs/>
                <w:szCs w:val="22"/>
              </w:rPr>
              <w:t xml:space="preserve">. On this basis it is proposed </w:t>
            </w:r>
            <w:r w:rsidR="00AE7050">
              <w:rPr>
                <w:rFonts w:ascii="Calibri" w:hAnsi="Calibri"/>
                <w:bCs/>
                <w:szCs w:val="22"/>
              </w:rPr>
              <w:t>that should consent</w:t>
            </w:r>
            <w:r w:rsidRPr="00486F1E">
              <w:rPr>
                <w:rFonts w:ascii="Calibri" w:hAnsi="Calibri"/>
                <w:bCs/>
                <w:szCs w:val="22"/>
              </w:rPr>
              <w:t xml:space="preserve"> be granted, a condition limiting the development to two storeys is imposed to prevent any such impacts</w:t>
            </w:r>
            <w:r w:rsidR="008557F3">
              <w:rPr>
                <w:rFonts w:ascii="Calibri" w:hAnsi="Calibri"/>
                <w:bCs/>
                <w:szCs w:val="22"/>
              </w:rPr>
              <w:t xml:space="preserve"> and to </w:t>
            </w:r>
            <w:r w:rsidR="00AE7050">
              <w:rPr>
                <w:rFonts w:ascii="Calibri" w:hAnsi="Calibri"/>
                <w:bCs/>
                <w:szCs w:val="22"/>
              </w:rPr>
              <w:t>safeguard</w:t>
            </w:r>
            <w:r w:rsidR="008557F3">
              <w:rPr>
                <w:rFonts w:ascii="Calibri" w:hAnsi="Calibri"/>
                <w:bCs/>
                <w:szCs w:val="22"/>
              </w:rPr>
              <w:t xml:space="preserve"> a sympathetic and harmonious design</w:t>
            </w:r>
            <w:r w:rsidR="00AE7050">
              <w:rPr>
                <w:rFonts w:ascii="Calibri" w:hAnsi="Calibri"/>
                <w:bCs/>
                <w:szCs w:val="22"/>
              </w:rPr>
              <w:t xml:space="preserve"> at reserved matters stage</w:t>
            </w:r>
            <w:r w:rsidR="008557F3">
              <w:rPr>
                <w:rFonts w:ascii="Calibri" w:hAnsi="Calibri"/>
                <w:bCs/>
                <w:szCs w:val="22"/>
              </w:rPr>
              <w:t>.</w:t>
            </w:r>
          </w:p>
          <w:p w14:paraId="7DFC3583" w14:textId="77777777" w:rsidR="00486F1E" w:rsidRPr="00486F1E" w:rsidRDefault="00486F1E" w:rsidP="00486F1E">
            <w:pPr>
              <w:pStyle w:val="Header"/>
              <w:tabs>
                <w:tab w:val="left" w:pos="720"/>
              </w:tabs>
              <w:jc w:val="both"/>
              <w:rPr>
                <w:rFonts w:ascii="Calibri" w:hAnsi="Calibri"/>
                <w:bCs/>
                <w:szCs w:val="22"/>
              </w:rPr>
            </w:pPr>
          </w:p>
          <w:p w14:paraId="3F5596AC" w14:textId="2A3EEEC5" w:rsidR="00486F1E" w:rsidRDefault="00486F1E" w:rsidP="00486F1E">
            <w:pPr>
              <w:pStyle w:val="Header"/>
              <w:tabs>
                <w:tab w:val="left" w:pos="720"/>
              </w:tabs>
              <w:jc w:val="both"/>
              <w:rPr>
                <w:rFonts w:ascii="Calibri" w:hAnsi="Calibri"/>
                <w:bCs/>
                <w:szCs w:val="22"/>
              </w:rPr>
            </w:pPr>
            <w:r w:rsidRPr="00486F1E">
              <w:rPr>
                <w:rFonts w:ascii="Calibri" w:hAnsi="Calibri"/>
                <w:bCs/>
                <w:szCs w:val="22"/>
              </w:rPr>
              <w:t>The visual amenity impacts of the development will be more critically assessed at reserved matters stage when the final design of the scheme is determined against the provisions of the existing development plan and National Planning Policy Framework, the latter of which now further emphasises and elevates the importance of achieving high quality, sympathetic and well-designed development following its revision in 2021.</w:t>
            </w:r>
          </w:p>
          <w:p w14:paraId="180D0809" w14:textId="59918985" w:rsidR="00486F1E" w:rsidRDefault="00486F1E" w:rsidP="00486F1E">
            <w:pPr>
              <w:pStyle w:val="Header"/>
              <w:tabs>
                <w:tab w:val="left" w:pos="720"/>
              </w:tabs>
              <w:jc w:val="both"/>
              <w:rPr>
                <w:rFonts w:ascii="Calibri" w:hAnsi="Calibri"/>
                <w:b/>
                <w:szCs w:val="22"/>
              </w:rPr>
            </w:pPr>
          </w:p>
        </w:tc>
      </w:tr>
      <w:tr w:rsidR="00D12FEE" w14:paraId="53DC0B3C"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4E71C5B8" w14:textId="77777777" w:rsidR="00D12FEE" w:rsidRDefault="00D12FEE" w:rsidP="00486F1E">
            <w:pPr>
              <w:pStyle w:val="Header"/>
              <w:tabs>
                <w:tab w:val="left" w:pos="720"/>
              </w:tabs>
              <w:jc w:val="both"/>
              <w:rPr>
                <w:rFonts w:ascii="Calibri" w:hAnsi="Calibri"/>
                <w:b/>
                <w:szCs w:val="22"/>
              </w:rPr>
            </w:pPr>
            <w:r>
              <w:rPr>
                <w:rFonts w:ascii="Calibri" w:hAnsi="Calibri"/>
                <w:b/>
                <w:szCs w:val="22"/>
              </w:rPr>
              <w:t>Ecology</w:t>
            </w:r>
          </w:p>
          <w:p w14:paraId="0B6EDF8F" w14:textId="77777777" w:rsidR="00D12FEE" w:rsidRDefault="00D12FEE" w:rsidP="00486F1E">
            <w:pPr>
              <w:pStyle w:val="Header"/>
              <w:tabs>
                <w:tab w:val="left" w:pos="720"/>
              </w:tabs>
              <w:jc w:val="both"/>
              <w:rPr>
                <w:rFonts w:ascii="Calibri" w:hAnsi="Calibri"/>
                <w:b/>
                <w:szCs w:val="22"/>
              </w:rPr>
            </w:pPr>
          </w:p>
          <w:p w14:paraId="79CA2566" w14:textId="33D8DCC4" w:rsidR="00BF394F" w:rsidRDefault="00BF394F" w:rsidP="00BF394F">
            <w:pPr>
              <w:jc w:val="both"/>
              <w:rPr>
                <w:rFonts w:ascii="Calibri" w:hAnsi="Calibri"/>
                <w:bCs/>
                <w:szCs w:val="22"/>
              </w:rPr>
            </w:pPr>
            <w:r>
              <w:rPr>
                <w:rFonts w:ascii="Calibri" w:hAnsi="Calibri"/>
                <w:bCs/>
                <w:szCs w:val="22"/>
              </w:rPr>
              <w:t xml:space="preserve">A preliminary bat survey was undertaken in June 2022 and found no evidence to suggest present or historic bat activity within the </w:t>
            </w:r>
            <w:r w:rsidR="00AE7050">
              <w:rPr>
                <w:rFonts w:ascii="Calibri" w:hAnsi="Calibri"/>
                <w:bCs/>
                <w:szCs w:val="22"/>
              </w:rPr>
              <w:t>out</w:t>
            </w:r>
            <w:r>
              <w:rPr>
                <w:rFonts w:ascii="Calibri" w:hAnsi="Calibri"/>
                <w:bCs/>
                <w:szCs w:val="22"/>
              </w:rPr>
              <w:t xml:space="preserve">building. Consequently, the </w:t>
            </w:r>
            <w:r w:rsidR="00AE7050">
              <w:rPr>
                <w:rFonts w:ascii="Calibri" w:hAnsi="Calibri"/>
                <w:bCs/>
                <w:szCs w:val="22"/>
              </w:rPr>
              <w:t>out</w:t>
            </w:r>
            <w:r>
              <w:rPr>
                <w:rFonts w:ascii="Calibri" w:hAnsi="Calibri"/>
                <w:bCs/>
                <w:szCs w:val="22"/>
              </w:rPr>
              <w:t>building is considered to offer negligible habitat value for roosting bats and as such there is no requirement for compensatory mitigation to offset the impacts of the proposed development.</w:t>
            </w:r>
          </w:p>
          <w:p w14:paraId="266A3766" w14:textId="37831CEF" w:rsidR="00D12FEE" w:rsidRDefault="00D12FEE" w:rsidP="00486F1E">
            <w:pPr>
              <w:pStyle w:val="Header"/>
              <w:tabs>
                <w:tab w:val="left" w:pos="720"/>
              </w:tabs>
              <w:jc w:val="both"/>
              <w:rPr>
                <w:rFonts w:ascii="Calibri" w:hAnsi="Calibri"/>
                <w:b/>
                <w:szCs w:val="22"/>
              </w:rPr>
            </w:pPr>
          </w:p>
        </w:tc>
      </w:tr>
      <w:tr w:rsidR="002322F1" w14:paraId="07767197"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007C07BB" w14:textId="77777777" w:rsidR="002322F1" w:rsidRDefault="002322F1" w:rsidP="00486F1E">
            <w:pPr>
              <w:pStyle w:val="Header"/>
              <w:tabs>
                <w:tab w:val="left" w:pos="720"/>
              </w:tabs>
              <w:jc w:val="both"/>
              <w:rPr>
                <w:rFonts w:ascii="Calibri" w:hAnsi="Calibri"/>
                <w:b/>
                <w:szCs w:val="22"/>
              </w:rPr>
            </w:pPr>
            <w:r>
              <w:rPr>
                <w:rFonts w:ascii="Calibri" w:hAnsi="Calibri"/>
                <w:b/>
                <w:szCs w:val="22"/>
              </w:rPr>
              <w:t>Highways</w:t>
            </w:r>
          </w:p>
          <w:p w14:paraId="2F072C09" w14:textId="77777777" w:rsidR="002322F1" w:rsidRDefault="002322F1" w:rsidP="00486F1E">
            <w:pPr>
              <w:pStyle w:val="Header"/>
              <w:tabs>
                <w:tab w:val="left" w:pos="720"/>
              </w:tabs>
              <w:jc w:val="both"/>
              <w:rPr>
                <w:rFonts w:ascii="Calibri" w:hAnsi="Calibri"/>
                <w:b/>
                <w:szCs w:val="22"/>
              </w:rPr>
            </w:pPr>
          </w:p>
          <w:p w14:paraId="34242711" w14:textId="33E4B143" w:rsidR="002322F1" w:rsidRPr="002322F1" w:rsidRDefault="002322F1" w:rsidP="002322F1">
            <w:pPr>
              <w:pStyle w:val="Header"/>
              <w:tabs>
                <w:tab w:val="left" w:pos="720"/>
              </w:tabs>
              <w:jc w:val="both"/>
              <w:rPr>
                <w:rFonts w:ascii="Calibri" w:hAnsi="Calibri"/>
                <w:bCs/>
                <w:szCs w:val="22"/>
              </w:rPr>
            </w:pPr>
            <w:r w:rsidRPr="002322F1">
              <w:rPr>
                <w:rFonts w:ascii="Calibri" w:hAnsi="Calibri"/>
                <w:bCs/>
                <w:szCs w:val="22"/>
              </w:rPr>
              <w:lastRenderedPageBreak/>
              <w:t>This application does not seek permission for matters of access and highways related issues are to be resolved at reserved matters stage. On this basis the LHA have no objection to the applica</w:t>
            </w:r>
            <w:r w:rsidR="00332CF2">
              <w:rPr>
                <w:rFonts w:ascii="Calibri" w:hAnsi="Calibri"/>
                <w:bCs/>
                <w:szCs w:val="22"/>
              </w:rPr>
              <w:t xml:space="preserve">tion but </w:t>
            </w:r>
            <w:r w:rsidR="00D12FEE">
              <w:rPr>
                <w:rFonts w:ascii="Calibri" w:hAnsi="Calibri"/>
                <w:bCs/>
                <w:szCs w:val="22"/>
              </w:rPr>
              <w:t>further advise</w:t>
            </w:r>
            <w:r>
              <w:rPr>
                <w:rFonts w:ascii="Calibri" w:hAnsi="Calibri"/>
                <w:bCs/>
                <w:szCs w:val="22"/>
              </w:rPr>
              <w:t xml:space="preserve"> that </w:t>
            </w:r>
            <w:r w:rsidRPr="002322F1">
              <w:rPr>
                <w:rFonts w:ascii="Calibri" w:hAnsi="Calibri"/>
                <w:bCs/>
                <w:szCs w:val="22"/>
              </w:rPr>
              <w:t xml:space="preserve">any development will be required to comply with </w:t>
            </w:r>
            <w:r w:rsidR="008C5C91">
              <w:rPr>
                <w:rFonts w:ascii="Calibri" w:hAnsi="Calibri"/>
                <w:bCs/>
                <w:szCs w:val="22"/>
              </w:rPr>
              <w:t>parking guidance</w:t>
            </w:r>
            <w:r w:rsidRPr="002322F1">
              <w:rPr>
                <w:rFonts w:ascii="Calibri" w:hAnsi="Calibri"/>
                <w:bCs/>
                <w:szCs w:val="22"/>
              </w:rPr>
              <w:t xml:space="preserve"> which requires the provision of two car parking spaces for </w:t>
            </w:r>
            <w:r w:rsidR="00CA6482">
              <w:rPr>
                <w:rFonts w:ascii="Calibri" w:hAnsi="Calibri"/>
                <w:bCs/>
                <w:szCs w:val="22"/>
              </w:rPr>
              <w:t>two</w:t>
            </w:r>
            <w:r w:rsidR="00CA6482" w:rsidRPr="002322F1">
              <w:rPr>
                <w:rFonts w:ascii="Calibri" w:hAnsi="Calibri"/>
                <w:bCs/>
                <w:szCs w:val="22"/>
              </w:rPr>
              <w:t>- or three-bedroom</w:t>
            </w:r>
            <w:r w:rsidRPr="002322F1">
              <w:rPr>
                <w:rFonts w:ascii="Calibri" w:hAnsi="Calibri"/>
                <w:bCs/>
                <w:szCs w:val="22"/>
              </w:rPr>
              <w:t xml:space="preserve"> properties and three car parking spaces for a dwelling with 4 or more bedrooms</w:t>
            </w:r>
            <w:r>
              <w:rPr>
                <w:rFonts w:ascii="Calibri" w:hAnsi="Calibri"/>
                <w:bCs/>
                <w:szCs w:val="22"/>
              </w:rPr>
              <w:t>.</w:t>
            </w:r>
          </w:p>
          <w:p w14:paraId="69FB7F68" w14:textId="0A160A7D" w:rsidR="002322F1" w:rsidRDefault="002322F1" w:rsidP="002322F1">
            <w:pPr>
              <w:pStyle w:val="Header"/>
              <w:tabs>
                <w:tab w:val="left" w:pos="720"/>
              </w:tabs>
              <w:jc w:val="both"/>
              <w:rPr>
                <w:rFonts w:ascii="Calibri" w:hAnsi="Calibri"/>
                <w:bCs/>
                <w:szCs w:val="22"/>
              </w:rPr>
            </w:pPr>
          </w:p>
          <w:p w14:paraId="442A81EC" w14:textId="3F1A26D8" w:rsidR="002322F1" w:rsidRPr="002322F1" w:rsidRDefault="002322F1" w:rsidP="002322F1">
            <w:pPr>
              <w:pStyle w:val="Header"/>
              <w:tabs>
                <w:tab w:val="left" w:pos="720"/>
              </w:tabs>
              <w:jc w:val="both"/>
              <w:rPr>
                <w:rFonts w:ascii="Calibri" w:hAnsi="Calibri"/>
                <w:bCs/>
                <w:szCs w:val="22"/>
              </w:rPr>
            </w:pPr>
            <w:r>
              <w:rPr>
                <w:rFonts w:ascii="Calibri" w:hAnsi="Calibri"/>
                <w:bCs/>
                <w:szCs w:val="22"/>
              </w:rPr>
              <w:t xml:space="preserve">This notwithstanding, </w:t>
            </w:r>
            <w:r w:rsidR="00332CF2">
              <w:rPr>
                <w:rFonts w:ascii="Calibri" w:hAnsi="Calibri"/>
                <w:bCs/>
                <w:szCs w:val="22"/>
              </w:rPr>
              <w:t>it</w:t>
            </w:r>
            <w:r w:rsidR="00332CF2" w:rsidRPr="002322F1">
              <w:rPr>
                <w:rFonts w:ascii="Calibri" w:hAnsi="Calibri"/>
                <w:bCs/>
                <w:szCs w:val="22"/>
              </w:rPr>
              <w:t xml:space="preserve"> is identified that the development location will adjoin the B6245 known as Ribchester Road which is characterised by high levels of traffic flowing between Wilpshire and the A59 in both directions.</w:t>
            </w:r>
            <w:r w:rsidR="00332CF2">
              <w:rPr>
                <w:rFonts w:ascii="Calibri" w:hAnsi="Calibri"/>
                <w:bCs/>
                <w:szCs w:val="22"/>
              </w:rPr>
              <w:t xml:space="preserve"> </w:t>
            </w:r>
            <w:r w:rsidR="0041349D">
              <w:rPr>
                <w:rFonts w:ascii="Calibri" w:hAnsi="Calibri"/>
                <w:bCs/>
                <w:szCs w:val="22"/>
              </w:rPr>
              <w:t>Whilst the proposed access arrangements for the site remain unkn</w:t>
            </w:r>
            <w:r w:rsidR="00A242CD">
              <w:rPr>
                <w:rFonts w:ascii="Calibri" w:hAnsi="Calibri"/>
                <w:bCs/>
                <w:szCs w:val="22"/>
              </w:rPr>
              <w:t>own, i</w:t>
            </w:r>
            <w:r w:rsidR="00332CF2">
              <w:rPr>
                <w:rFonts w:ascii="Calibri" w:hAnsi="Calibri"/>
                <w:bCs/>
                <w:szCs w:val="22"/>
              </w:rPr>
              <w:t>t is thought that t</w:t>
            </w:r>
            <w:r>
              <w:rPr>
                <w:rFonts w:ascii="Calibri" w:hAnsi="Calibri"/>
                <w:bCs/>
                <w:szCs w:val="22"/>
              </w:rPr>
              <w:t xml:space="preserve">he demolition of the existing outbuilding will </w:t>
            </w:r>
            <w:r w:rsidR="00A242CD">
              <w:rPr>
                <w:rFonts w:ascii="Calibri" w:hAnsi="Calibri"/>
                <w:bCs/>
                <w:szCs w:val="22"/>
              </w:rPr>
              <w:t>help to enable the safe entry and departure from a site which benefits from a previously approved form of access.</w:t>
            </w:r>
          </w:p>
          <w:p w14:paraId="72F04AE7" w14:textId="5F9DE3B5" w:rsidR="002322F1" w:rsidRDefault="002322F1" w:rsidP="002322F1">
            <w:pPr>
              <w:pStyle w:val="Header"/>
              <w:tabs>
                <w:tab w:val="left" w:pos="720"/>
              </w:tabs>
              <w:jc w:val="both"/>
              <w:rPr>
                <w:rFonts w:ascii="Calibri" w:hAnsi="Calibri"/>
                <w:b/>
                <w:szCs w:val="22"/>
              </w:rPr>
            </w:pPr>
          </w:p>
        </w:tc>
      </w:tr>
      <w:tr w:rsidR="00486F1E" w:rsidRPr="00F57D86" w14:paraId="08089BFC" w14:textId="77777777" w:rsidTr="00A01063">
        <w:trPr>
          <w:jc w:val="center"/>
        </w:trPr>
        <w:tc>
          <w:tcPr>
            <w:tcW w:w="9776" w:type="dxa"/>
            <w:gridSpan w:val="13"/>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tcPr>
          <w:p w14:paraId="6F340FF3" w14:textId="77777777" w:rsidR="00486F1E" w:rsidRPr="00695EF4" w:rsidRDefault="00486F1E" w:rsidP="00486F1E">
            <w:pPr>
              <w:jc w:val="both"/>
              <w:rPr>
                <w:rFonts w:ascii="Calibri" w:hAnsi="Calibri"/>
                <w:b/>
                <w:bCs/>
                <w:szCs w:val="22"/>
              </w:rPr>
            </w:pPr>
            <w:r w:rsidRPr="00557FD5">
              <w:rPr>
                <w:rFonts w:ascii="Calibri" w:hAnsi="Calibri"/>
                <w:b/>
                <w:bCs/>
                <w:szCs w:val="22"/>
              </w:rPr>
              <w:lastRenderedPageBreak/>
              <w:t>Observations/Consideration of Matters Raised/Conclusion:</w:t>
            </w:r>
          </w:p>
          <w:p w14:paraId="3B54D803" w14:textId="7FE5899B" w:rsidR="00486F1E" w:rsidRDefault="00486F1E" w:rsidP="00486F1E">
            <w:pPr>
              <w:jc w:val="both"/>
              <w:rPr>
                <w:rFonts w:ascii="Calibri" w:hAnsi="Calibri"/>
                <w:b/>
                <w:bCs/>
                <w:szCs w:val="22"/>
                <w:highlight w:val="yellow"/>
              </w:rPr>
            </w:pPr>
          </w:p>
          <w:p w14:paraId="789F20C3" w14:textId="77777777" w:rsidR="00486F1E" w:rsidRDefault="00DB2FE7" w:rsidP="00D12FEE">
            <w:pPr>
              <w:pStyle w:val="Header"/>
              <w:tabs>
                <w:tab w:val="left" w:pos="720"/>
              </w:tabs>
              <w:jc w:val="both"/>
              <w:rPr>
                <w:rFonts w:ascii="Calibri" w:hAnsi="Calibri"/>
              </w:rPr>
            </w:pPr>
            <w:r>
              <w:rPr>
                <w:rFonts w:ascii="Calibri" w:hAnsi="Calibri"/>
              </w:rPr>
              <w:t>It is for the above reasons and having regard to all material considerations and matters raised that the application is recommended for approval.</w:t>
            </w:r>
          </w:p>
          <w:p w14:paraId="46B0CF2C" w14:textId="3C5DE175" w:rsidR="00DB2FE7" w:rsidRPr="00DB2FE7" w:rsidRDefault="00DB2FE7" w:rsidP="00D12FEE">
            <w:pPr>
              <w:pStyle w:val="Header"/>
              <w:tabs>
                <w:tab w:val="left" w:pos="720"/>
              </w:tabs>
              <w:jc w:val="both"/>
              <w:rPr>
                <w:rFonts w:ascii="Calibri" w:hAnsi="Calibri"/>
              </w:rPr>
            </w:pPr>
          </w:p>
        </w:tc>
      </w:tr>
      <w:tr w:rsidR="00486F1E" w:rsidRPr="00C609D4" w14:paraId="77D953CB" w14:textId="77777777" w:rsidTr="00621C14">
        <w:trPr>
          <w:jc w:val="center"/>
        </w:trPr>
        <w:tc>
          <w:tcPr>
            <w:tcW w:w="3356" w:type="dxa"/>
            <w:gridSpan w:val="5"/>
            <w:tcBorders>
              <w:top w:val="single" w:sz="4" w:space="0" w:color="A6A6A6"/>
              <w:left w:val="single" w:sz="4" w:space="0" w:color="A6A6A6"/>
              <w:bottom w:val="single" w:sz="4" w:space="0" w:color="A6A6A6"/>
              <w:right w:val="single" w:sz="4" w:space="0" w:color="A6A6A6"/>
            </w:tcBorders>
            <w:tcMar>
              <w:top w:w="57" w:type="dxa"/>
              <w:left w:w="108" w:type="dxa"/>
              <w:bottom w:w="57" w:type="dxa"/>
              <w:right w:w="108" w:type="dxa"/>
            </w:tcMar>
            <w:hideMark/>
          </w:tcPr>
          <w:p w14:paraId="4D54D396" w14:textId="77777777" w:rsidR="00486F1E" w:rsidRPr="00C609D4" w:rsidRDefault="00486F1E" w:rsidP="00486F1E">
            <w:pPr>
              <w:rPr>
                <w:rFonts w:ascii="Calibri" w:hAnsi="Calibri"/>
                <w:b/>
                <w:bCs/>
                <w:szCs w:val="22"/>
              </w:rPr>
            </w:pPr>
            <w:r w:rsidRPr="00C609D4">
              <w:rPr>
                <w:rFonts w:ascii="Calibri" w:hAnsi="Calibri"/>
                <w:b/>
                <w:szCs w:val="22"/>
              </w:rPr>
              <w:t>RECOMMENDATION</w:t>
            </w:r>
            <w:r w:rsidRPr="00C609D4">
              <w:rPr>
                <w:rFonts w:ascii="Calibri" w:hAnsi="Calibri"/>
                <w:szCs w:val="22"/>
              </w:rPr>
              <w:t>:</w:t>
            </w:r>
          </w:p>
        </w:tc>
        <w:tc>
          <w:tcPr>
            <w:tcW w:w="6420" w:type="dxa"/>
            <w:gridSpan w:val="8"/>
            <w:tcBorders>
              <w:top w:val="single" w:sz="4" w:space="0" w:color="A6A6A6"/>
              <w:left w:val="single" w:sz="4" w:space="0" w:color="A6A6A6"/>
              <w:bottom w:val="single" w:sz="4" w:space="0" w:color="A6A6A6"/>
              <w:right w:val="single" w:sz="4" w:space="0" w:color="A6A6A6"/>
            </w:tcBorders>
            <w:hideMark/>
          </w:tcPr>
          <w:p w14:paraId="4A45EE71" w14:textId="642468F3" w:rsidR="00486F1E" w:rsidRPr="00873A23" w:rsidRDefault="00316056" w:rsidP="00486F1E">
            <w:pPr>
              <w:rPr>
                <w:rFonts w:ascii="Calibri" w:hAnsi="Calibri"/>
                <w:bCs/>
                <w:szCs w:val="22"/>
                <w:highlight w:val="yellow"/>
              </w:rPr>
            </w:pPr>
            <w:r>
              <w:rPr>
                <w:rFonts w:ascii="Calibri" w:hAnsi="Calibri"/>
                <w:bCs/>
                <w:szCs w:val="22"/>
              </w:rPr>
              <w:t xml:space="preserve">That </w:t>
            </w:r>
            <w:r w:rsidR="00DB2FE7">
              <w:rPr>
                <w:rFonts w:ascii="Calibri" w:hAnsi="Calibri"/>
                <w:bCs/>
                <w:szCs w:val="22"/>
              </w:rPr>
              <w:t xml:space="preserve">outline </w:t>
            </w:r>
            <w:r>
              <w:rPr>
                <w:rFonts w:ascii="Calibri" w:hAnsi="Calibri"/>
                <w:bCs/>
                <w:szCs w:val="22"/>
              </w:rPr>
              <w:t xml:space="preserve">permission is granted subject to the imposition of conditions. </w:t>
            </w:r>
            <w:r w:rsidR="00486F1E" w:rsidRPr="00B930B8">
              <w:rPr>
                <w:rFonts w:ascii="Calibri" w:hAnsi="Calibri"/>
                <w:bCs/>
                <w:szCs w:val="22"/>
              </w:rPr>
              <w:t xml:space="preserve"> </w:t>
            </w:r>
          </w:p>
        </w:tc>
      </w:tr>
    </w:tbl>
    <w:p w14:paraId="3780D7C0" w14:textId="77777777" w:rsidR="00965C32" w:rsidRDefault="00965C32"/>
    <w:sectPr w:rsidR="00965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A0E41"/>
    <w:multiLevelType w:val="hybridMultilevel"/>
    <w:tmpl w:val="11624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55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32"/>
    <w:rsid w:val="00004A14"/>
    <w:rsid w:val="00026E4E"/>
    <w:rsid w:val="00046BEB"/>
    <w:rsid w:val="00126B71"/>
    <w:rsid w:val="00142C4D"/>
    <w:rsid w:val="00184167"/>
    <w:rsid w:val="001F166E"/>
    <w:rsid w:val="001F76F6"/>
    <w:rsid w:val="002322F1"/>
    <w:rsid w:val="00240054"/>
    <w:rsid w:val="00250BCC"/>
    <w:rsid w:val="00250D9E"/>
    <w:rsid w:val="002B3833"/>
    <w:rsid w:val="002D3632"/>
    <w:rsid w:val="002E0408"/>
    <w:rsid w:val="002F27EB"/>
    <w:rsid w:val="00316056"/>
    <w:rsid w:val="00332CF2"/>
    <w:rsid w:val="003476D8"/>
    <w:rsid w:val="003A0DEE"/>
    <w:rsid w:val="003A487A"/>
    <w:rsid w:val="003C164D"/>
    <w:rsid w:val="003D6708"/>
    <w:rsid w:val="0041349D"/>
    <w:rsid w:val="00435A6A"/>
    <w:rsid w:val="00486F1E"/>
    <w:rsid w:val="004C453A"/>
    <w:rsid w:val="00562A34"/>
    <w:rsid w:val="005B3F8F"/>
    <w:rsid w:val="005C115D"/>
    <w:rsid w:val="00621C14"/>
    <w:rsid w:val="00633164"/>
    <w:rsid w:val="006B1F41"/>
    <w:rsid w:val="006C6BE2"/>
    <w:rsid w:val="006E61B5"/>
    <w:rsid w:val="006E6C14"/>
    <w:rsid w:val="00730677"/>
    <w:rsid w:val="008015C2"/>
    <w:rsid w:val="008557F3"/>
    <w:rsid w:val="008B5533"/>
    <w:rsid w:val="008C5C91"/>
    <w:rsid w:val="008D245C"/>
    <w:rsid w:val="00965C32"/>
    <w:rsid w:val="00973C4E"/>
    <w:rsid w:val="00983ABA"/>
    <w:rsid w:val="009931C2"/>
    <w:rsid w:val="00A242CD"/>
    <w:rsid w:val="00A43AC5"/>
    <w:rsid w:val="00AB7265"/>
    <w:rsid w:val="00AD482F"/>
    <w:rsid w:val="00AE7050"/>
    <w:rsid w:val="00AF3FFD"/>
    <w:rsid w:val="00B2709D"/>
    <w:rsid w:val="00B532FC"/>
    <w:rsid w:val="00B543A2"/>
    <w:rsid w:val="00B63610"/>
    <w:rsid w:val="00BF394F"/>
    <w:rsid w:val="00BF56E4"/>
    <w:rsid w:val="00C16305"/>
    <w:rsid w:val="00C17B20"/>
    <w:rsid w:val="00CA6482"/>
    <w:rsid w:val="00CC4C95"/>
    <w:rsid w:val="00CC4FEE"/>
    <w:rsid w:val="00CD6EE9"/>
    <w:rsid w:val="00D12FEE"/>
    <w:rsid w:val="00D56403"/>
    <w:rsid w:val="00D65E33"/>
    <w:rsid w:val="00D92EFA"/>
    <w:rsid w:val="00DB2FE7"/>
    <w:rsid w:val="00DE1903"/>
    <w:rsid w:val="00E20E5A"/>
    <w:rsid w:val="00E32735"/>
    <w:rsid w:val="00E642AA"/>
    <w:rsid w:val="00E64C2F"/>
    <w:rsid w:val="00E95D4A"/>
    <w:rsid w:val="00EF7147"/>
    <w:rsid w:val="00F008AC"/>
    <w:rsid w:val="00F309F1"/>
    <w:rsid w:val="00F87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4D1AA"/>
  <w15:chartTrackingRefBased/>
  <w15:docId w15:val="{753D22E3-DB18-4A2E-B716-6CF18ECB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C32"/>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5C32"/>
    <w:pPr>
      <w:tabs>
        <w:tab w:val="center" w:pos="4153"/>
        <w:tab w:val="right" w:pos="8306"/>
      </w:tabs>
    </w:pPr>
  </w:style>
  <w:style w:type="character" w:customStyle="1" w:styleId="HeaderChar">
    <w:name w:val="Header Char"/>
    <w:basedOn w:val="DefaultParagraphFont"/>
    <w:link w:val="Header"/>
    <w:rsid w:val="00965C32"/>
    <w:rPr>
      <w:rFonts w:ascii="Arial" w:eastAsia="Times New Roman" w:hAnsi="Arial" w:cs="Times New Roman"/>
      <w:szCs w:val="20"/>
    </w:rPr>
  </w:style>
  <w:style w:type="paragraph" w:styleId="ListParagraph">
    <w:name w:val="List Paragraph"/>
    <w:basedOn w:val="Normal"/>
    <w:uiPriority w:val="34"/>
    <w:qFormat/>
    <w:rsid w:val="00965C32"/>
    <w:pPr>
      <w:ind w:left="720"/>
      <w:contextualSpacing/>
    </w:pPr>
  </w:style>
  <w:style w:type="paragraph" w:customStyle="1" w:styleId="PLANNING">
    <w:name w:val="PLANNING"/>
    <w:basedOn w:val="Normal"/>
    <w:rsid w:val="00965C32"/>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56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B574B-E90E-4F50-AF4B-71654158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Waleczek</dc:creator>
  <cp:keywords/>
  <dc:description/>
  <cp:lastModifiedBy>Lesley Lund</cp:lastModifiedBy>
  <cp:revision>2</cp:revision>
  <cp:lastPrinted>2022-07-12T16:39:00Z</cp:lastPrinted>
  <dcterms:created xsi:type="dcterms:W3CDTF">2022-07-12T16:42:00Z</dcterms:created>
  <dcterms:modified xsi:type="dcterms:W3CDTF">2022-07-12T16:42:00Z</dcterms:modified>
</cp:coreProperties>
</file>