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58"/>
        <w:gridCol w:w="1041"/>
        <w:gridCol w:w="36"/>
        <w:gridCol w:w="82"/>
        <w:gridCol w:w="576"/>
        <w:gridCol w:w="583"/>
        <w:gridCol w:w="1159"/>
        <w:gridCol w:w="1002"/>
        <w:gridCol w:w="157"/>
        <w:gridCol w:w="1159"/>
        <w:gridCol w:w="1159"/>
        <w:gridCol w:w="1159"/>
      </w:tblGrid>
      <w:tr w:rsidR="004A5EA9" w:rsidRPr="00D2449B" w14:paraId="230E00AF"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B081C" w:rsidRPr="00D2449B" w14:paraId="7BDBA138" w14:textId="77777777" w:rsidTr="003E569A">
        <w:trPr>
          <w:jc w:val="center"/>
        </w:trPr>
        <w:tc>
          <w:tcPr>
            <w:tcW w:w="1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8EF9F0" w14:textId="328CFD35" w:rsidR="004B081C" w:rsidRPr="004B081C" w:rsidRDefault="004B081C" w:rsidP="004B081C">
            <w:pPr>
              <w:jc w:val="center"/>
              <w:rPr>
                <w:rFonts w:asciiTheme="minorHAnsi" w:hAnsiTheme="minorHAnsi" w:cstheme="minorHAnsi"/>
                <w:b/>
                <w:szCs w:val="22"/>
              </w:rPr>
            </w:pPr>
            <w:r w:rsidRPr="004B081C">
              <w:rPr>
                <w:rFonts w:asciiTheme="minorHAnsi" w:hAnsiTheme="minorHAnsi" w:cstheme="minorHAnsi"/>
              </w:rPr>
              <w:t>Signed:</w:t>
            </w:r>
          </w:p>
        </w:tc>
        <w:tc>
          <w:tcPr>
            <w:tcW w:w="11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733BE" w14:textId="65DAA7CD" w:rsidR="004B081C" w:rsidRPr="004B081C" w:rsidRDefault="004B081C" w:rsidP="004B081C">
            <w:pPr>
              <w:jc w:val="center"/>
              <w:rPr>
                <w:rFonts w:asciiTheme="minorHAnsi" w:hAnsiTheme="minorHAnsi" w:cstheme="minorHAnsi"/>
                <w:b/>
                <w:szCs w:val="22"/>
              </w:rPr>
            </w:pPr>
            <w:r w:rsidRPr="004B081C">
              <w:rPr>
                <w:rFonts w:asciiTheme="minorHAnsi" w:hAnsiTheme="minorHAnsi" w:cstheme="minorHAnsi"/>
              </w:rPr>
              <w:t>LH</w:t>
            </w:r>
          </w:p>
        </w:tc>
        <w:tc>
          <w:tcPr>
            <w:tcW w:w="11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8EBC6" w14:textId="1064639A" w:rsidR="004B081C" w:rsidRPr="004B081C" w:rsidRDefault="004B081C" w:rsidP="004B081C">
            <w:pPr>
              <w:jc w:val="center"/>
              <w:rPr>
                <w:rFonts w:asciiTheme="minorHAnsi" w:hAnsiTheme="minorHAnsi" w:cstheme="minorHAnsi"/>
                <w:b/>
                <w:szCs w:val="22"/>
              </w:rPr>
            </w:pPr>
            <w:r w:rsidRPr="004B081C">
              <w:rPr>
                <w:rFonts w:asciiTheme="minorHAnsi" w:hAnsiTheme="minorHAnsi" w:cstheme="minorHAnsi"/>
              </w:rPr>
              <w:t>Date:</w:t>
            </w:r>
          </w:p>
        </w:tc>
        <w:tc>
          <w:tcPr>
            <w:tcW w:w="1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9C60D" w14:textId="1A74C690" w:rsidR="004B081C" w:rsidRPr="00D72ED1" w:rsidRDefault="00DF5D4F" w:rsidP="004B081C">
            <w:pPr>
              <w:jc w:val="center"/>
              <w:rPr>
                <w:rFonts w:asciiTheme="minorHAnsi" w:hAnsiTheme="minorHAnsi" w:cstheme="minorHAnsi"/>
                <w:bCs/>
                <w:szCs w:val="22"/>
              </w:rPr>
            </w:pPr>
            <w:r>
              <w:rPr>
                <w:rFonts w:asciiTheme="minorHAnsi" w:hAnsiTheme="minorHAnsi" w:cstheme="minorHAnsi"/>
                <w:bCs/>
                <w:szCs w:val="22"/>
              </w:rPr>
              <w:t>21/3/23</w:t>
            </w:r>
          </w:p>
        </w:tc>
        <w:tc>
          <w:tcPr>
            <w:tcW w:w="11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FA044" w14:textId="230A1ED1" w:rsidR="004B081C" w:rsidRPr="004B081C" w:rsidRDefault="004B081C" w:rsidP="004B081C">
            <w:pPr>
              <w:jc w:val="center"/>
              <w:rPr>
                <w:rFonts w:asciiTheme="minorHAnsi" w:hAnsiTheme="minorHAnsi" w:cstheme="minorHAnsi"/>
                <w:b/>
                <w:szCs w:val="22"/>
              </w:rPr>
            </w:pPr>
            <w:r w:rsidRPr="004B081C">
              <w:rPr>
                <w:rFonts w:asciiTheme="minorHAnsi" w:hAnsiTheme="minorHAnsi" w:cstheme="minorHAnsi"/>
              </w:rPr>
              <w:t>Manager:</w:t>
            </w:r>
          </w:p>
        </w:tc>
        <w:tc>
          <w:tcPr>
            <w:tcW w:w="1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40561" w14:textId="7470E111" w:rsidR="004B081C" w:rsidRPr="004B081C" w:rsidRDefault="00F87B71" w:rsidP="004B081C">
            <w:pPr>
              <w:jc w:val="center"/>
              <w:rPr>
                <w:rFonts w:asciiTheme="minorHAnsi" w:hAnsiTheme="minorHAnsi" w:cstheme="minorHAnsi"/>
                <w:b/>
                <w:szCs w:val="22"/>
              </w:rPr>
            </w:pPr>
            <w:r>
              <w:rPr>
                <w:rFonts w:asciiTheme="minorHAnsi" w:hAnsiTheme="minorHAnsi" w:cstheme="minorHAnsi"/>
                <w:b/>
                <w:szCs w:val="22"/>
              </w:rPr>
              <w:t>NH</w:t>
            </w:r>
          </w:p>
        </w:tc>
        <w:tc>
          <w:tcPr>
            <w:tcW w:w="1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F2850" w14:textId="564D05C6" w:rsidR="004B081C" w:rsidRPr="004B081C" w:rsidRDefault="004B081C" w:rsidP="004B081C">
            <w:pPr>
              <w:jc w:val="center"/>
              <w:rPr>
                <w:rFonts w:asciiTheme="minorHAnsi" w:hAnsiTheme="minorHAnsi" w:cstheme="minorHAnsi"/>
                <w:b/>
                <w:szCs w:val="22"/>
              </w:rPr>
            </w:pPr>
            <w:r w:rsidRPr="004B081C">
              <w:rPr>
                <w:rFonts w:asciiTheme="minorHAnsi" w:hAnsiTheme="minorHAnsi" w:cstheme="minorHAnsi"/>
              </w:rPr>
              <w:t>Date:</w:t>
            </w:r>
          </w:p>
        </w:tc>
        <w:tc>
          <w:tcPr>
            <w:tcW w:w="1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B0280" w14:textId="2A95C965" w:rsidR="004B081C" w:rsidRPr="004B081C" w:rsidRDefault="00F87B71" w:rsidP="004B081C">
            <w:pPr>
              <w:jc w:val="center"/>
              <w:rPr>
                <w:rFonts w:asciiTheme="minorHAnsi" w:hAnsiTheme="minorHAnsi" w:cstheme="minorHAnsi"/>
                <w:b/>
                <w:szCs w:val="22"/>
              </w:rPr>
            </w:pPr>
            <w:r>
              <w:rPr>
                <w:rFonts w:asciiTheme="minorHAnsi" w:hAnsiTheme="minorHAnsi" w:cstheme="minorHAnsi"/>
                <w:b/>
                <w:szCs w:val="22"/>
              </w:rPr>
              <w:t>22/03/23</w:t>
            </w:r>
          </w:p>
        </w:tc>
      </w:tr>
      <w:tr w:rsidR="004A5EA9" w:rsidRPr="00D2449B" w14:paraId="2094A164" w14:textId="77777777" w:rsidTr="00EF44E6">
        <w:trPr>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F44E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EBE70E6" w:rsidR="004A5EA9" w:rsidRPr="003C2B2D" w:rsidRDefault="003C2B2D" w:rsidP="008542DE">
            <w:pPr>
              <w:rPr>
                <w:rFonts w:ascii="Calibri" w:hAnsi="Calibri"/>
                <w:szCs w:val="22"/>
              </w:rPr>
            </w:pPr>
            <w:r w:rsidRPr="003C2B2D">
              <w:rPr>
                <w:rFonts w:ascii="Calibri" w:hAnsi="Calibri"/>
                <w:szCs w:val="22"/>
              </w:rPr>
              <w:t>3/2022/0</w:t>
            </w:r>
            <w:r w:rsidR="00DF5D4F">
              <w:rPr>
                <w:rFonts w:ascii="Calibri" w:hAnsi="Calibri"/>
                <w:szCs w:val="22"/>
              </w:rPr>
              <w:t>467</w:t>
            </w:r>
          </w:p>
        </w:tc>
        <w:tc>
          <w:tcPr>
            <w:tcW w:w="363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EF44E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F05647B" w:rsidR="004A5EA9" w:rsidRPr="00C0704D" w:rsidRDefault="00DF5D4F" w:rsidP="002C6277">
            <w:pPr>
              <w:rPr>
                <w:rFonts w:ascii="Calibri" w:hAnsi="Calibri"/>
                <w:szCs w:val="22"/>
              </w:rPr>
            </w:pPr>
            <w:r>
              <w:rPr>
                <w:rFonts w:ascii="Calibri" w:hAnsi="Calibri"/>
                <w:szCs w:val="22"/>
              </w:rPr>
              <w:t>17</w:t>
            </w:r>
            <w:r w:rsidR="003C2B2D" w:rsidRPr="004E50B9">
              <w:rPr>
                <w:rFonts w:ascii="Calibri" w:hAnsi="Calibri"/>
                <w:szCs w:val="22"/>
              </w:rPr>
              <w:t>/</w:t>
            </w:r>
            <w:r>
              <w:rPr>
                <w:rFonts w:ascii="Calibri" w:hAnsi="Calibri"/>
                <w:szCs w:val="22"/>
              </w:rPr>
              <w:t>6</w:t>
            </w:r>
            <w:r w:rsidR="003C2B2D" w:rsidRPr="004E50B9">
              <w:rPr>
                <w:rFonts w:ascii="Calibri" w:hAnsi="Calibri"/>
                <w:szCs w:val="22"/>
              </w:rPr>
              <w:t>/</w:t>
            </w:r>
            <w:r w:rsidR="004E50B9">
              <w:rPr>
                <w:rFonts w:ascii="Calibri" w:hAnsi="Calibri"/>
                <w:szCs w:val="22"/>
              </w:rPr>
              <w:t>22</w:t>
            </w:r>
            <w:r w:rsidR="004A1EFC">
              <w:rPr>
                <w:rFonts w:ascii="Calibri" w:hAnsi="Calibri"/>
                <w:szCs w:val="22"/>
              </w:rPr>
              <w:t xml:space="preserve"> and </w:t>
            </w:r>
            <w:r>
              <w:rPr>
                <w:rFonts w:ascii="Calibri" w:hAnsi="Calibri"/>
                <w:szCs w:val="22"/>
              </w:rPr>
              <w:t>17</w:t>
            </w:r>
            <w:r w:rsidR="004A1EFC">
              <w:rPr>
                <w:rFonts w:ascii="Calibri" w:hAnsi="Calibri"/>
                <w:szCs w:val="22"/>
              </w:rPr>
              <w:t>/</w:t>
            </w:r>
            <w:r>
              <w:rPr>
                <w:rFonts w:ascii="Calibri" w:hAnsi="Calibri"/>
                <w:szCs w:val="22"/>
              </w:rPr>
              <w:t>1</w:t>
            </w:r>
            <w:r w:rsidR="004A1EFC">
              <w:rPr>
                <w:rFonts w:ascii="Calibri" w:hAnsi="Calibri"/>
                <w:szCs w:val="22"/>
              </w:rPr>
              <w:t>/23</w:t>
            </w:r>
          </w:p>
        </w:tc>
        <w:tc>
          <w:tcPr>
            <w:tcW w:w="363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EF44E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5CA22E9" w:rsidR="004A5EA9" w:rsidRPr="00250879" w:rsidRDefault="004E50B9" w:rsidP="00811771">
            <w:pPr>
              <w:rPr>
                <w:rFonts w:ascii="Calibri" w:hAnsi="Calibri"/>
                <w:color w:val="548DD4" w:themeColor="text2" w:themeTint="99"/>
                <w:szCs w:val="22"/>
              </w:rPr>
            </w:pPr>
            <w:r>
              <w:rPr>
                <w:rFonts w:ascii="Calibri" w:hAnsi="Calibri"/>
                <w:szCs w:val="22"/>
              </w:rPr>
              <w:t>AD/</w:t>
            </w:r>
            <w:r w:rsidR="002D038C">
              <w:rPr>
                <w:rFonts w:ascii="Calibri" w:hAnsi="Calibri"/>
                <w:szCs w:val="22"/>
              </w:rPr>
              <w:t>LH</w:t>
            </w:r>
          </w:p>
        </w:tc>
        <w:tc>
          <w:tcPr>
            <w:tcW w:w="363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F44E6">
        <w:trPr>
          <w:jc w:val="center"/>
        </w:trPr>
        <w:tc>
          <w:tcPr>
            <w:tcW w:w="5637"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EF44E6">
        <w:trPr>
          <w:trHeight w:hRule="exact" w:val="170"/>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F44E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37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48E8439" w:rsidR="004A5EA9" w:rsidRPr="002C6277" w:rsidRDefault="00DF5D4F" w:rsidP="008652AA">
            <w:pPr>
              <w:rPr>
                <w:rFonts w:ascii="Calibri" w:hAnsi="Calibri"/>
                <w:szCs w:val="22"/>
              </w:rPr>
            </w:pPr>
            <w:r w:rsidRPr="00DF5D4F">
              <w:rPr>
                <w:rFonts w:ascii="Calibri" w:hAnsi="Calibri"/>
                <w:szCs w:val="22"/>
              </w:rPr>
              <w:t>Demolition of existing house and erection of a replacement dwelling with associated external works</w:t>
            </w:r>
            <w:r>
              <w:rPr>
                <w:rFonts w:ascii="Calibri" w:hAnsi="Calibri"/>
                <w:szCs w:val="22"/>
              </w:rPr>
              <w:t>. Re-submission of 3/2021/1122</w:t>
            </w:r>
          </w:p>
        </w:tc>
      </w:tr>
      <w:tr w:rsidR="002A01CF" w:rsidRPr="00D2449B" w14:paraId="52988241" w14:textId="77777777" w:rsidTr="00EF44E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37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7BBFFCD" w:rsidR="002A01CF" w:rsidRPr="004E50B9" w:rsidRDefault="00DF5D4F" w:rsidP="00350874">
            <w:pPr>
              <w:rPr>
                <w:rFonts w:asciiTheme="minorHAnsi" w:hAnsiTheme="minorHAnsi" w:cstheme="minorHAnsi"/>
                <w:b/>
                <w:bCs/>
                <w:szCs w:val="22"/>
              </w:rPr>
            </w:pPr>
            <w:r w:rsidRPr="00DF5D4F">
              <w:rPr>
                <w:rStyle w:val="Strong"/>
                <w:rFonts w:asciiTheme="minorHAnsi" w:hAnsiTheme="minorHAnsi" w:cstheme="minorHAnsi"/>
                <w:b w:val="0"/>
                <w:bCs w:val="0"/>
                <w:szCs w:val="22"/>
                <w:bdr w:val="none" w:sz="0" w:space="0" w:color="auto" w:frame="1"/>
                <w:shd w:val="clear" w:color="auto" w:fill="FFFFFF"/>
              </w:rPr>
              <w:t>36 Painter Wood Whalley Old Road Billington BB7 9JD</w:t>
            </w:r>
          </w:p>
        </w:tc>
      </w:tr>
      <w:tr w:rsidR="00A95D89" w:rsidRPr="00D2449B" w14:paraId="3FB99B2E" w14:textId="77777777" w:rsidTr="00EF44E6">
        <w:trPr>
          <w:trHeight w:hRule="exact" w:val="170"/>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F44E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37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81BACE4" w:rsidR="002A01CF" w:rsidRPr="00131E7C" w:rsidRDefault="00131E7C">
            <w:pPr>
              <w:rPr>
                <w:rFonts w:ascii="Calibri" w:hAnsi="Calibri"/>
                <w:bCs/>
                <w:szCs w:val="22"/>
              </w:rPr>
            </w:pPr>
            <w:r w:rsidRPr="00DF5D4F">
              <w:rPr>
                <w:rFonts w:ascii="Calibri" w:hAnsi="Calibri"/>
                <w:bCs/>
                <w:szCs w:val="22"/>
              </w:rPr>
              <w:t>No</w:t>
            </w:r>
            <w:r w:rsidR="00D92449" w:rsidRPr="00DF5D4F">
              <w:rPr>
                <w:rFonts w:ascii="Calibri" w:hAnsi="Calibri"/>
                <w:bCs/>
                <w:szCs w:val="22"/>
              </w:rPr>
              <w:t xml:space="preserve"> response received</w:t>
            </w:r>
          </w:p>
        </w:tc>
      </w:tr>
      <w:tr w:rsidR="00C618DB" w:rsidRPr="00D2449B" w14:paraId="639E958B" w14:textId="77777777" w:rsidTr="00EF44E6">
        <w:trPr>
          <w:trHeight w:hRule="exact" w:val="170"/>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F44E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37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3C2B2D" w:rsidRPr="00D2449B" w14:paraId="1EA955B4" w14:textId="77777777" w:rsidTr="001E4DF2">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5E2313" w14:textId="02A60BBA" w:rsidR="00DF5D4F" w:rsidRPr="00DF5D4F" w:rsidRDefault="00DF5D4F" w:rsidP="00DF5D4F">
            <w:pPr>
              <w:jc w:val="both"/>
              <w:rPr>
                <w:rFonts w:ascii="Calibri" w:hAnsi="Calibri"/>
                <w:b/>
                <w:bCs/>
                <w:szCs w:val="22"/>
              </w:rPr>
            </w:pPr>
            <w:r w:rsidRPr="00DF5D4F">
              <w:rPr>
                <w:rFonts w:ascii="Calibri" w:hAnsi="Calibri"/>
                <w:b/>
                <w:bCs/>
                <w:szCs w:val="22"/>
              </w:rPr>
              <w:t>LCC Highways:</w:t>
            </w:r>
          </w:p>
          <w:p w14:paraId="2962F080" w14:textId="669201DB" w:rsidR="00DF5D4F" w:rsidRDefault="00DF5D4F" w:rsidP="00DF5D4F">
            <w:pPr>
              <w:jc w:val="both"/>
              <w:rPr>
                <w:rFonts w:ascii="Calibri" w:hAnsi="Calibri"/>
                <w:szCs w:val="22"/>
              </w:rPr>
            </w:pPr>
            <w:r>
              <w:rPr>
                <w:rFonts w:ascii="Calibri" w:hAnsi="Calibri"/>
                <w:szCs w:val="22"/>
              </w:rPr>
              <w:t>No objection subject to conditions (implementation of access arrangements; visibility splay free of obstruction; implementation and retention of parking and turning facilities).</w:t>
            </w:r>
          </w:p>
          <w:p w14:paraId="53B11F9D" w14:textId="77777777" w:rsidR="00DF5D4F" w:rsidRDefault="00DF5D4F" w:rsidP="00DF5D4F">
            <w:pPr>
              <w:jc w:val="both"/>
              <w:rPr>
                <w:rFonts w:ascii="Calibri" w:hAnsi="Calibri"/>
                <w:szCs w:val="22"/>
              </w:rPr>
            </w:pPr>
          </w:p>
          <w:p w14:paraId="14B8AF1C" w14:textId="77777777" w:rsidR="00DF5D4F" w:rsidRDefault="00DF5D4F" w:rsidP="00DF5D4F">
            <w:pPr>
              <w:jc w:val="both"/>
              <w:rPr>
                <w:rFonts w:ascii="Calibri" w:hAnsi="Calibri"/>
                <w:b/>
                <w:szCs w:val="22"/>
              </w:rPr>
            </w:pPr>
            <w:r w:rsidRPr="00186D2F">
              <w:rPr>
                <w:rFonts w:ascii="Calibri" w:hAnsi="Calibri"/>
                <w:b/>
                <w:szCs w:val="22"/>
              </w:rPr>
              <w:t>United Utilities:</w:t>
            </w:r>
          </w:p>
          <w:p w14:paraId="1C95173E" w14:textId="371C9F89" w:rsidR="00350874" w:rsidRPr="003C2B2D" w:rsidRDefault="00DF5D4F" w:rsidP="00DF5D4F">
            <w:pPr>
              <w:jc w:val="both"/>
              <w:rPr>
                <w:rFonts w:ascii="Calibri" w:hAnsi="Calibri"/>
                <w:bCs/>
                <w:szCs w:val="22"/>
              </w:rPr>
            </w:pPr>
            <w:r w:rsidRPr="00691D33">
              <w:rPr>
                <w:rFonts w:ascii="Calibri" w:hAnsi="Calibri"/>
                <w:bCs/>
                <w:szCs w:val="22"/>
              </w:rPr>
              <w:t>Request additional information</w:t>
            </w:r>
            <w:r>
              <w:rPr>
                <w:rFonts w:ascii="Calibri" w:hAnsi="Calibri"/>
                <w:bCs/>
                <w:szCs w:val="22"/>
              </w:rPr>
              <w:t xml:space="preserve"> (levels and indicative foul and surface water drainage strategy). Drainage conditions (surface water; foul water) suggested otherwise. Notes re: water and wastewater services and UU property/assets/infrastructure.</w:t>
            </w:r>
            <w:r w:rsidRPr="00691D33">
              <w:rPr>
                <w:rFonts w:ascii="Calibri" w:hAnsi="Calibri"/>
                <w:bCs/>
                <w:szCs w:val="22"/>
              </w:rPr>
              <w:t xml:space="preserve"> </w:t>
            </w:r>
          </w:p>
        </w:tc>
      </w:tr>
      <w:tr w:rsidR="00C0704D" w:rsidRPr="00D2449B" w14:paraId="62663AAF"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F44E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37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31EDB8" w14:textId="73F3052D" w:rsidR="00DF5D4F" w:rsidRDefault="00DF5D4F" w:rsidP="00DF5D4F">
            <w:pPr>
              <w:jc w:val="both"/>
              <w:rPr>
                <w:rFonts w:ascii="Calibri" w:hAnsi="Calibri"/>
                <w:szCs w:val="22"/>
              </w:rPr>
            </w:pPr>
            <w:r>
              <w:rPr>
                <w:rFonts w:ascii="Calibri" w:hAnsi="Calibri"/>
                <w:szCs w:val="22"/>
              </w:rPr>
              <w:t>Four letters of objection received from two neighbouring properties</w:t>
            </w:r>
            <w:r w:rsidR="00887149">
              <w:rPr>
                <w:rFonts w:ascii="Calibri" w:hAnsi="Calibri"/>
                <w:szCs w:val="22"/>
              </w:rPr>
              <w:t xml:space="preserve">. A summary of the concerns raised is as </w:t>
            </w:r>
            <w:proofErr w:type="gramStart"/>
            <w:r w:rsidR="00887149">
              <w:rPr>
                <w:rFonts w:ascii="Calibri" w:hAnsi="Calibri"/>
                <w:szCs w:val="22"/>
              </w:rPr>
              <w:t>follows:-</w:t>
            </w:r>
            <w:proofErr w:type="gramEnd"/>
          </w:p>
          <w:p w14:paraId="6F798335" w14:textId="77777777" w:rsidR="00DF5D4F" w:rsidRDefault="00DF5D4F" w:rsidP="00DF5D4F">
            <w:pPr>
              <w:jc w:val="both"/>
              <w:rPr>
                <w:rFonts w:ascii="Calibri" w:hAnsi="Calibri"/>
                <w:szCs w:val="22"/>
              </w:rPr>
            </w:pPr>
          </w:p>
          <w:p w14:paraId="74B4734C" w14:textId="1731D85A" w:rsidR="00DF5D4F" w:rsidRDefault="00DF5D4F" w:rsidP="00DF5D4F">
            <w:pPr>
              <w:jc w:val="both"/>
              <w:rPr>
                <w:rFonts w:ascii="Calibri" w:hAnsi="Calibri"/>
                <w:szCs w:val="22"/>
              </w:rPr>
            </w:pPr>
            <w:r>
              <w:rPr>
                <w:rFonts w:ascii="Calibri" w:hAnsi="Calibri"/>
                <w:szCs w:val="22"/>
              </w:rPr>
              <w:t xml:space="preserve">Scale </w:t>
            </w:r>
            <w:r w:rsidR="00887149">
              <w:rPr>
                <w:rFonts w:ascii="Calibri" w:hAnsi="Calibri"/>
                <w:szCs w:val="22"/>
              </w:rPr>
              <w:t>–</w:t>
            </w:r>
            <w:r>
              <w:rPr>
                <w:rFonts w:ascii="Calibri" w:hAnsi="Calibri"/>
                <w:szCs w:val="22"/>
              </w:rPr>
              <w:t xml:space="preserve"> </w:t>
            </w:r>
            <w:r w:rsidR="00887149">
              <w:rPr>
                <w:rFonts w:ascii="Calibri" w:hAnsi="Calibri"/>
                <w:szCs w:val="22"/>
              </w:rPr>
              <w:t>proposal is large and extends beyond the established rear building line.</w:t>
            </w:r>
          </w:p>
          <w:p w14:paraId="4E548110" w14:textId="1ABCA7D5" w:rsidR="00887149" w:rsidRDefault="00887149" w:rsidP="00887149">
            <w:pPr>
              <w:jc w:val="both"/>
              <w:rPr>
                <w:rFonts w:ascii="Calibri" w:hAnsi="Calibri"/>
                <w:szCs w:val="22"/>
              </w:rPr>
            </w:pPr>
            <w:r>
              <w:rPr>
                <w:rFonts w:ascii="Calibri" w:hAnsi="Calibri"/>
                <w:szCs w:val="22"/>
              </w:rPr>
              <w:t xml:space="preserve">Overbearing – Harm to openness of Green Belt and loss of amenity. Would dwarf neighbouring </w:t>
            </w:r>
            <w:proofErr w:type="gramStart"/>
            <w:r>
              <w:rPr>
                <w:rFonts w:ascii="Calibri" w:hAnsi="Calibri"/>
                <w:szCs w:val="22"/>
              </w:rPr>
              <w:t>properties</w:t>
            </w:r>
            <w:proofErr w:type="gramEnd"/>
          </w:p>
          <w:p w14:paraId="67DC1810" w14:textId="5417A778" w:rsidR="00887149" w:rsidRDefault="00887149" w:rsidP="00887149">
            <w:pPr>
              <w:jc w:val="both"/>
              <w:rPr>
                <w:rFonts w:ascii="Calibri" w:hAnsi="Calibri"/>
                <w:szCs w:val="22"/>
              </w:rPr>
            </w:pPr>
            <w:r>
              <w:rPr>
                <w:rFonts w:ascii="Calibri" w:hAnsi="Calibri"/>
                <w:szCs w:val="22"/>
              </w:rPr>
              <w:t>Loss of privacy and light</w:t>
            </w:r>
          </w:p>
          <w:p w14:paraId="272F36CA" w14:textId="3D11873D" w:rsidR="00887149" w:rsidRDefault="00887149" w:rsidP="00887149">
            <w:pPr>
              <w:jc w:val="both"/>
              <w:rPr>
                <w:rFonts w:ascii="Calibri" w:hAnsi="Calibri"/>
                <w:szCs w:val="22"/>
              </w:rPr>
            </w:pPr>
            <w:r>
              <w:rPr>
                <w:rFonts w:ascii="Calibri" w:hAnsi="Calibri"/>
                <w:szCs w:val="22"/>
              </w:rPr>
              <w:t xml:space="preserve">Boundary is </w:t>
            </w:r>
            <w:proofErr w:type="gramStart"/>
            <w:r>
              <w:rPr>
                <w:rFonts w:ascii="Calibri" w:hAnsi="Calibri"/>
                <w:szCs w:val="22"/>
              </w:rPr>
              <w:t>incorrect</w:t>
            </w:r>
            <w:proofErr w:type="gramEnd"/>
          </w:p>
          <w:p w14:paraId="581BB273" w14:textId="4C427A78" w:rsidR="00C0704D" w:rsidRPr="00C0704D" w:rsidRDefault="00DF5D4F" w:rsidP="00887149">
            <w:pPr>
              <w:jc w:val="both"/>
              <w:rPr>
                <w:rFonts w:ascii="Calibri" w:hAnsi="Calibri"/>
                <w:szCs w:val="22"/>
              </w:rPr>
            </w:pPr>
            <w:r>
              <w:rPr>
                <w:rFonts w:ascii="Calibri" w:hAnsi="Calibri"/>
                <w:szCs w:val="22"/>
              </w:rPr>
              <w:t>Large increase in footprint and volume.</w:t>
            </w:r>
            <w:r w:rsidR="00887149">
              <w:rPr>
                <w:rFonts w:ascii="Calibri" w:hAnsi="Calibri"/>
                <w:szCs w:val="22"/>
              </w:rPr>
              <w:t xml:space="preserve"> Would exceed the 25-30% increase widely accepted in Green Belt locations. Out of context for area</w:t>
            </w:r>
          </w:p>
        </w:tc>
      </w:tr>
      <w:tr w:rsidR="00C0704D" w:rsidRPr="00D2449B" w14:paraId="1CDFA4C3" w14:textId="77777777" w:rsidTr="00EF44E6">
        <w:trPr>
          <w:trHeight w:hRule="exact" w:val="170"/>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375370D5" w14:textId="77777777" w:rsidR="00887149" w:rsidRPr="00BB3618" w:rsidRDefault="00887149" w:rsidP="00887149">
            <w:pPr>
              <w:overflowPunct/>
              <w:autoSpaceDE/>
              <w:adjustRightInd/>
              <w:ind w:left="720" w:hanging="720"/>
              <w:jc w:val="both"/>
              <w:rPr>
                <w:rFonts w:ascii="Calibri" w:hAnsi="Calibri"/>
                <w:szCs w:val="24"/>
              </w:rPr>
            </w:pPr>
            <w:r w:rsidRPr="00BB3618">
              <w:rPr>
                <w:rFonts w:ascii="Calibri" w:hAnsi="Calibri"/>
                <w:szCs w:val="24"/>
              </w:rPr>
              <w:t xml:space="preserve">Key Statement DS1 – Development Strategy </w:t>
            </w:r>
          </w:p>
          <w:p w14:paraId="171C639D" w14:textId="77777777" w:rsidR="00887149" w:rsidRPr="00BB3618" w:rsidRDefault="00887149" w:rsidP="00887149">
            <w:pPr>
              <w:overflowPunct/>
              <w:autoSpaceDE/>
              <w:adjustRightInd/>
              <w:ind w:left="720" w:hanging="720"/>
              <w:jc w:val="both"/>
              <w:rPr>
                <w:rFonts w:ascii="Calibri" w:hAnsi="Calibri" w:cs="Arial"/>
              </w:rPr>
            </w:pPr>
            <w:r w:rsidRPr="00BB3618">
              <w:rPr>
                <w:rFonts w:ascii="Calibri" w:hAnsi="Calibri" w:cs="Arial"/>
                <w:bCs/>
                <w:szCs w:val="24"/>
              </w:rPr>
              <w:t>Key Statement EN1 – Green Belt</w:t>
            </w:r>
          </w:p>
          <w:p w14:paraId="37263568" w14:textId="77777777" w:rsidR="00887149" w:rsidRPr="00BB3618" w:rsidRDefault="00887149" w:rsidP="00887149">
            <w:pPr>
              <w:overflowPunct/>
              <w:autoSpaceDE/>
              <w:adjustRightInd/>
              <w:ind w:left="720" w:hanging="720"/>
              <w:jc w:val="both"/>
              <w:rPr>
                <w:rFonts w:ascii="Calibri" w:hAnsi="Calibri" w:cs="Arial"/>
              </w:rPr>
            </w:pPr>
            <w:r w:rsidRPr="00BB3618">
              <w:rPr>
                <w:rFonts w:ascii="Calibri" w:hAnsi="Calibri" w:cs="Arial"/>
              </w:rPr>
              <w:t>Policy DMG1</w:t>
            </w:r>
            <w:r w:rsidRPr="00BB3618">
              <w:rPr>
                <w:rFonts w:ascii="Calibri" w:hAnsi="Calibri" w:cs="Arial"/>
                <w:szCs w:val="24"/>
              </w:rPr>
              <w:t>– General Considerations</w:t>
            </w:r>
          </w:p>
          <w:p w14:paraId="4FDBB989" w14:textId="77777777" w:rsidR="00887149" w:rsidRPr="00BB3618" w:rsidRDefault="00887149" w:rsidP="00887149">
            <w:pPr>
              <w:overflowPunct/>
              <w:autoSpaceDE/>
              <w:adjustRightInd/>
              <w:ind w:left="720" w:hanging="720"/>
              <w:jc w:val="both"/>
              <w:rPr>
                <w:rFonts w:ascii="Calibri" w:hAnsi="Calibri" w:cs="Arial"/>
                <w:szCs w:val="24"/>
              </w:rPr>
            </w:pPr>
            <w:r w:rsidRPr="00BB3618">
              <w:rPr>
                <w:rFonts w:ascii="Calibri" w:hAnsi="Calibri" w:cs="Arial"/>
                <w:szCs w:val="24"/>
              </w:rPr>
              <w:t>Policy DMG2 – Strategic Considerations</w:t>
            </w:r>
          </w:p>
          <w:p w14:paraId="3B69A60B" w14:textId="77777777" w:rsidR="00887149" w:rsidRPr="00BB3618" w:rsidRDefault="00887149" w:rsidP="00887149">
            <w:pPr>
              <w:overflowPunct/>
              <w:autoSpaceDE/>
              <w:adjustRightInd/>
              <w:ind w:left="720" w:hanging="720"/>
              <w:jc w:val="both"/>
              <w:rPr>
                <w:rFonts w:ascii="Calibri" w:eastAsia="Calibri" w:hAnsi="Calibri" w:cs="Arial"/>
                <w:bCs/>
                <w:szCs w:val="24"/>
              </w:rPr>
            </w:pPr>
            <w:r w:rsidRPr="00BB3618">
              <w:rPr>
                <w:rFonts w:ascii="Calibri" w:eastAsia="Calibri" w:hAnsi="Calibri" w:cs="Arial"/>
                <w:bCs/>
                <w:szCs w:val="24"/>
              </w:rPr>
              <w:t>Policy DME2 - Landscape and Townscape Protection</w:t>
            </w:r>
          </w:p>
          <w:p w14:paraId="5F13D5B3" w14:textId="77777777" w:rsidR="00887149" w:rsidRPr="00BB3618" w:rsidRDefault="00887149" w:rsidP="00887149">
            <w:pPr>
              <w:overflowPunct/>
              <w:autoSpaceDE/>
              <w:adjustRightInd/>
              <w:ind w:left="720" w:hanging="720"/>
              <w:jc w:val="both"/>
              <w:rPr>
                <w:rFonts w:asciiTheme="minorHAnsi" w:eastAsia="Calibri" w:hAnsiTheme="minorHAnsi" w:cstheme="minorHAnsi"/>
                <w:bCs/>
                <w:szCs w:val="24"/>
              </w:rPr>
            </w:pPr>
            <w:r w:rsidRPr="00BB3618">
              <w:rPr>
                <w:rFonts w:asciiTheme="minorHAnsi" w:hAnsiTheme="minorHAnsi" w:cstheme="minorHAnsi"/>
              </w:rPr>
              <w:t>Policy DMI2: Transport Considerations</w:t>
            </w:r>
          </w:p>
          <w:p w14:paraId="16FA2ED6" w14:textId="77777777" w:rsidR="00887149" w:rsidRPr="00BB3618" w:rsidRDefault="00887149" w:rsidP="00887149">
            <w:pPr>
              <w:overflowPunct/>
              <w:autoSpaceDE/>
              <w:adjustRightInd/>
              <w:jc w:val="both"/>
              <w:rPr>
                <w:rFonts w:asciiTheme="minorHAnsi" w:hAnsiTheme="minorHAnsi" w:cstheme="minorHAnsi"/>
                <w:szCs w:val="24"/>
              </w:rPr>
            </w:pPr>
            <w:r w:rsidRPr="00BB3618">
              <w:rPr>
                <w:rFonts w:asciiTheme="minorHAnsi" w:hAnsiTheme="minorHAnsi" w:cstheme="minorHAnsi"/>
              </w:rPr>
              <w:t>Policy DMG3: Transport and Mobility</w:t>
            </w:r>
          </w:p>
          <w:p w14:paraId="340E5612" w14:textId="0D024070" w:rsidR="00887149" w:rsidRPr="00BB3618" w:rsidRDefault="00887149" w:rsidP="00887149">
            <w:pPr>
              <w:overflowPunct/>
              <w:autoSpaceDE/>
              <w:adjustRightInd/>
              <w:ind w:left="720" w:hanging="720"/>
              <w:jc w:val="both"/>
              <w:rPr>
                <w:rFonts w:ascii="Calibri" w:hAnsi="Calibri"/>
                <w:szCs w:val="24"/>
              </w:rPr>
            </w:pPr>
            <w:r w:rsidRPr="00BB3618">
              <w:rPr>
                <w:rFonts w:ascii="Calibri" w:hAnsi="Calibri"/>
                <w:szCs w:val="24"/>
              </w:rPr>
              <w:lastRenderedPageBreak/>
              <w:t xml:space="preserve">           </w:t>
            </w:r>
          </w:p>
          <w:p w14:paraId="2508CA28" w14:textId="77777777" w:rsidR="00887149" w:rsidRPr="00BB3618" w:rsidRDefault="00887149" w:rsidP="00887149">
            <w:pPr>
              <w:overflowPunct/>
              <w:autoSpaceDE/>
              <w:adjustRightInd/>
              <w:jc w:val="both"/>
              <w:rPr>
                <w:rFonts w:ascii="Calibri" w:hAnsi="Calibri"/>
                <w:szCs w:val="24"/>
              </w:rPr>
            </w:pPr>
            <w:r w:rsidRPr="00BB3618">
              <w:rPr>
                <w:rFonts w:ascii="Calibri" w:hAnsi="Calibri"/>
                <w:szCs w:val="24"/>
              </w:rPr>
              <w:t>NPPF</w:t>
            </w:r>
          </w:p>
          <w:p w14:paraId="5D401D4C" w14:textId="77777777" w:rsidR="00887149" w:rsidRPr="00BB3618" w:rsidRDefault="00887149" w:rsidP="00887149">
            <w:pPr>
              <w:pStyle w:val="PLANNING"/>
              <w:rPr>
                <w:rFonts w:ascii="Calibri" w:hAnsi="Calibri"/>
                <w:b/>
                <w:bCs/>
                <w:szCs w:val="22"/>
              </w:rPr>
            </w:pPr>
            <w:r w:rsidRPr="00BB3618">
              <w:rPr>
                <w:rFonts w:ascii="Calibri" w:hAnsi="Calibri" w:cs="Arial"/>
              </w:rPr>
              <w:t>NPPG</w:t>
            </w:r>
          </w:p>
          <w:p w14:paraId="6C4C318E" w14:textId="57615300" w:rsidR="003C2B2D" w:rsidRPr="00D2449B" w:rsidRDefault="003C2B2D" w:rsidP="003C2B2D">
            <w:pPr>
              <w:rPr>
                <w:rFonts w:ascii="Calibri" w:hAnsi="Calibri"/>
                <w:b/>
                <w:szCs w:val="22"/>
              </w:rPr>
            </w:pPr>
          </w:p>
        </w:tc>
      </w:tr>
      <w:tr w:rsidR="00C0704D" w:rsidRPr="00D2449B" w14:paraId="08181FD6"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2004B3" w14:textId="6AE6AA6D" w:rsidR="0004003D" w:rsidRDefault="00C0704D" w:rsidP="00C0704D">
            <w:pPr>
              <w:pStyle w:val="PLANNING"/>
              <w:rPr>
                <w:rFonts w:ascii="Calibri" w:hAnsi="Calibri"/>
                <w:b/>
                <w:bCs/>
                <w:szCs w:val="22"/>
              </w:rPr>
            </w:pPr>
            <w:r w:rsidRPr="006A71AD">
              <w:rPr>
                <w:rFonts w:ascii="Calibri" w:hAnsi="Calibri"/>
                <w:b/>
                <w:bCs/>
                <w:szCs w:val="22"/>
              </w:rPr>
              <w:lastRenderedPageBreak/>
              <w:t>Relevant Planning History:</w:t>
            </w:r>
          </w:p>
          <w:p w14:paraId="5010E8FF" w14:textId="0955ED4B" w:rsidR="0004003D" w:rsidRPr="00F86F3D" w:rsidRDefault="0004003D" w:rsidP="00C0704D">
            <w:pPr>
              <w:pStyle w:val="PLANNING"/>
              <w:rPr>
                <w:rFonts w:asciiTheme="minorHAnsi" w:hAnsiTheme="minorHAnsi" w:cstheme="minorHAnsi"/>
                <w:b/>
                <w:bCs/>
                <w:szCs w:val="22"/>
              </w:rPr>
            </w:pPr>
          </w:p>
          <w:p w14:paraId="7208740C" w14:textId="77777777" w:rsidR="00887149" w:rsidRPr="00F86F3D" w:rsidRDefault="00887149" w:rsidP="00887149">
            <w:pPr>
              <w:overflowPunct/>
              <w:autoSpaceDE/>
              <w:adjustRightInd/>
              <w:ind w:left="720" w:hanging="720"/>
              <w:jc w:val="both"/>
              <w:rPr>
                <w:rFonts w:asciiTheme="minorHAnsi" w:hAnsiTheme="minorHAnsi" w:cstheme="minorHAnsi"/>
                <w:szCs w:val="22"/>
                <w:shd w:val="clear" w:color="auto" w:fill="FFFFFF"/>
              </w:rPr>
            </w:pPr>
            <w:r w:rsidRPr="00F86F3D">
              <w:rPr>
                <w:rFonts w:asciiTheme="minorHAnsi" w:hAnsiTheme="minorHAnsi" w:cstheme="minorHAnsi"/>
                <w:szCs w:val="22"/>
                <w:shd w:val="clear" w:color="auto" w:fill="FFFFFF"/>
              </w:rPr>
              <w:t>6/9/785 – Proposed detached bungalow. PP granted 10/12/1956.</w:t>
            </w:r>
          </w:p>
          <w:p w14:paraId="4958D2AA" w14:textId="77777777" w:rsidR="00887149" w:rsidRPr="00F86F3D" w:rsidRDefault="00887149" w:rsidP="00887149">
            <w:pPr>
              <w:overflowPunct/>
              <w:autoSpaceDE/>
              <w:adjustRightInd/>
              <w:ind w:left="720" w:hanging="720"/>
              <w:jc w:val="both"/>
              <w:rPr>
                <w:rFonts w:asciiTheme="minorHAnsi" w:hAnsiTheme="minorHAnsi" w:cstheme="minorHAnsi"/>
                <w:szCs w:val="22"/>
                <w:shd w:val="clear" w:color="auto" w:fill="FFFFFF"/>
              </w:rPr>
            </w:pPr>
          </w:p>
          <w:p w14:paraId="6F96A995" w14:textId="77777777" w:rsidR="00887149" w:rsidRPr="00F86F3D" w:rsidRDefault="00887149" w:rsidP="00887149">
            <w:pPr>
              <w:overflowPunct/>
              <w:autoSpaceDE/>
              <w:adjustRightInd/>
              <w:ind w:left="720" w:hanging="720"/>
              <w:jc w:val="both"/>
              <w:rPr>
                <w:rFonts w:asciiTheme="minorHAnsi" w:hAnsiTheme="minorHAnsi" w:cstheme="minorHAnsi"/>
                <w:szCs w:val="22"/>
                <w:shd w:val="clear" w:color="auto" w:fill="FFFFFF"/>
              </w:rPr>
            </w:pPr>
            <w:r w:rsidRPr="00F86F3D">
              <w:rPr>
                <w:rFonts w:asciiTheme="minorHAnsi" w:hAnsiTheme="minorHAnsi" w:cstheme="minorHAnsi"/>
                <w:szCs w:val="22"/>
                <w:shd w:val="clear" w:color="auto" w:fill="FFFFFF"/>
              </w:rPr>
              <w:t>6/9/904 – Proposed stable, hen cabin and greenhouse. PP granted 6/1/1958.</w:t>
            </w:r>
          </w:p>
          <w:p w14:paraId="01F4B391" w14:textId="77777777" w:rsidR="00887149" w:rsidRPr="00F86F3D" w:rsidRDefault="00887149" w:rsidP="00887149">
            <w:pPr>
              <w:overflowPunct/>
              <w:autoSpaceDE/>
              <w:adjustRightInd/>
              <w:ind w:left="720" w:hanging="720"/>
              <w:jc w:val="both"/>
              <w:rPr>
                <w:rFonts w:asciiTheme="minorHAnsi" w:hAnsiTheme="minorHAnsi" w:cstheme="minorHAnsi"/>
                <w:szCs w:val="22"/>
                <w:shd w:val="clear" w:color="auto" w:fill="FFFFFF"/>
              </w:rPr>
            </w:pPr>
          </w:p>
          <w:p w14:paraId="68A8B741" w14:textId="77777777" w:rsidR="00350874" w:rsidRPr="00F86F3D" w:rsidRDefault="00887149" w:rsidP="00887149">
            <w:pPr>
              <w:pStyle w:val="PLANNING"/>
              <w:rPr>
                <w:rFonts w:asciiTheme="minorHAnsi" w:hAnsiTheme="minorHAnsi" w:cstheme="minorHAnsi"/>
                <w:szCs w:val="22"/>
                <w:shd w:val="clear" w:color="auto" w:fill="FFFFFF"/>
              </w:rPr>
            </w:pPr>
            <w:r w:rsidRPr="00F86F3D">
              <w:rPr>
                <w:rFonts w:asciiTheme="minorHAnsi" w:hAnsiTheme="minorHAnsi" w:cstheme="minorHAnsi"/>
                <w:szCs w:val="22"/>
                <w:shd w:val="clear" w:color="auto" w:fill="FFFFFF"/>
              </w:rPr>
              <w:t>6/9/2216 – Proposed single storey extension. PP granted 1/3/1966.</w:t>
            </w:r>
          </w:p>
          <w:p w14:paraId="15F8A825" w14:textId="77777777" w:rsidR="00887149" w:rsidRPr="00F86F3D" w:rsidRDefault="00887149" w:rsidP="00887149">
            <w:pPr>
              <w:pStyle w:val="PLANNING"/>
              <w:rPr>
                <w:rFonts w:asciiTheme="minorHAnsi" w:hAnsiTheme="minorHAnsi" w:cstheme="minorHAnsi"/>
                <w:szCs w:val="22"/>
                <w:shd w:val="clear" w:color="auto" w:fill="FFFFFF"/>
              </w:rPr>
            </w:pPr>
          </w:p>
          <w:p w14:paraId="17147D50" w14:textId="2341A819" w:rsidR="00887149" w:rsidRPr="00B8307F" w:rsidRDefault="00887149" w:rsidP="00887149">
            <w:pPr>
              <w:pStyle w:val="PLANNING"/>
              <w:rPr>
                <w:rFonts w:ascii="Calibri" w:hAnsi="Calibri"/>
                <w:szCs w:val="22"/>
              </w:rPr>
            </w:pPr>
            <w:r w:rsidRPr="00F86F3D">
              <w:rPr>
                <w:rFonts w:asciiTheme="minorHAnsi" w:hAnsiTheme="minorHAnsi" w:cstheme="minorHAnsi"/>
                <w:szCs w:val="22"/>
                <w:shd w:val="clear" w:color="auto" w:fill="FFFFFF"/>
              </w:rPr>
              <w:t>3/2021/1122 - Demolition of existing house and erection of a replacement dwelling with associated external works. Refused</w:t>
            </w:r>
          </w:p>
        </w:tc>
      </w:tr>
      <w:tr w:rsidR="00C0704D" w:rsidRPr="00D2449B" w14:paraId="6AAC3B0A" w14:textId="77777777" w:rsidTr="00EF44E6">
        <w:trPr>
          <w:trHeight w:hRule="exact" w:val="170"/>
          <w:jc w:val="center"/>
        </w:trPr>
        <w:tc>
          <w:tcPr>
            <w:tcW w:w="9271" w:type="dxa"/>
            <w:gridSpan w:val="12"/>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2F1115CE" w:rsidR="00C0704D" w:rsidRDefault="00C0704D" w:rsidP="00811771">
            <w:pPr>
              <w:pStyle w:val="Header"/>
              <w:tabs>
                <w:tab w:val="clear" w:pos="4153"/>
                <w:tab w:val="clear" w:pos="8306"/>
              </w:tabs>
              <w:contextualSpacing/>
              <w:jc w:val="both"/>
              <w:rPr>
                <w:rFonts w:ascii="Calibri" w:hAnsi="Calibri"/>
                <w:bCs/>
                <w:szCs w:val="22"/>
              </w:rPr>
            </w:pPr>
          </w:p>
          <w:p w14:paraId="5516B017" w14:textId="77777777" w:rsidR="00F86F3D" w:rsidRDefault="00F86F3D" w:rsidP="00F86F3D">
            <w:pPr>
              <w:overflowPunct/>
              <w:autoSpaceDE/>
              <w:adjustRightInd/>
              <w:ind w:left="720" w:hanging="720"/>
              <w:jc w:val="both"/>
              <w:rPr>
                <w:rFonts w:ascii="Calibri" w:hAnsi="Calibri"/>
                <w:bCs/>
                <w:szCs w:val="22"/>
              </w:rPr>
            </w:pPr>
            <w:r w:rsidRPr="005B16B7">
              <w:rPr>
                <w:rFonts w:ascii="Calibri" w:hAnsi="Calibri"/>
                <w:bCs/>
                <w:szCs w:val="22"/>
              </w:rPr>
              <w:t xml:space="preserve">36 Painter Wood is a prominent hillside location </w:t>
            </w:r>
            <w:r>
              <w:rPr>
                <w:rFonts w:ascii="Calibri" w:hAnsi="Calibri"/>
                <w:bCs/>
                <w:szCs w:val="22"/>
              </w:rPr>
              <w:t xml:space="preserve">within the Green Belt and to the south of the </w:t>
            </w:r>
            <w:proofErr w:type="gramStart"/>
            <w:r>
              <w:rPr>
                <w:rFonts w:ascii="Calibri" w:hAnsi="Calibri"/>
                <w:bCs/>
                <w:szCs w:val="22"/>
              </w:rPr>
              <w:t>Billington</w:t>
            </w:r>
            <w:proofErr w:type="gramEnd"/>
            <w:r>
              <w:rPr>
                <w:rFonts w:ascii="Calibri" w:hAnsi="Calibri"/>
                <w:bCs/>
                <w:szCs w:val="22"/>
              </w:rPr>
              <w:t xml:space="preserve">  </w:t>
            </w:r>
          </w:p>
          <w:p w14:paraId="31979252" w14:textId="77777777" w:rsidR="00F86F3D" w:rsidRDefault="00F86F3D" w:rsidP="00F86F3D">
            <w:pPr>
              <w:overflowPunct/>
              <w:autoSpaceDE/>
              <w:adjustRightInd/>
              <w:ind w:left="720" w:hanging="720"/>
              <w:jc w:val="both"/>
              <w:rPr>
                <w:rFonts w:ascii="Calibri" w:hAnsi="Calibri"/>
                <w:bCs/>
                <w:szCs w:val="22"/>
              </w:rPr>
            </w:pPr>
            <w:r>
              <w:rPr>
                <w:rFonts w:ascii="Calibri" w:hAnsi="Calibri"/>
                <w:bCs/>
                <w:szCs w:val="22"/>
              </w:rPr>
              <w:t>settlement boundary (formed by the Whalley Old Road).</w:t>
            </w:r>
          </w:p>
          <w:p w14:paraId="7BC8EC2D" w14:textId="77777777" w:rsidR="00F86F3D" w:rsidRDefault="00F86F3D" w:rsidP="00F86F3D">
            <w:pPr>
              <w:overflowPunct/>
              <w:autoSpaceDE/>
              <w:adjustRightInd/>
              <w:ind w:left="720" w:hanging="720"/>
              <w:jc w:val="both"/>
              <w:rPr>
                <w:rFonts w:ascii="Calibri" w:hAnsi="Calibri"/>
                <w:bCs/>
                <w:szCs w:val="22"/>
              </w:rPr>
            </w:pPr>
            <w:r w:rsidRPr="00F86F3D">
              <w:rPr>
                <w:rFonts w:ascii="Calibri" w:hAnsi="Calibri"/>
                <w:bCs/>
                <w:szCs w:val="22"/>
              </w:rPr>
              <w:t>The existing dwelling is modernist in design (sited for commanding views over the Calder valley)</w:t>
            </w:r>
            <w:r>
              <w:rPr>
                <w:rFonts w:ascii="Calibri" w:hAnsi="Calibri"/>
                <w:bCs/>
                <w:szCs w:val="22"/>
              </w:rPr>
              <w:t>.</w:t>
            </w:r>
          </w:p>
          <w:p w14:paraId="2BE0FD1E" w14:textId="77777777" w:rsidR="00F86F3D" w:rsidRDefault="00F86F3D" w:rsidP="00F86F3D">
            <w:pPr>
              <w:overflowPunct/>
              <w:autoSpaceDE/>
              <w:adjustRightInd/>
              <w:ind w:left="720" w:hanging="720"/>
              <w:jc w:val="both"/>
              <w:rPr>
                <w:rFonts w:ascii="Calibri" w:hAnsi="Calibri"/>
                <w:bCs/>
                <w:szCs w:val="22"/>
              </w:rPr>
            </w:pPr>
            <w:r>
              <w:rPr>
                <w:rFonts w:ascii="Calibri" w:hAnsi="Calibri"/>
                <w:bCs/>
                <w:szCs w:val="22"/>
              </w:rPr>
              <w:t xml:space="preserve">It </w:t>
            </w:r>
            <w:r w:rsidRPr="00F86F3D">
              <w:rPr>
                <w:rFonts w:ascii="Calibri" w:hAnsi="Calibri"/>
                <w:bCs/>
                <w:szCs w:val="22"/>
              </w:rPr>
              <w:t>forms part of a row of similar residential properties (some now replaced but adhering to similar design principles).</w:t>
            </w:r>
          </w:p>
          <w:p w14:paraId="7058ECC8" w14:textId="077EF09A" w:rsidR="00F86F3D" w:rsidRDefault="00F86F3D" w:rsidP="00F86F3D">
            <w:pPr>
              <w:overflowPunct/>
              <w:autoSpaceDE/>
              <w:adjustRightInd/>
              <w:ind w:left="720" w:hanging="720"/>
              <w:jc w:val="both"/>
              <w:rPr>
                <w:rFonts w:ascii="Calibri" w:hAnsi="Calibri"/>
                <w:bCs/>
                <w:szCs w:val="22"/>
              </w:rPr>
            </w:pPr>
            <w:r w:rsidRPr="00F86F3D">
              <w:rPr>
                <w:rFonts w:ascii="Calibri" w:hAnsi="Calibri"/>
                <w:bCs/>
                <w:szCs w:val="22"/>
              </w:rPr>
              <w:t>These properties appear to follow a historic ‘building line’ to the front and rear.</w:t>
            </w:r>
          </w:p>
          <w:p w14:paraId="6B8A4031" w14:textId="77777777" w:rsidR="00F86F3D" w:rsidRDefault="00F86F3D" w:rsidP="00F86F3D">
            <w:pPr>
              <w:overflowPunct/>
              <w:autoSpaceDE/>
              <w:adjustRightInd/>
              <w:ind w:left="720" w:hanging="720"/>
              <w:jc w:val="both"/>
              <w:rPr>
                <w:rFonts w:ascii="Calibri" w:hAnsi="Calibri"/>
                <w:bCs/>
                <w:szCs w:val="22"/>
              </w:rPr>
            </w:pPr>
            <w:r>
              <w:rPr>
                <w:rFonts w:ascii="Calibri" w:hAnsi="Calibri"/>
                <w:bCs/>
                <w:szCs w:val="22"/>
              </w:rPr>
              <w:t xml:space="preserve">There is a store/shed within the rear garden. </w:t>
            </w:r>
          </w:p>
          <w:p w14:paraId="335CA767" w14:textId="529CFC5C" w:rsidR="00F86F3D" w:rsidRPr="005B16B7" w:rsidRDefault="00F86F3D" w:rsidP="00F86F3D">
            <w:pPr>
              <w:overflowPunct/>
              <w:autoSpaceDE/>
              <w:adjustRightInd/>
              <w:ind w:left="720" w:hanging="720"/>
              <w:jc w:val="both"/>
              <w:rPr>
                <w:rFonts w:ascii="Calibri" w:hAnsi="Calibri"/>
                <w:bCs/>
                <w:szCs w:val="22"/>
              </w:rPr>
            </w:pPr>
            <w:r>
              <w:rPr>
                <w:rFonts w:ascii="Calibri" w:hAnsi="Calibri"/>
                <w:bCs/>
                <w:szCs w:val="22"/>
              </w:rPr>
              <w:t>There is a large conifer tree prominent from the roadside at the boundary with 34 Painter Wood.</w:t>
            </w:r>
          </w:p>
          <w:p w14:paraId="62370E9F" w14:textId="065B026E" w:rsidR="00A617BA" w:rsidRPr="00A617BA" w:rsidRDefault="00A617BA" w:rsidP="005B6E24">
            <w:pPr>
              <w:pStyle w:val="Default"/>
              <w:rPr>
                <w:rFonts w:ascii="Calibri" w:hAnsi="Calibri"/>
                <w:bCs/>
                <w:i/>
                <w:iCs/>
                <w:szCs w:val="22"/>
              </w:rPr>
            </w:pPr>
          </w:p>
        </w:tc>
      </w:tr>
      <w:tr w:rsidR="00C0704D" w:rsidRPr="00D2449B" w14:paraId="408C6380"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31B6655E" w:rsidR="00C0704D" w:rsidRDefault="00C0704D" w:rsidP="00440CB6">
            <w:pPr>
              <w:pStyle w:val="Header"/>
              <w:tabs>
                <w:tab w:val="clear" w:pos="4153"/>
                <w:tab w:val="clear" w:pos="8306"/>
              </w:tabs>
              <w:jc w:val="both"/>
              <w:rPr>
                <w:rFonts w:ascii="Calibri" w:hAnsi="Calibri"/>
                <w:b/>
                <w:szCs w:val="22"/>
              </w:rPr>
            </w:pPr>
          </w:p>
          <w:p w14:paraId="35141D5D" w14:textId="4CCCD3BD" w:rsidR="00F86F3D" w:rsidRDefault="00F86F3D" w:rsidP="00F86F3D">
            <w:pPr>
              <w:pStyle w:val="Header"/>
              <w:tabs>
                <w:tab w:val="clear" w:pos="4153"/>
                <w:tab w:val="clear" w:pos="8306"/>
              </w:tabs>
              <w:jc w:val="both"/>
              <w:rPr>
                <w:rFonts w:ascii="Calibri" w:hAnsi="Calibri"/>
                <w:szCs w:val="22"/>
              </w:rPr>
            </w:pPr>
            <w:r>
              <w:rPr>
                <w:rFonts w:ascii="Calibri" w:hAnsi="Calibri"/>
                <w:szCs w:val="22"/>
              </w:rPr>
              <w:t>Planning permission is sought for a replacement dwelling</w:t>
            </w:r>
            <w:r w:rsidR="00690C30">
              <w:rPr>
                <w:rFonts w:ascii="Calibri" w:hAnsi="Calibri"/>
                <w:szCs w:val="22"/>
              </w:rPr>
              <w:t xml:space="preserve"> with associated </w:t>
            </w:r>
            <w:proofErr w:type="gramStart"/>
            <w:r w:rsidR="00690C30">
              <w:rPr>
                <w:rFonts w:ascii="Calibri" w:hAnsi="Calibri"/>
                <w:szCs w:val="22"/>
              </w:rPr>
              <w:t>ground work</w:t>
            </w:r>
            <w:proofErr w:type="gramEnd"/>
            <w:r w:rsidR="00690C30">
              <w:rPr>
                <w:rFonts w:ascii="Calibri" w:hAnsi="Calibri"/>
                <w:szCs w:val="22"/>
              </w:rPr>
              <w:t xml:space="preserve"> to facilitate its construction</w:t>
            </w:r>
            <w:r>
              <w:rPr>
                <w:rFonts w:ascii="Calibri" w:hAnsi="Calibri"/>
                <w:szCs w:val="22"/>
              </w:rPr>
              <w:t xml:space="preserve">. </w:t>
            </w:r>
          </w:p>
          <w:p w14:paraId="7F2CBC58" w14:textId="72428755" w:rsidR="00242DF3" w:rsidRDefault="00242DF3" w:rsidP="00F86F3D">
            <w:pPr>
              <w:pStyle w:val="Header"/>
              <w:tabs>
                <w:tab w:val="clear" w:pos="4153"/>
                <w:tab w:val="clear" w:pos="8306"/>
              </w:tabs>
              <w:jc w:val="both"/>
              <w:rPr>
                <w:rFonts w:ascii="Calibri" w:hAnsi="Calibri"/>
                <w:szCs w:val="22"/>
              </w:rPr>
            </w:pPr>
          </w:p>
          <w:p w14:paraId="7D4EC262" w14:textId="68E3D30C" w:rsidR="00242DF3" w:rsidRDefault="00242DF3" w:rsidP="00F86F3D">
            <w:pPr>
              <w:pStyle w:val="Header"/>
              <w:tabs>
                <w:tab w:val="clear" w:pos="4153"/>
                <w:tab w:val="clear" w:pos="8306"/>
              </w:tabs>
              <w:jc w:val="both"/>
              <w:rPr>
                <w:rFonts w:ascii="Calibri" w:hAnsi="Calibri"/>
                <w:szCs w:val="22"/>
              </w:rPr>
            </w:pPr>
            <w:r>
              <w:rPr>
                <w:rFonts w:ascii="Calibri" w:hAnsi="Calibri"/>
                <w:szCs w:val="22"/>
              </w:rPr>
              <w:t>The existing single storey flat roof dwelling sits centrally within the plot and measures approx. 5.2m in height to its highest point</w:t>
            </w:r>
            <w:r w:rsidR="00A01B85">
              <w:rPr>
                <w:rFonts w:ascii="Calibri" w:hAnsi="Calibri"/>
                <w:szCs w:val="22"/>
              </w:rPr>
              <w:t xml:space="preserve"> when measured from ground floor</w:t>
            </w:r>
            <w:r>
              <w:rPr>
                <w:rFonts w:ascii="Calibri" w:hAnsi="Calibri"/>
                <w:szCs w:val="22"/>
              </w:rPr>
              <w:t xml:space="preserve">. The main part of the dwelling measures approx. 17.5m in width and 11.5m in depth. The dwelling is elevated from the road with a </w:t>
            </w:r>
            <w:proofErr w:type="gramStart"/>
            <w:r>
              <w:rPr>
                <w:rFonts w:ascii="Calibri" w:hAnsi="Calibri"/>
                <w:szCs w:val="22"/>
              </w:rPr>
              <w:t>fairly steep</w:t>
            </w:r>
            <w:proofErr w:type="gramEnd"/>
            <w:r>
              <w:rPr>
                <w:rFonts w:ascii="Calibri" w:hAnsi="Calibri"/>
                <w:szCs w:val="22"/>
              </w:rPr>
              <w:t xml:space="preserve"> driveway. The rear garden is on a further incline.   </w:t>
            </w:r>
          </w:p>
          <w:p w14:paraId="16E6B5EE" w14:textId="77777777" w:rsidR="00F86F3D" w:rsidRDefault="00F86F3D" w:rsidP="00F86F3D">
            <w:pPr>
              <w:pStyle w:val="Header"/>
              <w:tabs>
                <w:tab w:val="clear" w:pos="4153"/>
                <w:tab w:val="clear" w:pos="8306"/>
              </w:tabs>
              <w:jc w:val="both"/>
              <w:rPr>
                <w:rFonts w:ascii="Calibri" w:hAnsi="Calibri"/>
                <w:szCs w:val="22"/>
              </w:rPr>
            </w:pPr>
          </w:p>
          <w:p w14:paraId="03E28887" w14:textId="6307B0B5" w:rsidR="00F86F3D" w:rsidRDefault="00242DF3" w:rsidP="00F86F3D">
            <w:pPr>
              <w:pStyle w:val="Header"/>
              <w:tabs>
                <w:tab w:val="clear" w:pos="4153"/>
                <w:tab w:val="clear" w:pos="8306"/>
              </w:tabs>
              <w:jc w:val="both"/>
              <w:rPr>
                <w:rFonts w:ascii="Calibri" w:hAnsi="Calibri"/>
                <w:szCs w:val="22"/>
              </w:rPr>
            </w:pPr>
            <w:r>
              <w:rPr>
                <w:rFonts w:ascii="Calibri" w:hAnsi="Calibri"/>
                <w:szCs w:val="22"/>
              </w:rPr>
              <w:t xml:space="preserve">The previous </w:t>
            </w:r>
            <w:r w:rsidR="00F86F3D">
              <w:rPr>
                <w:rFonts w:ascii="Calibri" w:hAnsi="Calibri"/>
                <w:szCs w:val="22"/>
              </w:rPr>
              <w:t xml:space="preserve">refused scheme (3/2021/1122) </w:t>
            </w:r>
            <w:r>
              <w:rPr>
                <w:rFonts w:ascii="Calibri" w:hAnsi="Calibri"/>
                <w:szCs w:val="22"/>
              </w:rPr>
              <w:t>sought a dwelling on three levels measuring 2</w:t>
            </w:r>
            <w:r w:rsidR="00B81463">
              <w:rPr>
                <w:rFonts w:ascii="Calibri" w:hAnsi="Calibri"/>
                <w:szCs w:val="22"/>
              </w:rPr>
              <w:t>2</w:t>
            </w:r>
            <w:r>
              <w:rPr>
                <w:rFonts w:ascii="Calibri" w:hAnsi="Calibri"/>
                <w:szCs w:val="22"/>
              </w:rPr>
              <w:t>.</w:t>
            </w:r>
            <w:r w:rsidR="00B81463">
              <w:rPr>
                <w:rFonts w:ascii="Calibri" w:hAnsi="Calibri"/>
                <w:szCs w:val="22"/>
              </w:rPr>
              <w:t>4</w:t>
            </w:r>
            <w:r>
              <w:rPr>
                <w:rFonts w:ascii="Calibri" w:hAnsi="Calibri"/>
                <w:szCs w:val="22"/>
              </w:rPr>
              <w:t xml:space="preserve">m in width </w:t>
            </w:r>
            <w:r w:rsidR="00B81463">
              <w:rPr>
                <w:rFonts w:ascii="Calibri" w:hAnsi="Calibri"/>
                <w:szCs w:val="22"/>
              </w:rPr>
              <w:t>at ground and first floor</w:t>
            </w:r>
            <w:r w:rsidR="00436942">
              <w:rPr>
                <w:rFonts w:ascii="Calibri" w:hAnsi="Calibri"/>
                <w:szCs w:val="22"/>
              </w:rPr>
              <w:t xml:space="preserve">. Above the ground floor was a </w:t>
            </w:r>
            <w:proofErr w:type="gramStart"/>
            <w:r w:rsidR="00436942">
              <w:rPr>
                <w:rFonts w:ascii="Calibri" w:hAnsi="Calibri"/>
                <w:szCs w:val="22"/>
              </w:rPr>
              <w:t>first floor</w:t>
            </w:r>
            <w:proofErr w:type="gramEnd"/>
            <w:r w:rsidR="00436942">
              <w:rPr>
                <w:rFonts w:ascii="Calibri" w:hAnsi="Calibri"/>
                <w:szCs w:val="22"/>
              </w:rPr>
              <w:t xml:space="preserve"> terrace at the front and first floor accommodation behind. This stepped arrangement meant a total</w:t>
            </w:r>
            <w:r w:rsidR="00B81463">
              <w:rPr>
                <w:rFonts w:ascii="Calibri" w:hAnsi="Calibri"/>
                <w:szCs w:val="22"/>
              </w:rPr>
              <w:t xml:space="preserve"> </w:t>
            </w:r>
            <w:r w:rsidR="00436942">
              <w:rPr>
                <w:rFonts w:ascii="Calibri" w:hAnsi="Calibri"/>
                <w:szCs w:val="22"/>
              </w:rPr>
              <w:t xml:space="preserve">depth of </w:t>
            </w:r>
            <w:r w:rsidR="009F7AAE">
              <w:rPr>
                <w:rFonts w:ascii="Calibri" w:hAnsi="Calibri"/>
                <w:szCs w:val="22"/>
              </w:rPr>
              <w:t xml:space="preserve">approx. </w:t>
            </w:r>
            <w:r w:rsidR="00436942">
              <w:rPr>
                <w:rFonts w:ascii="Calibri" w:hAnsi="Calibri"/>
                <w:szCs w:val="22"/>
              </w:rPr>
              <w:t>22.96m when measured from ground floor front wall to first floor rear wall</w:t>
            </w:r>
            <w:r>
              <w:rPr>
                <w:rFonts w:ascii="Calibri" w:hAnsi="Calibri"/>
                <w:szCs w:val="22"/>
              </w:rPr>
              <w:t xml:space="preserve">. </w:t>
            </w:r>
            <w:r w:rsidR="00436942">
              <w:rPr>
                <w:rFonts w:ascii="Calibri" w:hAnsi="Calibri"/>
                <w:szCs w:val="22"/>
              </w:rPr>
              <w:t xml:space="preserve">In </w:t>
            </w:r>
            <w:proofErr w:type="gramStart"/>
            <w:r w:rsidR="00436942">
              <w:rPr>
                <w:rFonts w:ascii="Calibri" w:hAnsi="Calibri"/>
                <w:szCs w:val="22"/>
              </w:rPr>
              <w:t>addition</w:t>
            </w:r>
            <w:proofErr w:type="gramEnd"/>
            <w:r w:rsidR="00436942">
              <w:rPr>
                <w:rFonts w:ascii="Calibri" w:hAnsi="Calibri"/>
                <w:szCs w:val="22"/>
              </w:rPr>
              <w:t xml:space="preserve"> t</w:t>
            </w:r>
            <w:r w:rsidR="00F86F3D">
              <w:rPr>
                <w:rFonts w:ascii="Calibri" w:hAnsi="Calibri"/>
                <w:szCs w:val="22"/>
              </w:rPr>
              <w:t>he first floor</w:t>
            </w:r>
            <w:r>
              <w:rPr>
                <w:rFonts w:ascii="Calibri" w:hAnsi="Calibri"/>
                <w:szCs w:val="22"/>
              </w:rPr>
              <w:t xml:space="preserve"> level was ‘L-shaped’ with a </w:t>
            </w:r>
            <w:r w:rsidR="00F86F3D">
              <w:rPr>
                <w:rFonts w:ascii="Calibri" w:hAnsi="Calibri"/>
                <w:szCs w:val="22"/>
              </w:rPr>
              <w:t>leisure wing along the southern boundary</w:t>
            </w:r>
            <w:r w:rsidR="00644A51">
              <w:rPr>
                <w:rFonts w:ascii="Calibri" w:hAnsi="Calibri"/>
                <w:szCs w:val="22"/>
              </w:rPr>
              <w:t xml:space="preserve"> projecting beyond the main rear elevation</w:t>
            </w:r>
            <w:r w:rsidR="00F86F3D">
              <w:rPr>
                <w:rFonts w:ascii="Calibri" w:hAnsi="Calibri"/>
                <w:szCs w:val="22"/>
              </w:rPr>
              <w:t>.</w:t>
            </w:r>
          </w:p>
          <w:p w14:paraId="1B1AB03A" w14:textId="77777777" w:rsidR="00F86F3D" w:rsidRDefault="00F86F3D" w:rsidP="00F86F3D">
            <w:pPr>
              <w:pStyle w:val="Header"/>
              <w:tabs>
                <w:tab w:val="clear" w:pos="4153"/>
                <w:tab w:val="clear" w:pos="8306"/>
              </w:tabs>
              <w:jc w:val="both"/>
              <w:rPr>
                <w:rFonts w:ascii="Calibri" w:hAnsi="Calibri"/>
                <w:szCs w:val="22"/>
              </w:rPr>
            </w:pPr>
          </w:p>
          <w:p w14:paraId="0B6FAF0F" w14:textId="7BFFC059" w:rsidR="00F86F3D" w:rsidRDefault="00F86F3D" w:rsidP="00F86F3D">
            <w:pPr>
              <w:pStyle w:val="Header"/>
              <w:tabs>
                <w:tab w:val="clear" w:pos="4153"/>
                <w:tab w:val="clear" w:pos="8306"/>
              </w:tabs>
              <w:jc w:val="both"/>
              <w:rPr>
                <w:rFonts w:ascii="Calibri" w:hAnsi="Calibri"/>
                <w:szCs w:val="22"/>
              </w:rPr>
            </w:pPr>
            <w:r>
              <w:rPr>
                <w:rFonts w:ascii="Calibri" w:hAnsi="Calibri"/>
                <w:szCs w:val="22"/>
              </w:rPr>
              <w:t xml:space="preserve">This re-submission application initially proposed </w:t>
            </w:r>
            <w:r w:rsidR="00644A51">
              <w:rPr>
                <w:rFonts w:ascii="Calibri" w:hAnsi="Calibri"/>
                <w:szCs w:val="22"/>
              </w:rPr>
              <w:t xml:space="preserve">the same footprint minus the leisure wing. The agent cited that the re-submission proposed </w:t>
            </w:r>
            <w:r>
              <w:rPr>
                <w:rFonts w:ascii="Calibri" w:hAnsi="Calibri"/>
                <w:szCs w:val="22"/>
              </w:rPr>
              <w:t>a volume increase of 35% above ground level.</w:t>
            </w:r>
          </w:p>
          <w:p w14:paraId="26268E8C" w14:textId="1D83150A" w:rsidR="00F86F3D" w:rsidRDefault="00F86F3D" w:rsidP="00F86F3D">
            <w:pPr>
              <w:pStyle w:val="Header"/>
              <w:tabs>
                <w:tab w:val="clear" w:pos="4153"/>
                <w:tab w:val="clear" w:pos="8306"/>
              </w:tabs>
              <w:jc w:val="both"/>
              <w:rPr>
                <w:rFonts w:ascii="Calibri" w:hAnsi="Calibri"/>
                <w:szCs w:val="22"/>
              </w:rPr>
            </w:pPr>
          </w:p>
          <w:p w14:paraId="48CADA1A" w14:textId="589E24F3" w:rsidR="00644A51" w:rsidRDefault="00644A51" w:rsidP="00F86F3D">
            <w:pPr>
              <w:pStyle w:val="Header"/>
              <w:tabs>
                <w:tab w:val="clear" w:pos="4153"/>
                <w:tab w:val="clear" w:pos="8306"/>
              </w:tabs>
              <w:jc w:val="both"/>
              <w:rPr>
                <w:rFonts w:ascii="Calibri" w:hAnsi="Calibri"/>
                <w:szCs w:val="22"/>
              </w:rPr>
            </w:pPr>
            <w:r>
              <w:rPr>
                <w:rFonts w:ascii="Calibri" w:hAnsi="Calibri"/>
                <w:szCs w:val="22"/>
              </w:rPr>
              <w:t xml:space="preserve">Revised plans have been received reducing the </w:t>
            </w:r>
            <w:r w:rsidR="00B81463">
              <w:rPr>
                <w:rFonts w:ascii="Calibri" w:hAnsi="Calibri"/>
                <w:szCs w:val="22"/>
              </w:rPr>
              <w:t xml:space="preserve">width of the ground and first floor elements to 18m. </w:t>
            </w:r>
            <w:r w:rsidR="00436942">
              <w:rPr>
                <w:rFonts w:ascii="Calibri" w:hAnsi="Calibri"/>
                <w:szCs w:val="22"/>
              </w:rPr>
              <w:t>The</w:t>
            </w:r>
            <w:r w:rsidR="00A01B85">
              <w:rPr>
                <w:rFonts w:ascii="Calibri" w:hAnsi="Calibri"/>
                <w:szCs w:val="22"/>
              </w:rPr>
              <w:t xml:space="preserve">re is now a greater overlap between the ground and first floor and a slight reduction to the </w:t>
            </w:r>
            <w:proofErr w:type="gramStart"/>
            <w:r w:rsidR="00A01B85">
              <w:rPr>
                <w:rFonts w:ascii="Calibri" w:hAnsi="Calibri"/>
                <w:szCs w:val="22"/>
              </w:rPr>
              <w:t>first floor</w:t>
            </w:r>
            <w:proofErr w:type="gramEnd"/>
            <w:r w:rsidR="00A01B85">
              <w:rPr>
                <w:rFonts w:ascii="Calibri" w:hAnsi="Calibri"/>
                <w:szCs w:val="22"/>
              </w:rPr>
              <w:t xml:space="preserve"> depth. This has resulted in a total depth of </w:t>
            </w:r>
            <w:r w:rsidR="009F7AAE">
              <w:rPr>
                <w:rFonts w:ascii="Calibri" w:hAnsi="Calibri"/>
                <w:szCs w:val="22"/>
              </w:rPr>
              <w:t xml:space="preserve">approx. </w:t>
            </w:r>
            <w:r w:rsidR="00A01B85">
              <w:rPr>
                <w:rFonts w:ascii="Calibri" w:hAnsi="Calibri"/>
                <w:szCs w:val="22"/>
              </w:rPr>
              <w:t xml:space="preserve">16.8m when measured from ground floor front wall to first floor rear wall.  </w:t>
            </w:r>
            <w:r w:rsidR="00B81463">
              <w:rPr>
                <w:rFonts w:ascii="Calibri" w:hAnsi="Calibri"/>
                <w:szCs w:val="22"/>
              </w:rPr>
              <w:t>Whilst the basement width is relatively unchanged the depth is reduced from 13.8m along th</w:t>
            </w:r>
            <w:r w:rsidR="0057616F">
              <w:rPr>
                <w:rFonts w:ascii="Calibri" w:hAnsi="Calibri"/>
                <w:szCs w:val="22"/>
              </w:rPr>
              <w:t>e</w:t>
            </w:r>
            <w:r w:rsidR="00B81463">
              <w:rPr>
                <w:rFonts w:ascii="Calibri" w:hAnsi="Calibri"/>
                <w:szCs w:val="22"/>
              </w:rPr>
              <w:t xml:space="preserve"> northern boundary </w:t>
            </w:r>
            <w:r w:rsidR="0057616F">
              <w:rPr>
                <w:rFonts w:ascii="Calibri" w:hAnsi="Calibri"/>
                <w:szCs w:val="22"/>
              </w:rPr>
              <w:t xml:space="preserve">to 8.8m. </w:t>
            </w:r>
            <w:r w:rsidR="00B81463">
              <w:rPr>
                <w:rFonts w:ascii="Calibri" w:hAnsi="Calibri"/>
                <w:szCs w:val="22"/>
              </w:rPr>
              <w:t xml:space="preserve"> </w:t>
            </w:r>
          </w:p>
          <w:p w14:paraId="22D6A6E2" w14:textId="1FCCFA07" w:rsidR="00A01B85" w:rsidRDefault="00A01B85" w:rsidP="00F86F3D">
            <w:pPr>
              <w:pStyle w:val="Header"/>
              <w:tabs>
                <w:tab w:val="clear" w:pos="4153"/>
                <w:tab w:val="clear" w:pos="8306"/>
              </w:tabs>
              <w:jc w:val="both"/>
              <w:rPr>
                <w:rFonts w:ascii="Calibri" w:hAnsi="Calibri"/>
                <w:szCs w:val="22"/>
              </w:rPr>
            </w:pPr>
          </w:p>
          <w:p w14:paraId="15A0B4CA" w14:textId="6E2893BF" w:rsidR="00A01B85" w:rsidRDefault="00A01B85" w:rsidP="00F86F3D">
            <w:pPr>
              <w:pStyle w:val="Header"/>
              <w:tabs>
                <w:tab w:val="clear" w:pos="4153"/>
                <w:tab w:val="clear" w:pos="8306"/>
              </w:tabs>
              <w:jc w:val="both"/>
              <w:rPr>
                <w:rFonts w:ascii="Calibri" w:hAnsi="Calibri"/>
                <w:szCs w:val="22"/>
              </w:rPr>
            </w:pPr>
            <w:r>
              <w:rPr>
                <w:rFonts w:ascii="Calibri" w:hAnsi="Calibri"/>
                <w:szCs w:val="22"/>
              </w:rPr>
              <w:lastRenderedPageBreak/>
              <w:t>The dwelling would be</w:t>
            </w:r>
            <w:r w:rsidR="002B2F3F">
              <w:rPr>
                <w:rFonts w:ascii="Calibri" w:hAnsi="Calibri"/>
                <w:szCs w:val="22"/>
              </w:rPr>
              <w:t xml:space="preserve"> approx.</w:t>
            </w:r>
            <w:r>
              <w:rPr>
                <w:rFonts w:ascii="Calibri" w:hAnsi="Calibri"/>
                <w:szCs w:val="22"/>
              </w:rPr>
              <w:t xml:space="preserve"> </w:t>
            </w:r>
            <w:r w:rsidR="002B2F3F">
              <w:rPr>
                <w:rFonts w:ascii="Calibri" w:hAnsi="Calibri"/>
                <w:szCs w:val="22"/>
              </w:rPr>
              <w:t>6</w:t>
            </w:r>
            <w:r>
              <w:rPr>
                <w:rFonts w:ascii="Calibri" w:hAnsi="Calibri"/>
                <w:szCs w:val="22"/>
              </w:rPr>
              <w:t>.</w:t>
            </w:r>
            <w:r w:rsidR="002B2F3F">
              <w:rPr>
                <w:rFonts w:ascii="Calibri" w:hAnsi="Calibri"/>
                <w:szCs w:val="22"/>
              </w:rPr>
              <w:t>6</w:t>
            </w:r>
            <w:r>
              <w:rPr>
                <w:rFonts w:ascii="Calibri" w:hAnsi="Calibri"/>
                <w:szCs w:val="22"/>
              </w:rPr>
              <w:t xml:space="preserve">m in height </w:t>
            </w:r>
            <w:r w:rsidR="002B2F3F">
              <w:rPr>
                <w:rFonts w:ascii="Calibri" w:hAnsi="Calibri"/>
                <w:szCs w:val="22"/>
              </w:rPr>
              <w:t>(minus the chimney feature)</w:t>
            </w:r>
            <w:r>
              <w:rPr>
                <w:rFonts w:ascii="Calibri" w:hAnsi="Calibri"/>
                <w:szCs w:val="22"/>
              </w:rPr>
              <w:t xml:space="preserve"> when measured from the same point as the existing dwelling </w:t>
            </w:r>
            <w:r w:rsidR="005B73E8">
              <w:rPr>
                <w:rFonts w:ascii="Calibri" w:hAnsi="Calibri"/>
                <w:szCs w:val="22"/>
              </w:rPr>
              <w:t xml:space="preserve">height </w:t>
            </w:r>
            <w:r>
              <w:rPr>
                <w:rFonts w:ascii="Calibri" w:hAnsi="Calibri"/>
                <w:szCs w:val="22"/>
              </w:rPr>
              <w:t>measurement</w:t>
            </w:r>
            <w:r w:rsidR="00887D38">
              <w:rPr>
                <w:rFonts w:ascii="Calibri" w:hAnsi="Calibri"/>
                <w:szCs w:val="22"/>
              </w:rPr>
              <w:t xml:space="preserve"> reported</w:t>
            </w:r>
            <w:r>
              <w:rPr>
                <w:rFonts w:ascii="Calibri" w:hAnsi="Calibri"/>
                <w:szCs w:val="22"/>
              </w:rPr>
              <w:t xml:space="preserve">. </w:t>
            </w:r>
          </w:p>
          <w:p w14:paraId="5656259B" w14:textId="77777777" w:rsidR="00F86F3D" w:rsidRDefault="00F86F3D" w:rsidP="00F86F3D">
            <w:pPr>
              <w:pStyle w:val="Header"/>
              <w:tabs>
                <w:tab w:val="clear" w:pos="4153"/>
                <w:tab w:val="clear" w:pos="8306"/>
              </w:tabs>
              <w:jc w:val="both"/>
              <w:rPr>
                <w:rFonts w:ascii="Calibri" w:hAnsi="Calibri"/>
                <w:szCs w:val="22"/>
              </w:rPr>
            </w:pPr>
          </w:p>
          <w:p w14:paraId="14F0D0B5" w14:textId="77777777" w:rsidR="005B73E8" w:rsidRDefault="00F86F3D" w:rsidP="00F86F3D">
            <w:pPr>
              <w:pStyle w:val="Header"/>
              <w:tabs>
                <w:tab w:val="clear" w:pos="4153"/>
                <w:tab w:val="clear" w:pos="8306"/>
              </w:tabs>
              <w:jc w:val="both"/>
              <w:rPr>
                <w:rFonts w:ascii="Calibri" w:hAnsi="Calibri"/>
                <w:szCs w:val="22"/>
              </w:rPr>
            </w:pPr>
            <w:r>
              <w:rPr>
                <w:rFonts w:ascii="Calibri" w:hAnsi="Calibri"/>
                <w:szCs w:val="22"/>
              </w:rPr>
              <w:t>The modernist design theme is retained (including flat roofs and large expanses of glazing). Materials are render, stone and timber panel (walls), paving to terrace and green roof (roof), aluminium with timber louvres (windows)</w:t>
            </w:r>
            <w:r w:rsidR="005B73E8">
              <w:rPr>
                <w:rFonts w:ascii="Calibri" w:hAnsi="Calibri"/>
                <w:szCs w:val="22"/>
              </w:rPr>
              <w:t xml:space="preserve"> and</w:t>
            </w:r>
            <w:r>
              <w:rPr>
                <w:rFonts w:ascii="Calibri" w:hAnsi="Calibri"/>
                <w:szCs w:val="22"/>
              </w:rPr>
              <w:t xml:space="preserve"> timber (doors)</w:t>
            </w:r>
            <w:r w:rsidR="005B73E8">
              <w:rPr>
                <w:rFonts w:ascii="Calibri" w:hAnsi="Calibri"/>
                <w:szCs w:val="22"/>
              </w:rPr>
              <w:t xml:space="preserve">. </w:t>
            </w:r>
          </w:p>
          <w:p w14:paraId="5081F211" w14:textId="77777777" w:rsidR="005B73E8" w:rsidRDefault="005B73E8" w:rsidP="00F86F3D">
            <w:pPr>
              <w:pStyle w:val="Header"/>
              <w:tabs>
                <w:tab w:val="clear" w:pos="4153"/>
                <w:tab w:val="clear" w:pos="8306"/>
              </w:tabs>
              <w:jc w:val="both"/>
              <w:rPr>
                <w:rFonts w:ascii="Calibri" w:hAnsi="Calibri"/>
                <w:szCs w:val="22"/>
              </w:rPr>
            </w:pPr>
          </w:p>
          <w:p w14:paraId="65FB628A" w14:textId="77777777" w:rsidR="005B73E8" w:rsidRDefault="005B73E8" w:rsidP="00F86F3D">
            <w:pPr>
              <w:pStyle w:val="Header"/>
              <w:tabs>
                <w:tab w:val="clear" w:pos="4153"/>
                <w:tab w:val="clear" w:pos="8306"/>
              </w:tabs>
              <w:jc w:val="both"/>
              <w:rPr>
                <w:rFonts w:ascii="Calibri" w:hAnsi="Calibri"/>
                <w:szCs w:val="22"/>
              </w:rPr>
            </w:pPr>
            <w:r>
              <w:rPr>
                <w:rFonts w:ascii="Calibri" w:hAnsi="Calibri"/>
                <w:szCs w:val="22"/>
              </w:rPr>
              <w:t>The garage accommodation contained within the basement will have a level access to the highway, with ground works proposed to facilitate this. The sloping levels to the remainder of the site frontage will be relatively unchanged.</w:t>
            </w:r>
          </w:p>
          <w:p w14:paraId="1B20488F" w14:textId="33CD6492" w:rsidR="00C17932" w:rsidRPr="00F86F3D" w:rsidRDefault="00C17932" w:rsidP="00F86F3D">
            <w:pPr>
              <w:overflowPunct/>
              <w:autoSpaceDE/>
              <w:autoSpaceDN/>
              <w:adjustRightInd/>
              <w:textAlignment w:val="auto"/>
              <w:rPr>
                <w:rFonts w:ascii="Calibri" w:hAnsi="Calibri"/>
                <w:szCs w:val="22"/>
              </w:rPr>
            </w:pPr>
          </w:p>
        </w:tc>
      </w:tr>
      <w:tr w:rsidR="008542DE" w:rsidRPr="00D2449B" w14:paraId="2540EE5C"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0FB2E0" w14:textId="6B8B137C" w:rsidR="009C3D71" w:rsidRDefault="00690C30" w:rsidP="009C3D71">
            <w:pPr>
              <w:pStyle w:val="Header"/>
              <w:tabs>
                <w:tab w:val="left" w:pos="720"/>
              </w:tabs>
              <w:jc w:val="both"/>
              <w:rPr>
                <w:rFonts w:ascii="Calibri" w:hAnsi="Calibri"/>
                <w:b/>
                <w:szCs w:val="22"/>
              </w:rPr>
            </w:pPr>
            <w:r>
              <w:rPr>
                <w:rFonts w:ascii="Calibri" w:hAnsi="Calibri"/>
                <w:b/>
                <w:szCs w:val="22"/>
              </w:rPr>
              <w:lastRenderedPageBreak/>
              <w:t>Principle of Development:</w:t>
            </w:r>
          </w:p>
          <w:p w14:paraId="644E1E81" w14:textId="50C3DBCA" w:rsidR="009C3D71" w:rsidRDefault="009C3D71" w:rsidP="009C3D71">
            <w:pPr>
              <w:pStyle w:val="Header"/>
              <w:tabs>
                <w:tab w:val="left" w:pos="720"/>
              </w:tabs>
              <w:jc w:val="both"/>
              <w:rPr>
                <w:rFonts w:ascii="Calibri" w:hAnsi="Calibri"/>
                <w:b/>
                <w:szCs w:val="22"/>
              </w:rPr>
            </w:pPr>
          </w:p>
          <w:p w14:paraId="443FA5D9" w14:textId="77777777" w:rsidR="00690C30" w:rsidRDefault="00690C30" w:rsidP="00690C30">
            <w:pPr>
              <w:pStyle w:val="Header"/>
              <w:tabs>
                <w:tab w:val="clear" w:pos="4153"/>
                <w:tab w:val="clear" w:pos="8306"/>
              </w:tabs>
              <w:contextualSpacing/>
              <w:jc w:val="both"/>
              <w:rPr>
                <w:rFonts w:ascii="Calibri" w:hAnsi="Calibri"/>
                <w:i/>
                <w:szCs w:val="22"/>
              </w:rPr>
            </w:pPr>
            <w:r w:rsidRPr="004A67CD">
              <w:rPr>
                <w:rFonts w:ascii="Calibri" w:hAnsi="Calibri"/>
                <w:szCs w:val="22"/>
              </w:rPr>
              <w:t>Key Statement EN1 relates solely to development within the defined Green Belt</w:t>
            </w:r>
            <w:r>
              <w:rPr>
                <w:rFonts w:ascii="Calibri" w:hAnsi="Calibri"/>
                <w:szCs w:val="22"/>
              </w:rPr>
              <w:t>. I</w:t>
            </w:r>
            <w:r w:rsidRPr="004A67CD">
              <w:rPr>
                <w:rFonts w:ascii="Calibri" w:hAnsi="Calibri"/>
                <w:szCs w:val="22"/>
              </w:rPr>
              <w:t>t states ‘</w:t>
            </w:r>
            <w:r w:rsidRPr="004A67CD">
              <w:rPr>
                <w:rFonts w:ascii="Calibri" w:hAnsi="Calibri"/>
                <w:i/>
                <w:szCs w:val="22"/>
              </w:rPr>
              <w:t xml:space="preserve">The overall extent of the green belt will be maintained to safeguard the surrounding countryside from inappropriate encroachment. The development of new buildings will be limited to the purposes of agriculture, forestry, essential outdoor sport and recreation, cemeteries and for other uses of land which preserve the openness of the green </w:t>
            </w:r>
            <w:proofErr w:type="gramStart"/>
            <w:r w:rsidRPr="004A67CD">
              <w:rPr>
                <w:rFonts w:ascii="Calibri" w:hAnsi="Calibri"/>
                <w:i/>
                <w:szCs w:val="22"/>
              </w:rPr>
              <w:t>belt</w:t>
            </w:r>
            <w:proofErr w:type="gramEnd"/>
            <w:r w:rsidRPr="004A67CD">
              <w:rPr>
                <w:rFonts w:ascii="Calibri" w:hAnsi="Calibri"/>
                <w:i/>
                <w:szCs w:val="22"/>
              </w:rPr>
              <w:t xml:space="preserve"> and which do not conflict with the purposes of the designation’. </w:t>
            </w:r>
          </w:p>
          <w:p w14:paraId="58CA4960" w14:textId="77777777" w:rsidR="00690C30" w:rsidRPr="004A67CD" w:rsidRDefault="00690C30" w:rsidP="00690C30">
            <w:pPr>
              <w:pStyle w:val="Header"/>
              <w:tabs>
                <w:tab w:val="clear" w:pos="4153"/>
                <w:tab w:val="clear" w:pos="8306"/>
              </w:tabs>
              <w:contextualSpacing/>
              <w:jc w:val="both"/>
              <w:rPr>
                <w:rFonts w:ascii="Calibri" w:hAnsi="Calibri"/>
                <w:i/>
                <w:szCs w:val="22"/>
              </w:rPr>
            </w:pPr>
          </w:p>
          <w:p w14:paraId="636DD605" w14:textId="46C8341F" w:rsidR="00690C30" w:rsidRDefault="00690C30" w:rsidP="00690C30">
            <w:pPr>
              <w:pStyle w:val="Header"/>
              <w:tabs>
                <w:tab w:val="clear" w:pos="4153"/>
                <w:tab w:val="clear" w:pos="8306"/>
              </w:tabs>
              <w:contextualSpacing/>
              <w:jc w:val="both"/>
              <w:rPr>
                <w:rFonts w:ascii="Calibri" w:hAnsi="Calibri"/>
                <w:szCs w:val="22"/>
              </w:rPr>
            </w:pPr>
            <w:r>
              <w:rPr>
                <w:rFonts w:ascii="Calibri" w:hAnsi="Calibri"/>
                <w:szCs w:val="22"/>
              </w:rPr>
              <w:t>T</w:t>
            </w:r>
            <w:r w:rsidRPr="004A67CD">
              <w:rPr>
                <w:rFonts w:ascii="Calibri" w:hAnsi="Calibri"/>
                <w:szCs w:val="22"/>
              </w:rPr>
              <w:t>he</w:t>
            </w:r>
            <w:r>
              <w:rPr>
                <w:rFonts w:ascii="Calibri" w:hAnsi="Calibri"/>
                <w:szCs w:val="22"/>
              </w:rPr>
              <w:t xml:space="preserve"> National Planning Policy Framework (NPPF) Section 13 sets out the fundamental aim of Green Belt policy including the five purposes it serves and how Green Belt should be protected against inappropriate development. This includes assessing proposals which affect the Green Belt and its openness.</w:t>
            </w:r>
            <w:r w:rsidR="00E62560" w:rsidRPr="00127934">
              <w:rPr>
                <w:rFonts w:asciiTheme="minorHAnsi" w:hAnsiTheme="minorHAnsi" w:cstheme="minorHAnsi"/>
                <w:bCs/>
                <w:szCs w:val="22"/>
              </w:rPr>
              <w:t xml:space="preserve"> NPPG identifies that “</w:t>
            </w:r>
            <w:r w:rsidR="00E62560" w:rsidRPr="00127934">
              <w:rPr>
                <w:rFonts w:asciiTheme="minorHAnsi" w:hAnsiTheme="minorHAnsi" w:cstheme="minorHAnsi"/>
                <w:color w:val="0B0C0C"/>
                <w:szCs w:val="22"/>
              </w:rPr>
              <w:t>openness is capable of having both spatial and visual aspects – in other words, the visual impact of the proposal may be relevant, as could its volume</w:t>
            </w:r>
            <w:r w:rsidR="00E62560">
              <w:rPr>
                <w:rFonts w:asciiTheme="minorHAnsi" w:hAnsiTheme="minorHAnsi" w:cstheme="minorHAnsi"/>
                <w:color w:val="0B0C0C"/>
                <w:szCs w:val="22"/>
              </w:rPr>
              <w:t>”.</w:t>
            </w:r>
          </w:p>
          <w:p w14:paraId="1449142D" w14:textId="77777777" w:rsidR="00690C30" w:rsidRDefault="00690C30" w:rsidP="00690C30">
            <w:pPr>
              <w:pStyle w:val="Header"/>
              <w:tabs>
                <w:tab w:val="clear" w:pos="4153"/>
                <w:tab w:val="clear" w:pos="8306"/>
              </w:tabs>
              <w:contextualSpacing/>
              <w:jc w:val="both"/>
              <w:rPr>
                <w:rFonts w:ascii="Calibri" w:hAnsi="Calibri"/>
                <w:szCs w:val="22"/>
              </w:rPr>
            </w:pPr>
          </w:p>
          <w:p w14:paraId="73BF52DB" w14:textId="31A73205" w:rsidR="00690C30" w:rsidRPr="00354113" w:rsidRDefault="00690C30" w:rsidP="00690C30">
            <w:pPr>
              <w:pStyle w:val="NormalWeb"/>
              <w:shd w:val="clear" w:color="auto" w:fill="FFFFFF"/>
              <w:spacing w:before="0" w:beforeAutospacing="0" w:after="0" w:afterAutospacing="0"/>
              <w:rPr>
                <w:rFonts w:asciiTheme="minorHAnsi" w:hAnsiTheme="minorHAnsi" w:cstheme="minorHAnsi"/>
                <w:color w:val="0B0C0C"/>
                <w:sz w:val="22"/>
                <w:szCs w:val="22"/>
              </w:rPr>
            </w:pPr>
            <w:r w:rsidRPr="00354113">
              <w:rPr>
                <w:rFonts w:asciiTheme="minorHAnsi" w:hAnsiTheme="minorHAnsi" w:cstheme="minorHAnsi"/>
                <w:sz w:val="22"/>
                <w:szCs w:val="22"/>
              </w:rPr>
              <w:t>New development is usually considered inappropriate in Green Belt except in certain limited circumstances which are listed at para 149 of the NPPF. One of these exceptions is “the replacement of a building, provided the new building is in the same use and not materially larger than the one it replaces.”</w:t>
            </w:r>
            <w:r w:rsidR="00E62560">
              <w:rPr>
                <w:rFonts w:asciiTheme="minorHAnsi" w:hAnsiTheme="minorHAnsi" w:cstheme="minorHAnsi"/>
                <w:sz w:val="22"/>
                <w:szCs w:val="22"/>
              </w:rPr>
              <w:t xml:space="preserve"> Whether or not a building is materially larger is a planning judgement and the Council does not have any Local Plan policy or guidance on this, including a % figure.</w:t>
            </w:r>
          </w:p>
          <w:p w14:paraId="07B8581C" w14:textId="77777777" w:rsidR="00690C30" w:rsidRDefault="00690C30" w:rsidP="00690C30">
            <w:pPr>
              <w:pStyle w:val="Header"/>
              <w:tabs>
                <w:tab w:val="clear" w:pos="4153"/>
                <w:tab w:val="clear" w:pos="8306"/>
              </w:tabs>
              <w:contextualSpacing/>
              <w:jc w:val="both"/>
              <w:rPr>
                <w:rFonts w:ascii="Calibri" w:hAnsi="Calibri"/>
                <w:szCs w:val="22"/>
              </w:rPr>
            </w:pPr>
          </w:p>
          <w:p w14:paraId="46F13030" w14:textId="605E6A1E" w:rsidR="00E62560" w:rsidRDefault="00E62560" w:rsidP="00690C30">
            <w:pPr>
              <w:pStyle w:val="NormalWeb"/>
              <w:shd w:val="clear" w:color="auto" w:fill="FFFFFF"/>
              <w:spacing w:before="0" w:beforeAutospacing="0" w:after="0" w:afterAutospacing="0"/>
              <w:rPr>
                <w:rFonts w:ascii="Calibri" w:hAnsi="Calibri"/>
                <w:bCs/>
                <w:sz w:val="22"/>
                <w:szCs w:val="22"/>
              </w:rPr>
            </w:pPr>
            <w:r>
              <w:rPr>
                <w:rFonts w:ascii="Calibri" w:hAnsi="Calibri"/>
                <w:bCs/>
                <w:sz w:val="22"/>
                <w:szCs w:val="22"/>
              </w:rPr>
              <w:t>T</w:t>
            </w:r>
            <w:r w:rsidR="00690C30">
              <w:rPr>
                <w:rFonts w:ascii="Calibri" w:hAnsi="Calibri"/>
                <w:bCs/>
                <w:sz w:val="22"/>
                <w:szCs w:val="22"/>
              </w:rPr>
              <w:t xml:space="preserve">he site is located at a sensitive elevated hillside location immediately adjacent the Green Belt boundary and the Billington settlement boundary and within ‘ribbon development’ along Whalley Old Road. </w:t>
            </w:r>
          </w:p>
          <w:p w14:paraId="2119E95A" w14:textId="77777777" w:rsidR="00E62560" w:rsidRDefault="00E62560" w:rsidP="00690C30">
            <w:pPr>
              <w:pStyle w:val="NormalWeb"/>
              <w:shd w:val="clear" w:color="auto" w:fill="FFFFFF"/>
              <w:spacing w:before="0" w:beforeAutospacing="0" w:after="0" w:afterAutospacing="0"/>
              <w:rPr>
                <w:rFonts w:ascii="Calibri" w:hAnsi="Calibri"/>
                <w:bCs/>
                <w:sz w:val="22"/>
                <w:szCs w:val="22"/>
              </w:rPr>
            </w:pPr>
          </w:p>
          <w:p w14:paraId="55D17ABC" w14:textId="77777777" w:rsidR="00E62560" w:rsidRDefault="00E62560" w:rsidP="00E62560">
            <w:pPr>
              <w:pStyle w:val="NormalWeb"/>
              <w:shd w:val="clear" w:color="auto" w:fill="FFFFFF"/>
              <w:spacing w:before="0" w:beforeAutospacing="0" w:after="0" w:afterAutospacing="0"/>
              <w:rPr>
                <w:rFonts w:ascii="Calibri" w:hAnsi="Calibri"/>
                <w:bCs/>
                <w:sz w:val="22"/>
                <w:szCs w:val="22"/>
              </w:rPr>
            </w:pPr>
            <w:r>
              <w:rPr>
                <w:rFonts w:ascii="Calibri" w:hAnsi="Calibri"/>
                <w:bCs/>
                <w:sz w:val="22"/>
                <w:szCs w:val="22"/>
              </w:rPr>
              <w:t xml:space="preserve">It is acknowledged that the previous application was refused because the </w:t>
            </w:r>
            <w:r w:rsidRPr="00127934">
              <w:rPr>
                <w:rFonts w:ascii="Calibri" w:hAnsi="Calibri"/>
                <w:bCs/>
                <w:sz w:val="22"/>
                <w:szCs w:val="22"/>
              </w:rPr>
              <w:t xml:space="preserve">replacement building </w:t>
            </w:r>
            <w:r>
              <w:rPr>
                <w:rFonts w:ascii="Calibri" w:hAnsi="Calibri"/>
                <w:bCs/>
                <w:sz w:val="22"/>
                <w:szCs w:val="22"/>
              </w:rPr>
              <w:t>was considered “</w:t>
            </w:r>
            <w:r w:rsidRPr="00127934">
              <w:rPr>
                <w:rFonts w:ascii="Calibri" w:hAnsi="Calibri"/>
                <w:bCs/>
                <w:sz w:val="22"/>
                <w:szCs w:val="22"/>
              </w:rPr>
              <w:t xml:space="preserve">significantly larger </w:t>
            </w:r>
            <w:r>
              <w:rPr>
                <w:rFonts w:ascii="Calibri" w:hAnsi="Calibri"/>
                <w:bCs/>
                <w:sz w:val="22"/>
                <w:szCs w:val="22"/>
              </w:rPr>
              <w:t xml:space="preserve">(footprint and height) </w:t>
            </w:r>
            <w:r w:rsidRPr="00127934">
              <w:rPr>
                <w:rFonts w:ascii="Calibri" w:hAnsi="Calibri"/>
                <w:bCs/>
                <w:sz w:val="22"/>
                <w:szCs w:val="22"/>
              </w:rPr>
              <w:t xml:space="preserve">and more prominent in the landscape </w:t>
            </w:r>
            <w:r>
              <w:rPr>
                <w:rFonts w:ascii="Calibri" w:hAnsi="Calibri"/>
                <w:bCs/>
                <w:sz w:val="22"/>
                <w:szCs w:val="22"/>
              </w:rPr>
              <w:t xml:space="preserve">(including views from Whalley Old Road) </w:t>
            </w:r>
            <w:r w:rsidRPr="00127934">
              <w:rPr>
                <w:rFonts w:ascii="Calibri" w:hAnsi="Calibri"/>
                <w:bCs/>
                <w:sz w:val="22"/>
                <w:szCs w:val="22"/>
              </w:rPr>
              <w:t>which does not safeguard the openness</w:t>
            </w:r>
            <w:r>
              <w:rPr>
                <w:rFonts w:ascii="Calibri" w:hAnsi="Calibri"/>
                <w:bCs/>
                <w:sz w:val="22"/>
                <w:szCs w:val="22"/>
              </w:rPr>
              <w:t>”.</w:t>
            </w:r>
          </w:p>
          <w:p w14:paraId="0E3B9923" w14:textId="77777777" w:rsidR="00690C30" w:rsidRDefault="00690C30" w:rsidP="00690C30">
            <w:pPr>
              <w:pStyle w:val="NormalWeb"/>
              <w:shd w:val="clear" w:color="auto" w:fill="FFFFFF"/>
              <w:spacing w:before="0" w:beforeAutospacing="0" w:after="0" w:afterAutospacing="0"/>
              <w:rPr>
                <w:rFonts w:asciiTheme="minorHAnsi" w:hAnsiTheme="minorHAnsi" w:cstheme="minorHAnsi"/>
                <w:bCs/>
                <w:color w:val="0B0C0C"/>
                <w:sz w:val="22"/>
                <w:szCs w:val="22"/>
              </w:rPr>
            </w:pPr>
          </w:p>
          <w:p w14:paraId="2D5797A5" w14:textId="0B232E7B" w:rsidR="00015D03" w:rsidRDefault="00E62560" w:rsidP="00690C30">
            <w:pPr>
              <w:pStyle w:val="Header"/>
              <w:jc w:val="both"/>
              <w:rPr>
                <w:rFonts w:asciiTheme="minorHAnsi" w:hAnsiTheme="minorHAnsi" w:cstheme="minorHAnsi"/>
                <w:bCs/>
                <w:szCs w:val="22"/>
              </w:rPr>
            </w:pPr>
            <w:r>
              <w:rPr>
                <w:rFonts w:asciiTheme="minorHAnsi" w:hAnsiTheme="minorHAnsi" w:cstheme="minorHAnsi"/>
                <w:bCs/>
                <w:szCs w:val="22"/>
              </w:rPr>
              <w:t>The revised scheme has significantly reduced the volume of the proposed dwelling</w:t>
            </w:r>
            <w:r w:rsidR="00015D03">
              <w:rPr>
                <w:rFonts w:asciiTheme="minorHAnsi" w:hAnsiTheme="minorHAnsi" w:cstheme="minorHAnsi"/>
                <w:bCs/>
                <w:szCs w:val="22"/>
              </w:rPr>
              <w:t xml:space="preserve"> meaning that it is not considered to be materially larger</w:t>
            </w:r>
            <w:r>
              <w:rPr>
                <w:rFonts w:asciiTheme="minorHAnsi" w:hAnsiTheme="minorHAnsi" w:cstheme="minorHAnsi"/>
                <w:bCs/>
                <w:szCs w:val="22"/>
              </w:rPr>
              <w:t xml:space="preserve">. It now sits more contained in the plot leaving gaps of between 3-5m from the side boundary. Whilst it is acknowledged the </w:t>
            </w:r>
            <w:r w:rsidR="00015D03">
              <w:rPr>
                <w:rFonts w:asciiTheme="minorHAnsi" w:hAnsiTheme="minorHAnsi" w:cstheme="minorHAnsi"/>
                <w:bCs/>
                <w:szCs w:val="22"/>
              </w:rPr>
              <w:t xml:space="preserve">reduced </w:t>
            </w:r>
            <w:r>
              <w:rPr>
                <w:rFonts w:asciiTheme="minorHAnsi" w:hAnsiTheme="minorHAnsi" w:cstheme="minorHAnsi"/>
                <w:bCs/>
                <w:szCs w:val="22"/>
              </w:rPr>
              <w:t xml:space="preserve">footprint </w:t>
            </w:r>
            <w:r w:rsidR="00015D03">
              <w:rPr>
                <w:rFonts w:asciiTheme="minorHAnsi" w:hAnsiTheme="minorHAnsi" w:cstheme="minorHAnsi"/>
                <w:bCs/>
                <w:szCs w:val="22"/>
              </w:rPr>
              <w:t>still</w:t>
            </w:r>
            <w:r>
              <w:rPr>
                <w:rFonts w:asciiTheme="minorHAnsi" w:hAnsiTheme="minorHAnsi" w:cstheme="minorHAnsi"/>
                <w:bCs/>
                <w:szCs w:val="22"/>
              </w:rPr>
              <w:t xml:space="preserve"> extend</w:t>
            </w:r>
            <w:r w:rsidR="00015D03">
              <w:rPr>
                <w:rFonts w:asciiTheme="minorHAnsi" w:hAnsiTheme="minorHAnsi" w:cstheme="minorHAnsi"/>
                <w:bCs/>
                <w:szCs w:val="22"/>
              </w:rPr>
              <w:t>s</w:t>
            </w:r>
            <w:r>
              <w:rPr>
                <w:rFonts w:asciiTheme="minorHAnsi" w:hAnsiTheme="minorHAnsi" w:cstheme="minorHAnsi"/>
                <w:bCs/>
                <w:szCs w:val="22"/>
              </w:rPr>
              <w:t xml:space="preserve"> beyond the existing rear building line</w:t>
            </w:r>
            <w:r w:rsidR="00015D03">
              <w:rPr>
                <w:rFonts w:asciiTheme="minorHAnsi" w:hAnsiTheme="minorHAnsi" w:cstheme="minorHAnsi"/>
                <w:bCs/>
                <w:szCs w:val="22"/>
              </w:rPr>
              <w:t xml:space="preserve">, this projection is not considered to undermine the openness of the Green Belt </w:t>
            </w:r>
            <w:r w:rsidR="002A3F88">
              <w:rPr>
                <w:rFonts w:asciiTheme="minorHAnsi" w:hAnsiTheme="minorHAnsi" w:cstheme="minorHAnsi"/>
                <w:bCs/>
                <w:szCs w:val="22"/>
              </w:rPr>
              <w:t xml:space="preserve">or the open aspect character at the rear </w:t>
            </w:r>
            <w:r w:rsidR="00015D03">
              <w:rPr>
                <w:rFonts w:asciiTheme="minorHAnsi" w:hAnsiTheme="minorHAnsi" w:cstheme="minorHAnsi"/>
                <w:bCs/>
                <w:szCs w:val="22"/>
              </w:rPr>
              <w:t xml:space="preserve">and a significant gap is still maintained between the rear elevation and rear boundary. </w:t>
            </w:r>
            <w:proofErr w:type="spellStart"/>
            <w:r w:rsidR="00015D03">
              <w:rPr>
                <w:rFonts w:asciiTheme="minorHAnsi" w:hAnsiTheme="minorHAnsi" w:cstheme="minorHAnsi"/>
                <w:bCs/>
                <w:szCs w:val="22"/>
              </w:rPr>
              <w:t>Streetscene</w:t>
            </w:r>
            <w:proofErr w:type="spellEnd"/>
            <w:r w:rsidR="00015D03">
              <w:rPr>
                <w:rFonts w:asciiTheme="minorHAnsi" w:hAnsiTheme="minorHAnsi" w:cstheme="minorHAnsi"/>
                <w:bCs/>
                <w:szCs w:val="22"/>
              </w:rPr>
              <w:t xml:space="preserve"> elevations demonstrate that although taller than the existing dwelling, the height of the replacement dwelling is no higher than adjacent dwellings, save for a chimney parapet wall feature front and centre of the building. </w:t>
            </w:r>
            <w:r>
              <w:rPr>
                <w:rFonts w:asciiTheme="minorHAnsi" w:hAnsiTheme="minorHAnsi" w:cstheme="minorHAnsi"/>
                <w:bCs/>
                <w:szCs w:val="22"/>
              </w:rPr>
              <w:t xml:space="preserve"> </w:t>
            </w:r>
          </w:p>
          <w:p w14:paraId="7471738A" w14:textId="77777777" w:rsidR="00015D03" w:rsidRDefault="00015D03" w:rsidP="00690C30">
            <w:pPr>
              <w:pStyle w:val="Header"/>
              <w:jc w:val="both"/>
              <w:rPr>
                <w:rFonts w:asciiTheme="minorHAnsi" w:hAnsiTheme="minorHAnsi" w:cstheme="minorHAnsi"/>
                <w:bCs/>
                <w:szCs w:val="22"/>
              </w:rPr>
            </w:pPr>
          </w:p>
          <w:p w14:paraId="71A38932" w14:textId="48EEE202" w:rsidR="00690C30" w:rsidRPr="00F86796" w:rsidRDefault="002A3F88" w:rsidP="00690C30">
            <w:pPr>
              <w:pStyle w:val="Header"/>
              <w:jc w:val="both"/>
              <w:rPr>
                <w:rFonts w:asciiTheme="minorHAnsi" w:hAnsiTheme="minorHAnsi" w:cstheme="minorHAnsi"/>
              </w:rPr>
            </w:pPr>
            <w:r>
              <w:rPr>
                <w:rFonts w:asciiTheme="minorHAnsi" w:hAnsiTheme="minorHAnsi" w:cstheme="minorHAnsi"/>
              </w:rPr>
              <w:t>The principle of development is therefore considered acceptable.</w:t>
            </w:r>
          </w:p>
          <w:p w14:paraId="632BE018" w14:textId="6DC69CA7" w:rsidR="002A3F88" w:rsidRPr="00B8307F" w:rsidRDefault="002A3F88" w:rsidP="00B8307F">
            <w:pPr>
              <w:pStyle w:val="Header"/>
              <w:jc w:val="both"/>
              <w:rPr>
                <w:rFonts w:ascii="Calibri" w:hAnsi="Calibri"/>
                <w:bCs/>
                <w:szCs w:val="22"/>
                <w:lang w:val="en-US"/>
              </w:rPr>
            </w:pPr>
          </w:p>
        </w:tc>
      </w:tr>
      <w:tr w:rsidR="002A3F88" w:rsidRPr="00D2449B" w14:paraId="5D30DAA7"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A05287" w14:textId="77777777" w:rsidR="002A3F88" w:rsidRDefault="002A3F88" w:rsidP="009C3D71">
            <w:pPr>
              <w:pStyle w:val="Header"/>
              <w:tabs>
                <w:tab w:val="left" w:pos="720"/>
              </w:tabs>
              <w:jc w:val="both"/>
              <w:rPr>
                <w:rFonts w:ascii="Calibri" w:hAnsi="Calibri"/>
                <w:b/>
                <w:szCs w:val="22"/>
              </w:rPr>
            </w:pPr>
            <w:r>
              <w:rPr>
                <w:rFonts w:ascii="Calibri" w:hAnsi="Calibri"/>
                <w:b/>
                <w:szCs w:val="22"/>
              </w:rPr>
              <w:t>Design and Visual Impact:</w:t>
            </w:r>
          </w:p>
          <w:p w14:paraId="75061EC4" w14:textId="77777777" w:rsidR="002A3F88" w:rsidRDefault="002A3F88" w:rsidP="009C3D71">
            <w:pPr>
              <w:pStyle w:val="Header"/>
              <w:tabs>
                <w:tab w:val="left" w:pos="720"/>
              </w:tabs>
              <w:jc w:val="both"/>
              <w:rPr>
                <w:rFonts w:ascii="Calibri" w:hAnsi="Calibri"/>
                <w:b/>
                <w:szCs w:val="22"/>
              </w:rPr>
            </w:pPr>
          </w:p>
          <w:p w14:paraId="3E9D16C0" w14:textId="7FED55E3" w:rsidR="002A3F88" w:rsidRPr="00887D38" w:rsidRDefault="002A3F88" w:rsidP="002A3F88">
            <w:pPr>
              <w:pStyle w:val="Header"/>
              <w:jc w:val="both"/>
              <w:rPr>
                <w:rFonts w:asciiTheme="minorHAnsi" w:hAnsiTheme="minorHAnsi" w:cstheme="minorHAnsi"/>
              </w:rPr>
            </w:pPr>
            <w:r w:rsidRPr="00887D38">
              <w:rPr>
                <w:rFonts w:asciiTheme="minorHAnsi" w:hAnsiTheme="minorHAnsi" w:cstheme="minorHAnsi"/>
              </w:rPr>
              <w:lastRenderedPageBreak/>
              <w:t xml:space="preserve">Policy DMG1: General Considerations: Design requires all development to be sympathetic to existing and proposed land uses in terms of its </w:t>
            </w:r>
            <w:r w:rsidR="00C05BC4" w:rsidRPr="00FB3595">
              <w:rPr>
                <w:rFonts w:asciiTheme="minorHAnsi" w:eastAsiaTheme="minorHAnsi" w:hAnsiTheme="minorHAnsi" w:cstheme="minorHAnsi"/>
                <w:szCs w:val="22"/>
              </w:rPr>
              <w:t>size, intensity</w:t>
            </w:r>
            <w:r w:rsidR="00C05BC4">
              <w:rPr>
                <w:rFonts w:asciiTheme="minorHAnsi" w:eastAsiaTheme="minorHAnsi" w:hAnsiTheme="minorHAnsi" w:cstheme="minorHAnsi"/>
                <w:szCs w:val="22"/>
              </w:rPr>
              <w:t xml:space="preserve">, </w:t>
            </w:r>
            <w:r w:rsidR="00C05BC4" w:rsidRPr="00FB3595">
              <w:rPr>
                <w:rFonts w:asciiTheme="minorHAnsi" w:eastAsiaTheme="minorHAnsi" w:hAnsiTheme="minorHAnsi" w:cstheme="minorHAnsi"/>
                <w:szCs w:val="22"/>
              </w:rPr>
              <w:t>nature</w:t>
            </w:r>
            <w:r w:rsidR="00C05BC4">
              <w:rPr>
                <w:rFonts w:asciiTheme="minorHAnsi" w:eastAsiaTheme="minorHAnsi" w:hAnsiTheme="minorHAnsi" w:cstheme="minorHAnsi"/>
                <w:szCs w:val="22"/>
              </w:rPr>
              <w:t xml:space="preserve">, </w:t>
            </w:r>
            <w:proofErr w:type="gramStart"/>
            <w:r w:rsidR="00C05BC4" w:rsidRPr="00FB3595">
              <w:rPr>
                <w:rFonts w:asciiTheme="minorHAnsi" w:eastAsiaTheme="minorHAnsi" w:hAnsiTheme="minorHAnsi" w:cstheme="minorHAnsi"/>
                <w:szCs w:val="22"/>
              </w:rPr>
              <w:t>scale</w:t>
            </w:r>
            <w:proofErr w:type="gramEnd"/>
            <w:r w:rsidR="00C05BC4" w:rsidRPr="00FB3595">
              <w:rPr>
                <w:rFonts w:asciiTheme="minorHAnsi" w:eastAsiaTheme="minorHAnsi" w:hAnsiTheme="minorHAnsi" w:cstheme="minorHAnsi"/>
                <w:szCs w:val="22"/>
              </w:rPr>
              <w:t xml:space="preserve"> and massing and for consideration </w:t>
            </w:r>
            <w:r w:rsidR="00C05BC4">
              <w:rPr>
                <w:rFonts w:asciiTheme="minorHAnsi" w:eastAsiaTheme="minorHAnsi" w:hAnsiTheme="minorHAnsi" w:cstheme="minorHAnsi"/>
                <w:szCs w:val="22"/>
              </w:rPr>
              <w:t>to</w:t>
            </w:r>
            <w:r w:rsidR="00C05BC4" w:rsidRPr="00FB3595">
              <w:rPr>
                <w:rFonts w:asciiTheme="minorHAnsi" w:eastAsiaTheme="minorHAnsi" w:hAnsiTheme="minorHAnsi" w:cstheme="minorHAnsi"/>
                <w:szCs w:val="22"/>
              </w:rPr>
              <w:t xml:space="preserve"> the relationship between buildings, which is of major</w:t>
            </w:r>
            <w:r w:rsidR="00C05BC4">
              <w:rPr>
                <w:rFonts w:asciiTheme="minorHAnsi" w:eastAsiaTheme="minorHAnsi" w:hAnsiTheme="minorHAnsi" w:cstheme="minorHAnsi"/>
                <w:szCs w:val="22"/>
              </w:rPr>
              <w:t xml:space="preserve"> </w:t>
            </w:r>
            <w:r w:rsidR="00C05BC4" w:rsidRPr="00FB3595">
              <w:rPr>
                <w:rFonts w:asciiTheme="minorHAnsi" w:eastAsiaTheme="minorHAnsi" w:hAnsiTheme="minorHAnsi" w:cstheme="minorHAnsi"/>
                <w:szCs w:val="22"/>
              </w:rPr>
              <w:t>importance</w:t>
            </w:r>
            <w:r w:rsidR="00C05BC4">
              <w:rPr>
                <w:rFonts w:asciiTheme="minorHAnsi" w:eastAsiaTheme="minorHAnsi" w:hAnsiTheme="minorHAnsi" w:cstheme="minorHAnsi"/>
                <w:szCs w:val="22"/>
              </w:rPr>
              <w:t>,</w:t>
            </w:r>
            <w:r w:rsidR="00C05BC4" w:rsidRPr="00FB3595">
              <w:rPr>
                <w:rFonts w:asciiTheme="minorHAnsi" w:eastAsiaTheme="minorHAnsi" w:hAnsiTheme="minorHAnsi" w:cstheme="minorHAnsi"/>
                <w:szCs w:val="22"/>
              </w:rPr>
              <w:t xml:space="preserve"> with particular emphasis to the</w:t>
            </w:r>
            <w:r w:rsidR="00C05BC4">
              <w:rPr>
                <w:rFonts w:asciiTheme="minorHAnsi" w:eastAsiaTheme="minorHAnsi" w:hAnsiTheme="minorHAnsi" w:cstheme="minorHAnsi"/>
                <w:szCs w:val="22"/>
              </w:rPr>
              <w:t xml:space="preserve"> </w:t>
            </w:r>
            <w:r w:rsidR="00C05BC4" w:rsidRPr="00FB3595">
              <w:rPr>
                <w:rFonts w:asciiTheme="minorHAnsi" w:eastAsiaTheme="minorHAnsi" w:hAnsiTheme="minorHAnsi" w:cstheme="minorHAnsi"/>
                <w:szCs w:val="22"/>
              </w:rPr>
              <w:t>effects of development on existing amenities</w:t>
            </w:r>
            <w:r w:rsidR="00C05BC4">
              <w:rPr>
                <w:rFonts w:asciiTheme="minorHAnsi" w:eastAsiaTheme="minorHAnsi" w:hAnsiTheme="minorHAnsi" w:cstheme="minorHAnsi"/>
                <w:szCs w:val="22"/>
              </w:rPr>
              <w:t>.</w:t>
            </w:r>
          </w:p>
          <w:p w14:paraId="29A0AF07" w14:textId="14675D5D" w:rsidR="00887D38" w:rsidRPr="00887D38" w:rsidRDefault="00887D38" w:rsidP="002A3F88">
            <w:pPr>
              <w:pStyle w:val="Header"/>
              <w:jc w:val="both"/>
              <w:rPr>
                <w:rFonts w:asciiTheme="minorHAnsi" w:hAnsiTheme="minorHAnsi" w:cstheme="minorHAnsi"/>
              </w:rPr>
            </w:pPr>
          </w:p>
          <w:p w14:paraId="723B4993" w14:textId="7BEEB4C3" w:rsidR="002A3F88" w:rsidRPr="00887D38" w:rsidRDefault="00887D38" w:rsidP="00887D38">
            <w:pPr>
              <w:pStyle w:val="Header"/>
              <w:jc w:val="both"/>
              <w:rPr>
                <w:rFonts w:asciiTheme="minorHAnsi" w:hAnsiTheme="minorHAnsi" w:cstheme="minorHAnsi"/>
                <w:bCs/>
                <w:szCs w:val="22"/>
              </w:rPr>
            </w:pPr>
            <w:r w:rsidRPr="00887D38">
              <w:rPr>
                <w:rFonts w:asciiTheme="minorHAnsi" w:hAnsiTheme="minorHAnsi" w:cstheme="minorHAnsi"/>
              </w:rPr>
              <w:t xml:space="preserve">Although a modernist design concept, Whalley Old Road comprises an array of house types and designs, including modernist dwellings immediately adjacent. The design </w:t>
            </w:r>
            <w:proofErr w:type="gramStart"/>
            <w:r w:rsidRPr="00887D38">
              <w:rPr>
                <w:rFonts w:asciiTheme="minorHAnsi" w:hAnsiTheme="minorHAnsi" w:cstheme="minorHAnsi"/>
              </w:rPr>
              <w:t>is considered to be</w:t>
            </w:r>
            <w:proofErr w:type="gramEnd"/>
            <w:r w:rsidRPr="00887D38">
              <w:rPr>
                <w:rFonts w:asciiTheme="minorHAnsi" w:hAnsiTheme="minorHAnsi" w:cstheme="minorHAnsi"/>
              </w:rPr>
              <w:t xml:space="preserve"> high quality and appropriate for its surrounds. </w:t>
            </w:r>
            <w:r w:rsidRPr="00887D38">
              <w:rPr>
                <w:rFonts w:asciiTheme="minorHAnsi" w:hAnsiTheme="minorHAnsi" w:cstheme="minorHAnsi"/>
                <w:bCs/>
                <w:szCs w:val="22"/>
              </w:rPr>
              <w:t>The</w:t>
            </w:r>
            <w:r w:rsidR="002A3F88" w:rsidRPr="00887D38">
              <w:rPr>
                <w:rFonts w:asciiTheme="minorHAnsi" w:hAnsiTheme="minorHAnsi" w:cstheme="minorHAnsi"/>
                <w:bCs/>
                <w:szCs w:val="22"/>
              </w:rPr>
              <w:t xml:space="preserve"> stepped footprint and basement feature </w:t>
            </w:r>
            <w:proofErr w:type="gramStart"/>
            <w:r w:rsidR="002A3F88" w:rsidRPr="00887D38">
              <w:rPr>
                <w:rFonts w:asciiTheme="minorHAnsi" w:hAnsiTheme="minorHAnsi" w:cstheme="minorHAnsi"/>
                <w:bCs/>
                <w:szCs w:val="22"/>
              </w:rPr>
              <w:t>is considered to be</w:t>
            </w:r>
            <w:proofErr w:type="gramEnd"/>
            <w:r w:rsidR="002A3F88" w:rsidRPr="00887D38">
              <w:rPr>
                <w:rFonts w:asciiTheme="minorHAnsi" w:hAnsiTheme="minorHAnsi" w:cstheme="minorHAnsi"/>
                <w:bCs/>
                <w:szCs w:val="22"/>
              </w:rPr>
              <w:t xml:space="preserve"> a sensitive design response to the elevation and the </w:t>
            </w:r>
            <w:r w:rsidRPr="00887D38">
              <w:rPr>
                <w:rFonts w:asciiTheme="minorHAnsi" w:hAnsiTheme="minorHAnsi" w:cstheme="minorHAnsi"/>
                <w:bCs/>
                <w:szCs w:val="22"/>
              </w:rPr>
              <w:t xml:space="preserve">existing stone wall, grass verge and sloping front garden which contribute to the pleasant </w:t>
            </w:r>
            <w:proofErr w:type="spellStart"/>
            <w:r w:rsidRPr="00887D38">
              <w:rPr>
                <w:rFonts w:asciiTheme="minorHAnsi" w:hAnsiTheme="minorHAnsi" w:cstheme="minorHAnsi"/>
                <w:bCs/>
                <w:szCs w:val="22"/>
              </w:rPr>
              <w:t>streetscene</w:t>
            </w:r>
            <w:proofErr w:type="spellEnd"/>
            <w:r w:rsidRPr="00887D38">
              <w:rPr>
                <w:rFonts w:asciiTheme="minorHAnsi" w:hAnsiTheme="minorHAnsi" w:cstheme="minorHAnsi"/>
                <w:bCs/>
                <w:szCs w:val="22"/>
              </w:rPr>
              <w:t xml:space="preserve"> aspect will be mostly retained. The reduced volume and footprint </w:t>
            </w:r>
            <w:proofErr w:type="gramStart"/>
            <w:r w:rsidRPr="00887D38">
              <w:rPr>
                <w:rFonts w:asciiTheme="minorHAnsi" w:hAnsiTheme="minorHAnsi" w:cstheme="minorHAnsi"/>
                <w:bCs/>
                <w:szCs w:val="22"/>
              </w:rPr>
              <w:t>means</w:t>
            </w:r>
            <w:proofErr w:type="gramEnd"/>
            <w:r w:rsidRPr="00887D38">
              <w:rPr>
                <w:rFonts w:asciiTheme="minorHAnsi" w:hAnsiTheme="minorHAnsi" w:cstheme="minorHAnsi"/>
                <w:bCs/>
                <w:szCs w:val="22"/>
              </w:rPr>
              <w:t xml:space="preserve"> that the dwelling is considered to be well contained in the plot and not overly dominant in the </w:t>
            </w:r>
            <w:proofErr w:type="spellStart"/>
            <w:r w:rsidRPr="00887D38">
              <w:rPr>
                <w:rFonts w:asciiTheme="minorHAnsi" w:hAnsiTheme="minorHAnsi" w:cstheme="minorHAnsi"/>
                <w:bCs/>
                <w:szCs w:val="22"/>
              </w:rPr>
              <w:t>streetscene</w:t>
            </w:r>
            <w:proofErr w:type="spellEnd"/>
            <w:r w:rsidRPr="00887D38">
              <w:rPr>
                <w:rFonts w:asciiTheme="minorHAnsi" w:hAnsiTheme="minorHAnsi" w:cstheme="minorHAnsi"/>
                <w:bCs/>
                <w:szCs w:val="22"/>
              </w:rPr>
              <w:t>.</w:t>
            </w:r>
            <w:r w:rsidR="00FB02A8">
              <w:rPr>
                <w:rFonts w:asciiTheme="minorHAnsi" w:hAnsiTheme="minorHAnsi" w:cstheme="minorHAnsi"/>
                <w:bCs/>
                <w:szCs w:val="22"/>
              </w:rPr>
              <w:t xml:space="preserve"> The removal of a conifer tree along the northern boundary is likely, however this</w:t>
            </w:r>
            <w:r w:rsidR="00E10D18">
              <w:rPr>
                <w:rFonts w:asciiTheme="minorHAnsi" w:hAnsiTheme="minorHAnsi" w:cstheme="minorHAnsi"/>
                <w:bCs/>
                <w:szCs w:val="22"/>
              </w:rPr>
              <w:t xml:space="preserve"> is of minimal amenity value</w:t>
            </w:r>
            <w:r w:rsidR="00FB02A8">
              <w:rPr>
                <w:rFonts w:asciiTheme="minorHAnsi" w:hAnsiTheme="minorHAnsi" w:cstheme="minorHAnsi"/>
                <w:bCs/>
                <w:szCs w:val="22"/>
              </w:rPr>
              <w:t xml:space="preserve"> </w:t>
            </w:r>
            <w:r w:rsidR="00E10D18">
              <w:rPr>
                <w:rFonts w:asciiTheme="minorHAnsi" w:hAnsiTheme="minorHAnsi" w:cstheme="minorHAnsi"/>
                <w:bCs/>
                <w:szCs w:val="22"/>
              </w:rPr>
              <w:t xml:space="preserve">and </w:t>
            </w:r>
            <w:r w:rsidR="00FB02A8">
              <w:rPr>
                <w:rFonts w:asciiTheme="minorHAnsi" w:hAnsiTheme="minorHAnsi" w:cstheme="minorHAnsi"/>
                <w:bCs/>
                <w:szCs w:val="22"/>
              </w:rPr>
              <w:t xml:space="preserve">can be mitigated </w:t>
            </w:r>
            <w:r w:rsidR="00E10D18">
              <w:rPr>
                <w:rFonts w:asciiTheme="minorHAnsi" w:hAnsiTheme="minorHAnsi" w:cstheme="minorHAnsi"/>
                <w:bCs/>
                <w:szCs w:val="22"/>
              </w:rPr>
              <w:t>by</w:t>
            </w:r>
            <w:r w:rsidR="00FB02A8">
              <w:rPr>
                <w:rFonts w:asciiTheme="minorHAnsi" w:hAnsiTheme="minorHAnsi" w:cstheme="minorHAnsi"/>
                <w:bCs/>
                <w:szCs w:val="22"/>
              </w:rPr>
              <w:t xml:space="preserve"> a replacement landscape scheme</w:t>
            </w:r>
            <w:r w:rsidR="00E10D18">
              <w:rPr>
                <w:rFonts w:asciiTheme="minorHAnsi" w:hAnsiTheme="minorHAnsi" w:cstheme="minorHAnsi"/>
                <w:bCs/>
                <w:szCs w:val="22"/>
              </w:rPr>
              <w:t>.</w:t>
            </w:r>
          </w:p>
          <w:p w14:paraId="3026F7EF" w14:textId="620265E3" w:rsidR="00887D38" w:rsidRPr="00887D38" w:rsidRDefault="00887D38" w:rsidP="00887D38">
            <w:pPr>
              <w:pStyle w:val="Header"/>
              <w:jc w:val="both"/>
              <w:rPr>
                <w:rFonts w:asciiTheme="minorHAnsi" w:hAnsiTheme="minorHAnsi" w:cstheme="minorHAnsi"/>
                <w:bCs/>
                <w:szCs w:val="22"/>
              </w:rPr>
            </w:pPr>
          </w:p>
          <w:p w14:paraId="110B9C0B" w14:textId="3709A3DE" w:rsidR="00887D38" w:rsidRPr="00887D38" w:rsidRDefault="00887D38" w:rsidP="00887D38">
            <w:pPr>
              <w:pStyle w:val="Header"/>
              <w:jc w:val="both"/>
              <w:rPr>
                <w:rFonts w:asciiTheme="minorHAnsi" w:hAnsiTheme="minorHAnsi" w:cstheme="minorHAnsi"/>
                <w:bCs/>
                <w:szCs w:val="22"/>
              </w:rPr>
            </w:pPr>
            <w:r w:rsidRPr="00887D38">
              <w:rPr>
                <w:rFonts w:asciiTheme="minorHAnsi" w:hAnsiTheme="minorHAnsi" w:cstheme="minorHAnsi"/>
                <w:bCs/>
                <w:szCs w:val="22"/>
              </w:rPr>
              <w:t>As such the design and visual impact is considered acceptable subject to conditions.</w:t>
            </w:r>
          </w:p>
          <w:p w14:paraId="335BA0B4" w14:textId="4B540B1E" w:rsidR="00887D38" w:rsidRDefault="00887D38" w:rsidP="00887D38">
            <w:pPr>
              <w:pStyle w:val="Header"/>
              <w:jc w:val="both"/>
              <w:rPr>
                <w:rFonts w:ascii="Calibri" w:hAnsi="Calibri"/>
                <w:b/>
                <w:szCs w:val="22"/>
              </w:rPr>
            </w:pPr>
          </w:p>
        </w:tc>
      </w:tr>
      <w:tr w:rsidR="00C0704D" w:rsidRPr="00D2449B" w14:paraId="617768FF"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9DF1FFF" w14:textId="77777777" w:rsidR="00887D38" w:rsidRDefault="00887D38" w:rsidP="00887D38">
            <w:pPr>
              <w:rPr>
                <w:rFonts w:ascii="Calibri" w:hAnsi="Calibri"/>
                <w:szCs w:val="22"/>
              </w:rPr>
            </w:pPr>
            <w:r>
              <w:rPr>
                <w:rFonts w:ascii="Calibri" w:hAnsi="Calibri"/>
                <w:bCs/>
                <w:szCs w:val="22"/>
              </w:rPr>
              <w:t>It is acknowledged that the previous application was also refused on amenity because “</w:t>
            </w:r>
            <w:r>
              <w:rPr>
                <w:rFonts w:ascii="Calibri" w:hAnsi="Calibri"/>
                <w:szCs w:val="22"/>
              </w:rPr>
              <w:t>overbearing and overshadowing (the proposal is to the south-east of 34 Painter Wood) impacts will be significant and harmful to residential amenity”.</w:t>
            </w:r>
          </w:p>
          <w:p w14:paraId="226DB863" w14:textId="77777777" w:rsidR="00887D38" w:rsidRDefault="00887D38" w:rsidP="00887D38">
            <w:pPr>
              <w:rPr>
                <w:rFonts w:ascii="Calibri" w:hAnsi="Calibri"/>
                <w:szCs w:val="22"/>
              </w:rPr>
            </w:pPr>
          </w:p>
          <w:p w14:paraId="2D88CB94" w14:textId="2031E8AE" w:rsidR="009F7AAE" w:rsidRDefault="00887D38" w:rsidP="00887D38">
            <w:pPr>
              <w:rPr>
                <w:rFonts w:ascii="Calibri" w:hAnsi="Calibri"/>
                <w:szCs w:val="22"/>
              </w:rPr>
            </w:pPr>
            <w:r>
              <w:rPr>
                <w:rFonts w:ascii="Calibri" w:hAnsi="Calibri"/>
                <w:szCs w:val="22"/>
              </w:rPr>
              <w:t xml:space="preserve">Since the previous application, the </w:t>
            </w:r>
            <w:r w:rsidR="002B2F3F">
              <w:rPr>
                <w:rFonts w:ascii="Calibri" w:hAnsi="Calibri"/>
                <w:szCs w:val="22"/>
              </w:rPr>
              <w:t xml:space="preserve">off-set distance from the boundary with No. 34 has been increased by 2.2m and the rearward projection </w:t>
            </w:r>
            <w:r w:rsidR="009F7AAE">
              <w:rPr>
                <w:rFonts w:ascii="Calibri" w:hAnsi="Calibri"/>
                <w:szCs w:val="22"/>
              </w:rPr>
              <w:t xml:space="preserve">along this boundary </w:t>
            </w:r>
            <w:r w:rsidR="002B2F3F">
              <w:rPr>
                <w:rFonts w:ascii="Calibri" w:hAnsi="Calibri"/>
                <w:szCs w:val="22"/>
              </w:rPr>
              <w:t xml:space="preserve">has reduced </w:t>
            </w:r>
            <w:r w:rsidR="009F7AAE">
              <w:rPr>
                <w:rFonts w:ascii="Calibri" w:hAnsi="Calibri"/>
                <w:szCs w:val="22"/>
              </w:rPr>
              <w:t>by approx. 6m.</w:t>
            </w:r>
            <w:r w:rsidR="00D25BEA">
              <w:rPr>
                <w:rFonts w:ascii="Calibri" w:hAnsi="Calibri"/>
                <w:szCs w:val="22"/>
              </w:rPr>
              <w:t xml:space="preserve"> Plans demonstrate that the proposal would not project beyond a </w:t>
            </w:r>
            <w:proofErr w:type="gramStart"/>
            <w:r w:rsidR="00D25BEA">
              <w:rPr>
                <w:rFonts w:ascii="Calibri" w:hAnsi="Calibri"/>
                <w:szCs w:val="22"/>
              </w:rPr>
              <w:t>45 degree</w:t>
            </w:r>
            <w:proofErr w:type="gramEnd"/>
            <w:r w:rsidR="00D25BEA">
              <w:rPr>
                <w:rFonts w:ascii="Calibri" w:hAnsi="Calibri"/>
                <w:szCs w:val="22"/>
              </w:rPr>
              <w:t xml:space="preserve"> line taken from the nearest window of No.34. </w:t>
            </w:r>
            <w:proofErr w:type="gramStart"/>
            <w:r w:rsidR="00D25BEA">
              <w:rPr>
                <w:rFonts w:ascii="Calibri" w:hAnsi="Calibri"/>
                <w:szCs w:val="22"/>
              </w:rPr>
              <w:t>Indeed</w:t>
            </w:r>
            <w:proofErr w:type="gramEnd"/>
            <w:r w:rsidR="00D25BEA">
              <w:rPr>
                <w:rFonts w:ascii="Calibri" w:hAnsi="Calibri"/>
                <w:szCs w:val="22"/>
              </w:rPr>
              <w:t xml:space="preserve"> the revised scheme will fall several met</w:t>
            </w:r>
            <w:r w:rsidR="00F87B71">
              <w:rPr>
                <w:rFonts w:ascii="Calibri" w:hAnsi="Calibri"/>
                <w:szCs w:val="22"/>
              </w:rPr>
              <w:t>re</w:t>
            </w:r>
            <w:r w:rsidR="00D25BEA">
              <w:rPr>
                <w:rFonts w:ascii="Calibri" w:hAnsi="Calibri"/>
                <w:szCs w:val="22"/>
              </w:rPr>
              <w:t>s short of this line.</w:t>
            </w:r>
          </w:p>
          <w:p w14:paraId="586850F1" w14:textId="77777777" w:rsidR="009F7AAE" w:rsidRDefault="009F7AAE" w:rsidP="00887D38">
            <w:pPr>
              <w:rPr>
                <w:rFonts w:ascii="Calibri" w:hAnsi="Calibri"/>
                <w:szCs w:val="22"/>
              </w:rPr>
            </w:pPr>
          </w:p>
          <w:p w14:paraId="712DAFB6" w14:textId="51C424EE" w:rsidR="00887D38" w:rsidRDefault="00D25BEA" w:rsidP="00887D38">
            <w:pPr>
              <w:rPr>
                <w:rFonts w:ascii="Calibri" w:hAnsi="Calibri"/>
                <w:szCs w:val="22"/>
              </w:rPr>
            </w:pPr>
            <w:r>
              <w:rPr>
                <w:rFonts w:ascii="Calibri" w:hAnsi="Calibri"/>
                <w:szCs w:val="22"/>
              </w:rPr>
              <w:t xml:space="preserve">Site inspection confirmed the </w:t>
            </w:r>
            <w:r w:rsidR="009F7AAE">
              <w:rPr>
                <w:rFonts w:ascii="Calibri" w:hAnsi="Calibri"/>
                <w:szCs w:val="22"/>
              </w:rPr>
              <w:t xml:space="preserve">terrace area immediately to the rear of No. 34 sits at a lower level than the application site and despite the reduced footprint the replacement dwelling will still project </w:t>
            </w:r>
            <w:r>
              <w:rPr>
                <w:rFonts w:ascii="Calibri" w:hAnsi="Calibri"/>
                <w:szCs w:val="22"/>
              </w:rPr>
              <w:t>beyond</w:t>
            </w:r>
            <w:r w:rsidR="009F7AAE">
              <w:rPr>
                <w:rFonts w:ascii="Calibri" w:hAnsi="Calibri"/>
                <w:szCs w:val="22"/>
              </w:rPr>
              <w:t xml:space="preserve"> the rear facing windows and rear terrace area of this property. </w:t>
            </w:r>
            <w:r>
              <w:rPr>
                <w:rFonts w:ascii="Calibri" w:hAnsi="Calibri"/>
                <w:szCs w:val="22"/>
              </w:rPr>
              <w:t>A side window does face directly onto the replacement dwelling although this is believed to serve the same room as a larger rear window as such outlook and daylight will still be maintained to that room.</w:t>
            </w:r>
            <w:r w:rsidR="00C05BC4">
              <w:rPr>
                <w:rFonts w:ascii="Calibri" w:hAnsi="Calibri"/>
                <w:szCs w:val="22"/>
              </w:rPr>
              <w:t xml:space="preserve"> </w:t>
            </w:r>
            <w:proofErr w:type="gramStart"/>
            <w:r w:rsidR="00C05BC4">
              <w:rPr>
                <w:rFonts w:ascii="Calibri" w:hAnsi="Calibri"/>
                <w:szCs w:val="22"/>
              </w:rPr>
              <w:t>Furthermore</w:t>
            </w:r>
            <w:proofErr w:type="gramEnd"/>
            <w:r w:rsidR="00C05BC4">
              <w:rPr>
                <w:rFonts w:ascii="Calibri" w:hAnsi="Calibri"/>
                <w:szCs w:val="22"/>
              </w:rPr>
              <w:t xml:space="preserve"> there will be a significant distance between the two dwellings (</w:t>
            </w:r>
            <w:proofErr w:type="spellStart"/>
            <w:r w:rsidR="00C05BC4">
              <w:rPr>
                <w:rFonts w:ascii="Calibri" w:hAnsi="Calibri"/>
                <w:szCs w:val="22"/>
              </w:rPr>
              <w:t>approx</w:t>
            </w:r>
            <w:proofErr w:type="spellEnd"/>
            <w:r w:rsidR="00C05BC4">
              <w:rPr>
                <w:rFonts w:ascii="Calibri" w:hAnsi="Calibri"/>
                <w:szCs w:val="22"/>
              </w:rPr>
              <w:t xml:space="preserve"> 9m).</w:t>
            </w:r>
            <w:r>
              <w:rPr>
                <w:rFonts w:ascii="Calibri" w:hAnsi="Calibri"/>
                <w:szCs w:val="22"/>
              </w:rPr>
              <w:t xml:space="preserve">  On balance t</w:t>
            </w:r>
            <w:r w:rsidR="009F7AAE">
              <w:rPr>
                <w:rFonts w:ascii="Calibri" w:hAnsi="Calibri"/>
                <w:szCs w:val="22"/>
              </w:rPr>
              <w:t xml:space="preserve">here will still be an impact on the </w:t>
            </w:r>
            <w:r>
              <w:rPr>
                <w:rFonts w:ascii="Calibri" w:hAnsi="Calibri"/>
                <w:szCs w:val="22"/>
              </w:rPr>
              <w:t>amenity o</w:t>
            </w:r>
            <w:r w:rsidR="009F7AAE">
              <w:rPr>
                <w:rFonts w:ascii="Calibri" w:hAnsi="Calibri"/>
                <w:szCs w:val="22"/>
              </w:rPr>
              <w:t>f</w:t>
            </w:r>
            <w:r>
              <w:rPr>
                <w:rFonts w:ascii="Calibri" w:hAnsi="Calibri"/>
                <w:szCs w:val="22"/>
              </w:rPr>
              <w:t xml:space="preserve"> the occupiers of</w:t>
            </w:r>
            <w:r w:rsidR="009F7AAE">
              <w:rPr>
                <w:rFonts w:ascii="Calibri" w:hAnsi="Calibri"/>
                <w:szCs w:val="22"/>
              </w:rPr>
              <w:t xml:space="preserve"> No. 34 </w:t>
            </w:r>
            <w:r>
              <w:rPr>
                <w:rFonts w:ascii="Calibri" w:hAnsi="Calibri"/>
                <w:szCs w:val="22"/>
              </w:rPr>
              <w:t xml:space="preserve">and some overbearing and loss of light impacts given its orientation to the south-west. However, for the reasons stated this impact is not considered to be </w:t>
            </w:r>
            <w:r w:rsidR="00C05BC4">
              <w:rPr>
                <w:rFonts w:ascii="Calibri" w:hAnsi="Calibri"/>
                <w:szCs w:val="22"/>
              </w:rPr>
              <w:t>unacceptably harmful to residential amenity.</w:t>
            </w:r>
          </w:p>
          <w:p w14:paraId="6CC9A962" w14:textId="0F73F629" w:rsidR="00EE0D2E" w:rsidRDefault="00EE0D2E" w:rsidP="00887D38">
            <w:pPr>
              <w:rPr>
                <w:rFonts w:ascii="Calibri" w:hAnsi="Calibri"/>
                <w:szCs w:val="22"/>
              </w:rPr>
            </w:pPr>
          </w:p>
          <w:p w14:paraId="088D8B14" w14:textId="77777777" w:rsidR="00EE0D2E" w:rsidRDefault="00EE0D2E" w:rsidP="00EE0D2E">
            <w:pPr>
              <w:rPr>
                <w:rFonts w:ascii="Calibri" w:hAnsi="Calibri"/>
                <w:szCs w:val="22"/>
              </w:rPr>
            </w:pPr>
            <w:r>
              <w:rPr>
                <w:rFonts w:ascii="Calibri" w:hAnsi="Calibri"/>
                <w:szCs w:val="22"/>
              </w:rPr>
              <w:t xml:space="preserve">Both side elevations are blank save for a bedroom window at the front which extends into the front section of the north facing side wall.  </w:t>
            </w:r>
            <w:proofErr w:type="gramStart"/>
            <w:r>
              <w:rPr>
                <w:rFonts w:ascii="Calibri" w:hAnsi="Calibri"/>
                <w:szCs w:val="22"/>
              </w:rPr>
              <w:t>However</w:t>
            </w:r>
            <w:proofErr w:type="gramEnd"/>
            <w:r>
              <w:rPr>
                <w:rFonts w:ascii="Calibri" w:hAnsi="Calibri"/>
                <w:szCs w:val="22"/>
              </w:rPr>
              <w:t xml:space="preserve"> being at ground level, at the front of the site and a significant distance from No.34 no unacceptable overlooking impacts are identified.</w:t>
            </w:r>
          </w:p>
          <w:p w14:paraId="54D305E9" w14:textId="3E9699C1" w:rsidR="00C05BC4" w:rsidRDefault="00C05BC4" w:rsidP="00887D38">
            <w:pPr>
              <w:rPr>
                <w:rFonts w:ascii="Calibri" w:hAnsi="Calibri"/>
                <w:szCs w:val="22"/>
              </w:rPr>
            </w:pPr>
          </w:p>
          <w:p w14:paraId="32956059" w14:textId="48D643D9" w:rsidR="00C05BC4" w:rsidRDefault="00C05BC4" w:rsidP="00887D38">
            <w:pPr>
              <w:rPr>
                <w:rFonts w:ascii="Calibri" w:hAnsi="Calibri"/>
                <w:szCs w:val="22"/>
              </w:rPr>
            </w:pPr>
            <w:r>
              <w:rPr>
                <w:rFonts w:ascii="Calibri" w:hAnsi="Calibri"/>
                <w:szCs w:val="22"/>
              </w:rPr>
              <w:t>No concerns were raised in the previous application to impacts upon No.38. The impacts would be further reduced by virtue of the revisions to the dwelling footprint. There will be a significant distance between the two dwellings (</w:t>
            </w:r>
            <w:proofErr w:type="spellStart"/>
            <w:r>
              <w:rPr>
                <w:rFonts w:ascii="Calibri" w:hAnsi="Calibri"/>
                <w:szCs w:val="22"/>
              </w:rPr>
              <w:t>approx</w:t>
            </w:r>
            <w:proofErr w:type="spellEnd"/>
            <w:r>
              <w:rPr>
                <w:rFonts w:ascii="Calibri" w:hAnsi="Calibri"/>
                <w:szCs w:val="22"/>
              </w:rPr>
              <w:t xml:space="preserve"> 8m).</w:t>
            </w:r>
          </w:p>
          <w:p w14:paraId="5EF5B49F" w14:textId="131F1AF8" w:rsidR="0029154F" w:rsidRDefault="0029154F" w:rsidP="00887D38">
            <w:pPr>
              <w:rPr>
                <w:rFonts w:ascii="Calibri" w:hAnsi="Calibri"/>
                <w:szCs w:val="22"/>
              </w:rPr>
            </w:pPr>
          </w:p>
          <w:p w14:paraId="27CB7832" w14:textId="30439E9E" w:rsidR="00887D38" w:rsidRDefault="00C05BC4" w:rsidP="00887D38">
            <w:pPr>
              <w:overflowPunct/>
              <w:textAlignment w:val="auto"/>
              <w:rPr>
                <w:rFonts w:asciiTheme="minorHAnsi" w:eastAsiaTheme="minorHAnsi" w:hAnsiTheme="minorHAnsi" w:cstheme="minorHAnsi"/>
                <w:szCs w:val="22"/>
              </w:rPr>
            </w:pPr>
            <w:r>
              <w:rPr>
                <w:rFonts w:asciiTheme="minorHAnsi" w:hAnsiTheme="minorHAnsi" w:cstheme="minorHAnsi"/>
              </w:rPr>
              <w:t>As such the revised scheme is considered acceptable to residential amenity.</w:t>
            </w:r>
          </w:p>
          <w:p w14:paraId="0DB485A3" w14:textId="664D1E19" w:rsidR="00A43A57" w:rsidRPr="00C0704D" w:rsidRDefault="00A43A57" w:rsidP="00C0704D">
            <w:pPr>
              <w:contextualSpacing/>
              <w:rPr>
                <w:rFonts w:ascii="Calibri" w:hAnsi="Calibri"/>
                <w:szCs w:val="22"/>
              </w:rPr>
            </w:pPr>
          </w:p>
        </w:tc>
      </w:tr>
      <w:tr w:rsidR="00C0704D" w:rsidRPr="00D2449B" w14:paraId="6D877C31"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65000485"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66625FCC" w:rsidR="00C0704D" w:rsidRDefault="00C0704D" w:rsidP="00EA09F9">
            <w:pPr>
              <w:pStyle w:val="Header"/>
              <w:tabs>
                <w:tab w:val="clear" w:pos="4153"/>
                <w:tab w:val="clear" w:pos="8306"/>
              </w:tabs>
              <w:contextualSpacing/>
              <w:jc w:val="both"/>
              <w:rPr>
                <w:rFonts w:ascii="Calibri" w:hAnsi="Calibri"/>
                <w:b/>
                <w:szCs w:val="22"/>
              </w:rPr>
            </w:pPr>
          </w:p>
          <w:p w14:paraId="12AF2427" w14:textId="45B21F82" w:rsidR="00C05BC4" w:rsidRDefault="00C05BC4" w:rsidP="00C05BC4">
            <w:pPr>
              <w:overflowPunct/>
              <w:textAlignment w:val="auto"/>
              <w:rPr>
                <w:rFonts w:asciiTheme="minorHAnsi" w:eastAsiaTheme="minorHAnsi" w:hAnsiTheme="minorHAnsi" w:cstheme="minorHAnsi"/>
                <w:szCs w:val="22"/>
              </w:rPr>
            </w:pPr>
            <w:r>
              <w:rPr>
                <w:rFonts w:asciiTheme="minorHAnsi" w:hAnsiTheme="minorHAnsi" w:cstheme="minorHAnsi"/>
                <w:szCs w:val="22"/>
              </w:rPr>
              <w:t>The submitted bat statement identifies that t</w:t>
            </w:r>
            <w:r w:rsidRPr="009E1E8B">
              <w:rPr>
                <w:rFonts w:asciiTheme="minorHAnsi" w:eastAsiaTheme="minorHAnsi" w:hAnsiTheme="minorHAnsi" w:cstheme="minorHAnsi"/>
                <w:szCs w:val="22"/>
              </w:rPr>
              <w:t xml:space="preserve">he building </w:t>
            </w:r>
            <w:proofErr w:type="gramStart"/>
            <w:r w:rsidRPr="009E1E8B">
              <w:rPr>
                <w:rFonts w:asciiTheme="minorHAnsi" w:eastAsiaTheme="minorHAnsi" w:hAnsiTheme="minorHAnsi" w:cstheme="minorHAnsi"/>
                <w:szCs w:val="22"/>
              </w:rPr>
              <w:t>is considered to be</w:t>
            </w:r>
            <w:proofErr w:type="gramEnd"/>
            <w:r w:rsidRPr="009E1E8B">
              <w:rPr>
                <w:rFonts w:asciiTheme="minorHAnsi" w:eastAsiaTheme="minorHAnsi" w:hAnsiTheme="minorHAnsi" w:cstheme="minorHAnsi"/>
                <w:szCs w:val="22"/>
              </w:rPr>
              <w:t xml:space="preserve"> of negligible potential for roosting bats.</w:t>
            </w:r>
            <w:r>
              <w:rPr>
                <w:rFonts w:asciiTheme="minorHAnsi" w:eastAsiaTheme="minorHAnsi" w:hAnsiTheme="minorHAnsi" w:cstheme="minorHAnsi"/>
                <w:szCs w:val="22"/>
              </w:rPr>
              <w:t xml:space="preserve"> Bat boxes are recommended to enhance roosting opportunities on site.</w:t>
            </w:r>
          </w:p>
          <w:p w14:paraId="6337C4D8" w14:textId="77777777" w:rsidR="00C0704D" w:rsidRDefault="00C0704D" w:rsidP="00E46243">
            <w:pPr>
              <w:contextualSpacing/>
              <w:rPr>
                <w:rFonts w:ascii="Calibri" w:hAnsi="Calibri"/>
                <w:b/>
                <w:szCs w:val="22"/>
              </w:rPr>
            </w:pPr>
          </w:p>
        </w:tc>
      </w:tr>
      <w:tr w:rsidR="00C0704D" w:rsidRPr="00D2449B" w14:paraId="7B96C947"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CEABE54" w:rsidR="00C0704D" w:rsidRDefault="00BC11CF"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C0704D">
              <w:rPr>
                <w:rFonts w:ascii="Calibri" w:hAnsi="Calibri"/>
                <w:b/>
                <w:szCs w:val="22"/>
              </w:rPr>
              <w:t>:</w:t>
            </w:r>
          </w:p>
          <w:p w14:paraId="7C5F9ADE" w14:textId="5494960C" w:rsidR="00C0704D" w:rsidRDefault="00C0704D" w:rsidP="00EA09F9">
            <w:pPr>
              <w:pStyle w:val="Header"/>
              <w:tabs>
                <w:tab w:val="clear" w:pos="4153"/>
                <w:tab w:val="clear" w:pos="8306"/>
              </w:tabs>
              <w:contextualSpacing/>
              <w:jc w:val="both"/>
              <w:rPr>
                <w:rFonts w:ascii="Calibri" w:hAnsi="Calibri"/>
                <w:b/>
                <w:szCs w:val="22"/>
              </w:rPr>
            </w:pPr>
          </w:p>
          <w:p w14:paraId="0624471B" w14:textId="77777777" w:rsidR="00C0704D" w:rsidRDefault="00C05BC4" w:rsidP="00E46243">
            <w:pPr>
              <w:contextualSpacing/>
              <w:rPr>
                <w:rFonts w:ascii="Calibri" w:hAnsi="Calibri"/>
                <w:szCs w:val="22"/>
              </w:rPr>
            </w:pPr>
            <w:r>
              <w:rPr>
                <w:rFonts w:ascii="Calibri" w:hAnsi="Calibri"/>
                <w:szCs w:val="22"/>
              </w:rPr>
              <w:t>LCC Highways comments suggest an acceptable development subject to conditions.</w:t>
            </w:r>
          </w:p>
          <w:p w14:paraId="7AC53BDF" w14:textId="24A5C286" w:rsidR="00C05BC4" w:rsidRPr="007E0D23" w:rsidRDefault="00C05BC4" w:rsidP="00E46243">
            <w:pPr>
              <w:contextualSpacing/>
              <w:rPr>
                <w:rFonts w:ascii="Calibri" w:hAnsi="Calibri"/>
                <w:bCs/>
                <w:color w:val="548DD4" w:themeColor="text2" w:themeTint="99"/>
                <w:szCs w:val="22"/>
              </w:rPr>
            </w:pPr>
          </w:p>
        </w:tc>
      </w:tr>
      <w:tr w:rsidR="0029154F" w:rsidRPr="00D2449B" w14:paraId="43B4851A"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DF5F57" w14:textId="40541807" w:rsidR="0029154F" w:rsidRDefault="0029154F" w:rsidP="0029154F">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752A9B4F" w14:textId="7E950C93" w:rsidR="0029154F" w:rsidRDefault="0029154F" w:rsidP="0029154F">
            <w:pPr>
              <w:pStyle w:val="Header"/>
              <w:tabs>
                <w:tab w:val="clear" w:pos="4153"/>
                <w:tab w:val="clear" w:pos="8306"/>
              </w:tabs>
              <w:contextualSpacing/>
              <w:jc w:val="both"/>
              <w:rPr>
                <w:rFonts w:ascii="Calibri" w:hAnsi="Calibri"/>
                <w:b/>
                <w:szCs w:val="22"/>
              </w:rPr>
            </w:pPr>
          </w:p>
          <w:p w14:paraId="37104C61" w14:textId="2DA820BA" w:rsidR="0029154F" w:rsidRPr="0029154F" w:rsidRDefault="0029154F" w:rsidP="0029154F">
            <w:pPr>
              <w:pStyle w:val="Header"/>
              <w:tabs>
                <w:tab w:val="clear" w:pos="4153"/>
                <w:tab w:val="clear" w:pos="8306"/>
              </w:tabs>
              <w:contextualSpacing/>
              <w:jc w:val="both"/>
              <w:rPr>
                <w:rFonts w:ascii="Calibri" w:hAnsi="Calibri"/>
                <w:bCs/>
                <w:szCs w:val="22"/>
              </w:rPr>
            </w:pPr>
            <w:r w:rsidRPr="0029154F">
              <w:rPr>
                <w:rFonts w:ascii="Calibri" w:hAnsi="Calibri"/>
                <w:bCs/>
                <w:szCs w:val="22"/>
              </w:rPr>
              <w:t xml:space="preserve">The boundary </w:t>
            </w:r>
            <w:r w:rsidR="00FB02A8">
              <w:rPr>
                <w:rFonts w:ascii="Calibri" w:hAnsi="Calibri"/>
                <w:bCs/>
                <w:szCs w:val="22"/>
              </w:rPr>
              <w:t xml:space="preserve">issue </w:t>
            </w:r>
            <w:r w:rsidRPr="0029154F">
              <w:rPr>
                <w:rFonts w:ascii="Calibri" w:hAnsi="Calibri"/>
                <w:bCs/>
                <w:szCs w:val="22"/>
              </w:rPr>
              <w:t xml:space="preserve">was </w:t>
            </w:r>
            <w:r w:rsidR="00EE0D2E">
              <w:rPr>
                <w:rFonts w:ascii="Calibri" w:hAnsi="Calibri"/>
                <w:bCs/>
                <w:szCs w:val="22"/>
              </w:rPr>
              <w:t>raised</w:t>
            </w:r>
            <w:r w:rsidRPr="0029154F">
              <w:rPr>
                <w:rFonts w:ascii="Calibri" w:hAnsi="Calibri"/>
                <w:bCs/>
                <w:szCs w:val="22"/>
              </w:rPr>
              <w:t xml:space="preserve"> with the agent</w:t>
            </w:r>
            <w:r w:rsidR="00FB02A8">
              <w:rPr>
                <w:rFonts w:ascii="Calibri" w:hAnsi="Calibri"/>
                <w:bCs/>
                <w:szCs w:val="22"/>
              </w:rPr>
              <w:t xml:space="preserve">. The LPA has no reason to disagree with what is submitted however should the plans not show this correctly then it is for the applicant to resolve this and submit a further application if need be. </w:t>
            </w:r>
          </w:p>
          <w:p w14:paraId="42F17223" w14:textId="77777777" w:rsidR="0029154F" w:rsidRDefault="0029154F"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EF44E6">
        <w:trPr>
          <w:jc w:val="center"/>
        </w:trPr>
        <w:tc>
          <w:tcPr>
            <w:tcW w:w="92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6E4BCB6" w14:textId="7FBCBCC8" w:rsidR="005654A8" w:rsidRDefault="005654A8" w:rsidP="00DD62F6">
            <w:pPr>
              <w:pStyle w:val="Header"/>
              <w:tabs>
                <w:tab w:val="clear" w:pos="4153"/>
                <w:tab w:val="clear" w:pos="8306"/>
              </w:tabs>
              <w:contextualSpacing/>
              <w:jc w:val="both"/>
              <w:rPr>
                <w:rFonts w:ascii="Calibri" w:hAnsi="Calibri"/>
                <w:bCs/>
                <w:szCs w:val="22"/>
              </w:rPr>
            </w:pPr>
          </w:p>
          <w:p w14:paraId="34CB4960" w14:textId="2B306986" w:rsidR="0046548C" w:rsidRDefault="00C05BC4" w:rsidP="00DD62F6">
            <w:pPr>
              <w:pStyle w:val="Header"/>
              <w:tabs>
                <w:tab w:val="clear" w:pos="4153"/>
                <w:tab w:val="clear" w:pos="8306"/>
              </w:tabs>
              <w:contextualSpacing/>
              <w:jc w:val="both"/>
              <w:rPr>
                <w:rFonts w:ascii="Calibri" w:hAnsi="Calibri"/>
                <w:szCs w:val="22"/>
              </w:rPr>
            </w:pPr>
            <w:r>
              <w:rPr>
                <w:rFonts w:ascii="Calibri" w:hAnsi="Calibri"/>
                <w:szCs w:val="22"/>
              </w:rPr>
              <w:t>In consideration to Core Strategy Key Statement EN1 and relevant policies, including the NPPF, the proposal is deemed to be appropriate development in the Green Belt and there is no other harm identified which cannot be mitigated for by condition.</w:t>
            </w:r>
          </w:p>
          <w:p w14:paraId="3A4BD7A7" w14:textId="49C8BB6E" w:rsidR="00C05BC4" w:rsidRDefault="00C05BC4"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6548C">
        <w:trPr>
          <w:jc w:val="center"/>
        </w:trPr>
        <w:tc>
          <w:tcPr>
            <w:tcW w:w="21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07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CAE5743" w:rsidR="00C0704D" w:rsidRPr="00D2449B" w:rsidRDefault="00AB58DC" w:rsidP="00CD2CEF">
            <w:pPr>
              <w:rPr>
                <w:rFonts w:ascii="Calibri" w:hAnsi="Calibri"/>
                <w:bCs/>
                <w:szCs w:val="22"/>
              </w:rPr>
            </w:pPr>
            <w:r w:rsidRPr="00144E3C">
              <w:rPr>
                <w:rFonts w:ascii="Calibri" w:hAnsi="Calibri"/>
                <w:bCs/>
                <w:szCs w:val="22"/>
              </w:rPr>
              <w:t xml:space="preserve">To </w:t>
            </w:r>
            <w:r>
              <w:rPr>
                <w:rFonts w:ascii="Calibri" w:hAnsi="Calibri"/>
                <w:bCs/>
                <w:szCs w:val="22"/>
              </w:rPr>
              <w:t>approv</w:t>
            </w:r>
            <w:r w:rsidRPr="00144E3C">
              <w:rPr>
                <w:rFonts w:ascii="Calibri" w:hAnsi="Calibri"/>
                <w:bCs/>
                <w:szCs w:val="22"/>
              </w:rPr>
              <w:t xml:space="preserve">e </w:t>
            </w:r>
            <w:r w:rsidR="00C05BC4">
              <w:rPr>
                <w:rFonts w:ascii="Calibri" w:hAnsi="Calibri"/>
                <w:bCs/>
                <w:szCs w:val="22"/>
              </w:rPr>
              <w:t>planning permission</w:t>
            </w:r>
            <w:r w:rsidRPr="00144E3C">
              <w:rPr>
                <w:rFonts w:ascii="Calibri" w:hAnsi="Calibri"/>
                <w:bCs/>
                <w:szCs w:val="22"/>
              </w:rPr>
              <w:t>.</w:t>
            </w:r>
          </w:p>
        </w:tc>
      </w:tr>
    </w:tbl>
    <w:p w14:paraId="513FB541" w14:textId="77777777" w:rsidR="0031197A" w:rsidRPr="00D2449B" w:rsidRDefault="008A4C4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1A5"/>
    <w:multiLevelType w:val="hybridMultilevel"/>
    <w:tmpl w:val="F44A4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154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5D03"/>
    <w:rsid w:val="000176AB"/>
    <w:rsid w:val="0004003D"/>
    <w:rsid w:val="000B5CB5"/>
    <w:rsid w:val="000F24E7"/>
    <w:rsid w:val="00130035"/>
    <w:rsid w:val="00131E7C"/>
    <w:rsid w:val="00142B0E"/>
    <w:rsid w:val="00166153"/>
    <w:rsid w:val="00182234"/>
    <w:rsid w:val="001A15EE"/>
    <w:rsid w:val="001C46F8"/>
    <w:rsid w:val="001D1BBE"/>
    <w:rsid w:val="001D4F7A"/>
    <w:rsid w:val="001F7E43"/>
    <w:rsid w:val="00242DF3"/>
    <w:rsid w:val="00250879"/>
    <w:rsid w:val="0029154F"/>
    <w:rsid w:val="0029334A"/>
    <w:rsid w:val="002936F6"/>
    <w:rsid w:val="002A01CF"/>
    <w:rsid w:val="002A3F88"/>
    <w:rsid w:val="002B2F3F"/>
    <w:rsid w:val="002C6277"/>
    <w:rsid w:val="002D038C"/>
    <w:rsid w:val="002F2580"/>
    <w:rsid w:val="00320468"/>
    <w:rsid w:val="00321B6E"/>
    <w:rsid w:val="0033264D"/>
    <w:rsid w:val="0033449A"/>
    <w:rsid w:val="00350874"/>
    <w:rsid w:val="003B12BD"/>
    <w:rsid w:val="003C2B2D"/>
    <w:rsid w:val="003F3B5B"/>
    <w:rsid w:val="00436942"/>
    <w:rsid w:val="00440CB6"/>
    <w:rsid w:val="00442A39"/>
    <w:rsid w:val="0046548C"/>
    <w:rsid w:val="004947BB"/>
    <w:rsid w:val="00496EBA"/>
    <w:rsid w:val="004A1EFC"/>
    <w:rsid w:val="004A5EA9"/>
    <w:rsid w:val="004B081C"/>
    <w:rsid w:val="004C2434"/>
    <w:rsid w:val="004C68AB"/>
    <w:rsid w:val="004E50B9"/>
    <w:rsid w:val="004F0649"/>
    <w:rsid w:val="00510FA2"/>
    <w:rsid w:val="005129D0"/>
    <w:rsid w:val="005351D0"/>
    <w:rsid w:val="00556ECD"/>
    <w:rsid w:val="005654A8"/>
    <w:rsid w:val="0057616F"/>
    <w:rsid w:val="00593B73"/>
    <w:rsid w:val="005B6E24"/>
    <w:rsid w:val="005B73E8"/>
    <w:rsid w:val="005E1C6C"/>
    <w:rsid w:val="005E65DF"/>
    <w:rsid w:val="00644A51"/>
    <w:rsid w:val="00670A9D"/>
    <w:rsid w:val="00690C30"/>
    <w:rsid w:val="00692B60"/>
    <w:rsid w:val="006A71AD"/>
    <w:rsid w:val="006B1EA0"/>
    <w:rsid w:val="006C21CB"/>
    <w:rsid w:val="006C2BFA"/>
    <w:rsid w:val="006F6849"/>
    <w:rsid w:val="0070054B"/>
    <w:rsid w:val="007461AE"/>
    <w:rsid w:val="00776AE2"/>
    <w:rsid w:val="007C791C"/>
    <w:rsid w:val="007D7DF4"/>
    <w:rsid w:val="007E0D23"/>
    <w:rsid w:val="007F16D6"/>
    <w:rsid w:val="007F2BC0"/>
    <w:rsid w:val="00811771"/>
    <w:rsid w:val="008542DE"/>
    <w:rsid w:val="008652AA"/>
    <w:rsid w:val="00887149"/>
    <w:rsid w:val="00887D38"/>
    <w:rsid w:val="008A28C8"/>
    <w:rsid w:val="008A4C4E"/>
    <w:rsid w:val="008B48C9"/>
    <w:rsid w:val="008C0B83"/>
    <w:rsid w:val="008E49D6"/>
    <w:rsid w:val="009147DE"/>
    <w:rsid w:val="00951F07"/>
    <w:rsid w:val="009605C4"/>
    <w:rsid w:val="009A2C6E"/>
    <w:rsid w:val="009C3D71"/>
    <w:rsid w:val="009F7AAE"/>
    <w:rsid w:val="00A00489"/>
    <w:rsid w:val="00A01B85"/>
    <w:rsid w:val="00A40973"/>
    <w:rsid w:val="00A42E82"/>
    <w:rsid w:val="00A43A57"/>
    <w:rsid w:val="00A579BB"/>
    <w:rsid w:val="00A617BA"/>
    <w:rsid w:val="00A63D55"/>
    <w:rsid w:val="00A83092"/>
    <w:rsid w:val="00A95D89"/>
    <w:rsid w:val="00A96BF2"/>
    <w:rsid w:val="00AB58DC"/>
    <w:rsid w:val="00AE0C0C"/>
    <w:rsid w:val="00AF39BF"/>
    <w:rsid w:val="00B04AF2"/>
    <w:rsid w:val="00B617B9"/>
    <w:rsid w:val="00B74188"/>
    <w:rsid w:val="00B81463"/>
    <w:rsid w:val="00B8307F"/>
    <w:rsid w:val="00B92F2A"/>
    <w:rsid w:val="00B93EB5"/>
    <w:rsid w:val="00BC11CF"/>
    <w:rsid w:val="00BD3F03"/>
    <w:rsid w:val="00BF18B5"/>
    <w:rsid w:val="00C05BC4"/>
    <w:rsid w:val="00C0704D"/>
    <w:rsid w:val="00C17932"/>
    <w:rsid w:val="00C25722"/>
    <w:rsid w:val="00C279C6"/>
    <w:rsid w:val="00C40AD8"/>
    <w:rsid w:val="00C618DB"/>
    <w:rsid w:val="00D01206"/>
    <w:rsid w:val="00D11007"/>
    <w:rsid w:val="00D17EB1"/>
    <w:rsid w:val="00D2449B"/>
    <w:rsid w:val="00D25BEA"/>
    <w:rsid w:val="00D54E67"/>
    <w:rsid w:val="00D72ED1"/>
    <w:rsid w:val="00D75581"/>
    <w:rsid w:val="00D92449"/>
    <w:rsid w:val="00DD62F6"/>
    <w:rsid w:val="00DF5D4F"/>
    <w:rsid w:val="00E10D18"/>
    <w:rsid w:val="00E46243"/>
    <w:rsid w:val="00E62560"/>
    <w:rsid w:val="00E66534"/>
    <w:rsid w:val="00E72F6C"/>
    <w:rsid w:val="00EA0613"/>
    <w:rsid w:val="00EA09F9"/>
    <w:rsid w:val="00EC23C7"/>
    <w:rsid w:val="00ED00B7"/>
    <w:rsid w:val="00EE0D2E"/>
    <w:rsid w:val="00EF44E6"/>
    <w:rsid w:val="00F03B3F"/>
    <w:rsid w:val="00F86F3D"/>
    <w:rsid w:val="00F87B71"/>
    <w:rsid w:val="00F901C9"/>
    <w:rsid w:val="00FB02A8"/>
    <w:rsid w:val="00FB16D9"/>
    <w:rsid w:val="00FB7C8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B7C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4E50B9"/>
    <w:rPr>
      <w:b/>
      <w:bCs/>
    </w:rPr>
  </w:style>
  <w:style w:type="paragraph" w:styleId="NormalWeb">
    <w:name w:val="Normal (Web)"/>
    <w:basedOn w:val="Normal"/>
    <w:uiPriority w:val="99"/>
    <w:unhideWhenUsed/>
    <w:rsid w:val="00690C30"/>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9353">
      <w:bodyDiv w:val="1"/>
      <w:marLeft w:val="0"/>
      <w:marRight w:val="0"/>
      <w:marTop w:val="0"/>
      <w:marBottom w:val="0"/>
      <w:divBdr>
        <w:top w:val="none" w:sz="0" w:space="0" w:color="auto"/>
        <w:left w:val="none" w:sz="0" w:space="0" w:color="auto"/>
        <w:bottom w:val="none" w:sz="0" w:space="0" w:color="auto"/>
        <w:right w:val="none" w:sz="0" w:space="0" w:color="auto"/>
      </w:divBdr>
    </w:div>
    <w:div w:id="753816678">
      <w:bodyDiv w:val="1"/>
      <w:marLeft w:val="0"/>
      <w:marRight w:val="0"/>
      <w:marTop w:val="0"/>
      <w:marBottom w:val="0"/>
      <w:divBdr>
        <w:top w:val="none" w:sz="0" w:space="0" w:color="auto"/>
        <w:left w:val="none" w:sz="0" w:space="0" w:color="auto"/>
        <w:bottom w:val="none" w:sz="0" w:space="0" w:color="auto"/>
        <w:right w:val="none" w:sz="0" w:space="0" w:color="auto"/>
      </w:divBdr>
    </w:div>
    <w:div w:id="1387339477">
      <w:bodyDiv w:val="1"/>
      <w:marLeft w:val="0"/>
      <w:marRight w:val="0"/>
      <w:marTop w:val="0"/>
      <w:marBottom w:val="0"/>
      <w:divBdr>
        <w:top w:val="none" w:sz="0" w:space="0" w:color="auto"/>
        <w:left w:val="none" w:sz="0" w:space="0" w:color="auto"/>
        <w:bottom w:val="none" w:sz="0" w:space="0" w:color="auto"/>
        <w:right w:val="none" w:sz="0" w:space="0" w:color="auto"/>
      </w:divBdr>
    </w:div>
    <w:div w:id="1571039391">
      <w:bodyDiv w:val="1"/>
      <w:marLeft w:val="0"/>
      <w:marRight w:val="0"/>
      <w:marTop w:val="0"/>
      <w:marBottom w:val="0"/>
      <w:divBdr>
        <w:top w:val="none" w:sz="0" w:space="0" w:color="auto"/>
        <w:left w:val="none" w:sz="0" w:space="0" w:color="auto"/>
        <w:bottom w:val="none" w:sz="0" w:space="0" w:color="auto"/>
        <w:right w:val="none" w:sz="0" w:space="0" w:color="auto"/>
      </w:divBdr>
    </w:div>
    <w:div w:id="1630697089">
      <w:bodyDiv w:val="1"/>
      <w:marLeft w:val="0"/>
      <w:marRight w:val="0"/>
      <w:marTop w:val="0"/>
      <w:marBottom w:val="0"/>
      <w:divBdr>
        <w:top w:val="none" w:sz="0" w:space="0" w:color="auto"/>
        <w:left w:val="none" w:sz="0" w:space="0" w:color="auto"/>
        <w:bottom w:val="none" w:sz="0" w:space="0" w:color="auto"/>
        <w:right w:val="none" w:sz="0" w:space="0" w:color="auto"/>
      </w:divBdr>
    </w:div>
    <w:div w:id="1703239103">
      <w:bodyDiv w:val="1"/>
      <w:marLeft w:val="0"/>
      <w:marRight w:val="0"/>
      <w:marTop w:val="0"/>
      <w:marBottom w:val="0"/>
      <w:divBdr>
        <w:top w:val="none" w:sz="0" w:space="0" w:color="auto"/>
        <w:left w:val="none" w:sz="0" w:space="0" w:color="auto"/>
        <w:bottom w:val="none" w:sz="0" w:space="0" w:color="auto"/>
        <w:right w:val="none" w:sz="0" w:space="0" w:color="auto"/>
      </w:divBdr>
    </w:div>
    <w:div w:id="18370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2023-03-22T14:36:00Z</cp:lastPrinted>
  <dcterms:created xsi:type="dcterms:W3CDTF">2023-03-22T14:37:00Z</dcterms:created>
  <dcterms:modified xsi:type="dcterms:W3CDTF">2023-03-22T14:37:00Z</dcterms:modified>
</cp:coreProperties>
</file>