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D57115" w:rsidRPr="00CA2E98" w14:paraId="0439FBA1"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696DA1B" w14:textId="77777777" w:rsidR="00D57115" w:rsidRPr="00CA2E98" w:rsidRDefault="00D57115" w:rsidP="006B2546">
            <w:pPr>
              <w:jc w:val="center"/>
              <w:rPr>
                <w:rFonts w:ascii="Calibri" w:hAnsi="Calibri"/>
                <w:b/>
                <w:szCs w:val="22"/>
              </w:rPr>
            </w:pPr>
            <w:r w:rsidRPr="00CA2E98">
              <w:rPr>
                <w:rFonts w:ascii="Calibri" w:hAnsi="Calibri"/>
                <w:b/>
                <w:szCs w:val="22"/>
              </w:rPr>
              <w:t>Report to be read in conjunction with the Decision Notice.</w:t>
            </w:r>
          </w:p>
        </w:tc>
      </w:tr>
      <w:tr w:rsidR="00D57115" w:rsidRPr="00CA2E98" w14:paraId="2C7587A1" w14:textId="77777777" w:rsidTr="006B2546">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F76FD58" w14:textId="77777777" w:rsidR="00D57115" w:rsidRPr="00CA2E98" w:rsidRDefault="00D57115" w:rsidP="006B2546">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52E1F91A" w14:textId="77777777" w:rsidR="00D57115" w:rsidRPr="00CA2E98" w:rsidRDefault="00D57115" w:rsidP="006B2546">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421E3602" w14:textId="77777777" w:rsidR="00D57115" w:rsidRPr="00CA2E98" w:rsidRDefault="00D57115" w:rsidP="006B2546">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1C0AC338" w14:textId="77777777" w:rsidR="00D57115" w:rsidRPr="00CA2E98" w:rsidRDefault="00D57115" w:rsidP="006B2546">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63F002AC" w14:textId="41A6C913" w:rsidR="00D57115" w:rsidRPr="00CA2E98" w:rsidRDefault="00D57115" w:rsidP="006B2546">
            <w:pPr>
              <w:jc w:val="center"/>
              <w:rPr>
                <w:rFonts w:ascii="Calibri" w:hAnsi="Calibri"/>
                <w:b/>
                <w:szCs w:val="22"/>
              </w:rPr>
            </w:pPr>
            <w:r>
              <w:rPr>
                <w:rFonts w:ascii="Calibri" w:hAnsi="Calibri"/>
                <w:b/>
                <w:szCs w:val="22"/>
              </w:rPr>
              <w:t>29/06/2022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09A37DB1" w14:textId="77777777" w:rsidR="00D57115" w:rsidRPr="00CA2E98" w:rsidRDefault="00D57115" w:rsidP="006B2546">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6019B6C8" w14:textId="77777777" w:rsidR="00D57115" w:rsidRPr="00CA2E98" w:rsidRDefault="00D57115" w:rsidP="006B2546">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5585FB6F" w14:textId="77777777" w:rsidR="00D57115" w:rsidRPr="00CA2E98" w:rsidRDefault="00D57115" w:rsidP="006B2546">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100BB6EE" w14:textId="77777777" w:rsidR="00D57115" w:rsidRPr="00CA2E98" w:rsidRDefault="00D57115" w:rsidP="006B2546">
            <w:pPr>
              <w:jc w:val="center"/>
              <w:rPr>
                <w:rFonts w:ascii="Calibri" w:hAnsi="Calibri"/>
                <w:b/>
                <w:szCs w:val="22"/>
              </w:rPr>
            </w:pPr>
          </w:p>
        </w:tc>
      </w:tr>
      <w:tr w:rsidR="00D57115" w:rsidRPr="00CA2E98" w14:paraId="558B9341" w14:textId="77777777" w:rsidTr="006B2546">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3E0E3B0" w14:textId="77777777" w:rsidR="00D57115" w:rsidRPr="00CA2E98" w:rsidRDefault="00D57115" w:rsidP="006B2546">
            <w:pPr>
              <w:jc w:val="center"/>
              <w:rPr>
                <w:rFonts w:ascii="Calibri" w:hAnsi="Calibri"/>
                <w:b/>
                <w:szCs w:val="22"/>
              </w:rPr>
            </w:pPr>
          </w:p>
        </w:tc>
      </w:tr>
      <w:tr w:rsidR="00D57115" w:rsidRPr="00CA2E98" w14:paraId="1C543AC8"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9D06EB" w14:textId="77777777" w:rsidR="00D57115" w:rsidRPr="00CA2E98" w:rsidRDefault="00D57115" w:rsidP="006B2546">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11F4B33" w14:textId="6BBF3C72" w:rsidR="00D57115" w:rsidRPr="00CA2E98" w:rsidRDefault="00D57115" w:rsidP="006B2546">
            <w:pPr>
              <w:rPr>
                <w:rFonts w:ascii="Calibri" w:hAnsi="Calibri"/>
                <w:szCs w:val="22"/>
              </w:rPr>
            </w:pPr>
            <w:r>
              <w:rPr>
                <w:rFonts w:ascii="Calibri" w:hAnsi="Calibri"/>
                <w:szCs w:val="22"/>
              </w:rPr>
              <w:t>3/2022/0555</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94B79A" w14:textId="77777777" w:rsidR="00D57115" w:rsidRPr="00CA2E98" w:rsidRDefault="00D57115" w:rsidP="006B2546">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41C8095F" wp14:editId="321C55A8">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7115" w:rsidRPr="00CA2E98" w14:paraId="27422D3C"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5FC818" w14:textId="77777777" w:rsidR="00D57115" w:rsidRPr="00CA2E98" w:rsidRDefault="00D57115" w:rsidP="006B2546">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038C3ED4" w14:textId="77777777" w:rsidR="00D57115" w:rsidRPr="00CA2E98" w:rsidRDefault="00D57115" w:rsidP="006B2546">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652F307" w14:textId="77777777" w:rsidR="00D57115" w:rsidRPr="00CA2E98" w:rsidRDefault="00D57115" w:rsidP="006B2546">
            <w:pPr>
              <w:rPr>
                <w:rFonts w:ascii="Calibri" w:hAnsi="Calibri"/>
                <w:color w:val="548DD4"/>
                <w:szCs w:val="22"/>
              </w:rPr>
            </w:pPr>
          </w:p>
        </w:tc>
      </w:tr>
      <w:tr w:rsidR="00D57115" w:rsidRPr="00CA2E98" w14:paraId="4D9C1B1E"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CE1A89" w14:textId="77777777" w:rsidR="00D57115" w:rsidRPr="00CA2E98" w:rsidRDefault="00D57115" w:rsidP="006B2546">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DDCB509" w14:textId="77777777" w:rsidR="00D57115" w:rsidRPr="00CA2E98" w:rsidRDefault="00D57115" w:rsidP="006B2546">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1A0E1C" w14:textId="77777777" w:rsidR="00D57115" w:rsidRPr="00CA2E98" w:rsidRDefault="00D57115" w:rsidP="006B2546">
            <w:pPr>
              <w:rPr>
                <w:rFonts w:ascii="Calibri" w:hAnsi="Calibri"/>
                <w:color w:val="548DD4"/>
                <w:szCs w:val="22"/>
              </w:rPr>
            </w:pPr>
          </w:p>
        </w:tc>
      </w:tr>
      <w:tr w:rsidR="00D57115" w:rsidRPr="00CA2E98" w14:paraId="51D86B14" w14:textId="77777777" w:rsidTr="006B2546">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C92AA8" w14:textId="77777777" w:rsidR="00D57115" w:rsidRPr="00CA2E98" w:rsidRDefault="00D57115" w:rsidP="006B2546">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58766A4A" w14:textId="77777777" w:rsidR="00D57115" w:rsidRPr="00CA2E98" w:rsidRDefault="00D57115" w:rsidP="006B2546">
            <w:pPr>
              <w:jc w:val="center"/>
              <w:rPr>
                <w:rFonts w:ascii="Calibri" w:hAnsi="Calibri"/>
                <w:b/>
                <w:szCs w:val="22"/>
              </w:rPr>
            </w:pPr>
            <w:r w:rsidRPr="00D57115">
              <w:rPr>
                <w:rFonts w:ascii="Calibri" w:hAnsi="Calibri"/>
                <w:b/>
                <w:szCs w:val="22"/>
                <w:highlight w:val="yellow"/>
              </w:rPr>
              <w:t>APPROVAL</w:t>
            </w:r>
          </w:p>
        </w:tc>
      </w:tr>
      <w:tr w:rsidR="00D57115" w:rsidRPr="00CA2E98" w14:paraId="2A720448" w14:textId="77777777" w:rsidTr="006B2546">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690C211" w14:textId="77777777" w:rsidR="00D57115" w:rsidRPr="00CA2E98" w:rsidRDefault="00D57115" w:rsidP="006B2546">
            <w:pPr>
              <w:tabs>
                <w:tab w:val="left" w:pos="4007"/>
              </w:tabs>
              <w:rPr>
                <w:rFonts w:ascii="Calibri" w:hAnsi="Calibri"/>
                <w:b/>
                <w:color w:val="548DD4"/>
                <w:szCs w:val="22"/>
              </w:rPr>
            </w:pPr>
            <w:r w:rsidRPr="00CA2E98">
              <w:rPr>
                <w:rFonts w:ascii="Calibri" w:hAnsi="Calibri"/>
                <w:b/>
                <w:color w:val="548DD4"/>
                <w:szCs w:val="22"/>
              </w:rPr>
              <w:tab/>
            </w:r>
          </w:p>
        </w:tc>
      </w:tr>
      <w:tr w:rsidR="00D57115" w:rsidRPr="00CA2E98" w14:paraId="1F43C7DC"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31B0C9A" w14:textId="77777777" w:rsidR="00D57115" w:rsidRPr="00CA2E98" w:rsidRDefault="00D57115" w:rsidP="006B2546">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6FBF76F7" w14:textId="3226F398" w:rsidR="00D57115" w:rsidRPr="00745489" w:rsidRDefault="00D57115" w:rsidP="006B2546">
            <w:pPr>
              <w:jc w:val="both"/>
              <w:rPr>
                <w:rFonts w:ascii="Calibri" w:hAnsi="Calibri" w:cs="Helvetica"/>
                <w:szCs w:val="22"/>
                <w:shd w:val="clear" w:color="auto" w:fill="FFFFFF"/>
              </w:rPr>
            </w:pPr>
            <w:r w:rsidRPr="00D57115">
              <w:rPr>
                <w:rFonts w:ascii="Calibri" w:hAnsi="Calibri" w:cs="Helvetica"/>
                <w:szCs w:val="22"/>
                <w:shd w:val="clear" w:color="auto" w:fill="FFFFFF"/>
              </w:rPr>
              <w:t>Certificate of Lawfulness for a proposed single storey rear extension.</w:t>
            </w:r>
          </w:p>
        </w:tc>
      </w:tr>
      <w:tr w:rsidR="00D57115" w:rsidRPr="00CA2E98" w14:paraId="5989C098"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570C95" w14:textId="77777777" w:rsidR="00D57115" w:rsidRPr="00CA2E98" w:rsidRDefault="00D57115" w:rsidP="006B2546">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548A5272" w14:textId="6AF7C67A" w:rsidR="00D57115" w:rsidRPr="008010F1" w:rsidRDefault="00D57115" w:rsidP="006B2546">
            <w:pPr>
              <w:rPr>
                <w:rFonts w:asciiTheme="minorHAnsi" w:hAnsiTheme="minorHAnsi" w:cstheme="minorHAnsi"/>
                <w:bCs/>
                <w:szCs w:val="22"/>
              </w:rPr>
            </w:pPr>
            <w:r w:rsidRPr="00D57115">
              <w:rPr>
                <w:rFonts w:asciiTheme="minorHAnsi" w:hAnsiTheme="minorHAnsi" w:cstheme="minorHAnsi"/>
                <w:bCs/>
                <w:szCs w:val="22"/>
              </w:rPr>
              <w:t>85 Hayhurst Street, Clitheroe, BB7 1ND</w:t>
            </w:r>
          </w:p>
        </w:tc>
      </w:tr>
      <w:tr w:rsidR="00D57115" w:rsidRPr="00CA2E98" w14:paraId="042F8733"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4AE779D" w14:textId="77777777" w:rsidR="00D57115" w:rsidRPr="00CA2E98" w:rsidRDefault="00D57115" w:rsidP="006B2546">
            <w:pPr>
              <w:tabs>
                <w:tab w:val="left" w:pos="2667"/>
              </w:tabs>
              <w:rPr>
                <w:rFonts w:ascii="Calibri" w:hAnsi="Calibri"/>
                <w:b/>
                <w:color w:val="548DD4"/>
                <w:szCs w:val="22"/>
              </w:rPr>
            </w:pPr>
            <w:r w:rsidRPr="00CA2E98">
              <w:rPr>
                <w:rFonts w:ascii="Calibri" w:hAnsi="Calibri"/>
                <w:b/>
                <w:color w:val="548DD4"/>
                <w:szCs w:val="22"/>
              </w:rPr>
              <w:tab/>
            </w:r>
          </w:p>
        </w:tc>
      </w:tr>
      <w:tr w:rsidR="00D57115" w:rsidRPr="00CA2E98" w14:paraId="083BCF04"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E6255BE"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0D8025EE" w14:textId="77777777" w:rsidR="00D57115" w:rsidRPr="00CA2E98" w:rsidRDefault="00D57115" w:rsidP="006B2546">
            <w:pPr>
              <w:rPr>
                <w:rFonts w:ascii="Calibri" w:hAnsi="Calibri"/>
                <w:b/>
                <w:szCs w:val="22"/>
              </w:rPr>
            </w:pPr>
            <w:r w:rsidRPr="00CA2E98">
              <w:rPr>
                <w:rFonts w:ascii="Calibri" w:hAnsi="Calibri"/>
                <w:b/>
                <w:szCs w:val="22"/>
              </w:rPr>
              <w:t>Parish/Town Council</w:t>
            </w:r>
          </w:p>
        </w:tc>
      </w:tr>
      <w:tr w:rsidR="00D57115" w:rsidRPr="00CA2E98" w14:paraId="77E7A133"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817EBA" w14:textId="77777777" w:rsidR="00D57115" w:rsidRPr="00092229" w:rsidRDefault="00D57115" w:rsidP="006B2546">
            <w:pPr>
              <w:jc w:val="both"/>
              <w:rPr>
                <w:rFonts w:ascii="Calibri" w:hAnsi="Calibri"/>
                <w:iCs/>
                <w:szCs w:val="22"/>
              </w:rPr>
            </w:pPr>
            <w:r>
              <w:rPr>
                <w:rFonts w:ascii="Calibri" w:hAnsi="Calibri"/>
                <w:iCs/>
                <w:szCs w:val="22"/>
              </w:rPr>
              <w:t>N/A</w:t>
            </w:r>
          </w:p>
        </w:tc>
      </w:tr>
      <w:tr w:rsidR="00D57115" w:rsidRPr="00CA2E98" w14:paraId="461167D2"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C2016A5" w14:textId="77777777" w:rsidR="00D57115" w:rsidRPr="00CA2E98" w:rsidRDefault="00D57115" w:rsidP="006B2546">
            <w:pPr>
              <w:rPr>
                <w:rFonts w:ascii="Calibri" w:hAnsi="Calibri"/>
                <w:bCs/>
                <w:color w:val="548DD4"/>
                <w:szCs w:val="22"/>
              </w:rPr>
            </w:pPr>
          </w:p>
        </w:tc>
      </w:tr>
      <w:tr w:rsidR="00D57115" w:rsidRPr="00CA2E98" w14:paraId="3F51E2F5"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C8BFC1"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4710822" w14:textId="77777777" w:rsidR="00D57115" w:rsidRPr="00CA2E98" w:rsidRDefault="00D57115" w:rsidP="006B2546">
            <w:pPr>
              <w:rPr>
                <w:rFonts w:ascii="Calibri" w:hAnsi="Calibri"/>
                <w:b/>
                <w:szCs w:val="22"/>
              </w:rPr>
            </w:pPr>
            <w:r w:rsidRPr="00CA2E98">
              <w:rPr>
                <w:rFonts w:ascii="Calibri" w:hAnsi="Calibri"/>
                <w:b/>
                <w:szCs w:val="22"/>
              </w:rPr>
              <w:t>Highways/Water Authority/Other Bodies</w:t>
            </w:r>
          </w:p>
        </w:tc>
      </w:tr>
      <w:tr w:rsidR="00D57115" w:rsidRPr="00CA2E98" w14:paraId="20EC6F8E"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37CAC57" w14:textId="77777777" w:rsidR="00D57115" w:rsidRPr="00CA2E98" w:rsidRDefault="00D57115" w:rsidP="006B2546">
            <w:pPr>
              <w:rPr>
                <w:rFonts w:ascii="Calibri" w:hAnsi="Calibri"/>
                <w:szCs w:val="22"/>
              </w:rPr>
            </w:pPr>
            <w:r>
              <w:rPr>
                <w:rFonts w:ascii="Calibri" w:hAnsi="Calibri"/>
                <w:szCs w:val="22"/>
              </w:rPr>
              <w:t>N/A</w:t>
            </w:r>
          </w:p>
        </w:tc>
      </w:tr>
      <w:tr w:rsidR="00D57115" w:rsidRPr="00CA2E98" w14:paraId="6D69846B"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806E48"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3F1395E0" w14:textId="77777777" w:rsidR="00D57115" w:rsidRPr="00CA2E98" w:rsidRDefault="00D57115" w:rsidP="006B2546">
            <w:pPr>
              <w:rPr>
                <w:rFonts w:ascii="Calibri" w:hAnsi="Calibri"/>
                <w:b/>
                <w:szCs w:val="22"/>
              </w:rPr>
            </w:pPr>
            <w:r w:rsidRPr="00CA2E98">
              <w:rPr>
                <w:rFonts w:ascii="Calibri" w:hAnsi="Calibri"/>
                <w:b/>
                <w:szCs w:val="22"/>
              </w:rPr>
              <w:t>Additional Representations.</w:t>
            </w:r>
          </w:p>
        </w:tc>
      </w:tr>
      <w:tr w:rsidR="00D57115" w:rsidRPr="00CA2E98" w14:paraId="0DA63A95"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409F91B" w14:textId="77777777" w:rsidR="00D57115" w:rsidRPr="008D1E15" w:rsidRDefault="00D57115" w:rsidP="006B2546">
            <w:pPr>
              <w:rPr>
                <w:rFonts w:ascii="Calibri" w:hAnsi="Calibri"/>
                <w:szCs w:val="22"/>
              </w:rPr>
            </w:pPr>
            <w:r>
              <w:rPr>
                <w:rFonts w:ascii="Calibri" w:hAnsi="Calibri"/>
                <w:szCs w:val="22"/>
              </w:rPr>
              <w:t>N/A</w:t>
            </w:r>
          </w:p>
        </w:tc>
      </w:tr>
      <w:tr w:rsidR="00D57115" w:rsidRPr="00CA2E98" w14:paraId="607F3E01"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D221B54" w14:textId="77777777" w:rsidR="00D57115" w:rsidRPr="00CA2E98" w:rsidRDefault="00D57115" w:rsidP="006B2546">
            <w:pPr>
              <w:rPr>
                <w:rFonts w:ascii="Calibri" w:hAnsi="Calibri"/>
                <w:color w:val="548DD4"/>
                <w:szCs w:val="22"/>
              </w:rPr>
            </w:pPr>
          </w:p>
        </w:tc>
      </w:tr>
      <w:tr w:rsidR="00D57115" w:rsidRPr="00CA2E98" w14:paraId="5675084A"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7A9A10" w14:textId="77777777" w:rsidR="00D57115" w:rsidRPr="00CA2E98" w:rsidRDefault="00D57115" w:rsidP="006B2546">
            <w:pPr>
              <w:rPr>
                <w:rFonts w:ascii="Calibri" w:hAnsi="Calibri"/>
                <w:b/>
                <w:szCs w:val="22"/>
              </w:rPr>
            </w:pPr>
            <w:r w:rsidRPr="00CA2E98">
              <w:rPr>
                <w:rFonts w:ascii="Calibri" w:hAnsi="Calibri"/>
                <w:b/>
                <w:szCs w:val="22"/>
              </w:rPr>
              <w:t>RELEVANT POLICIES AND SITE PLANNING HISTORY:</w:t>
            </w:r>
          </w:p>
        </w:tc>
      </w:tr>
      <w:tr w:rsidR="00D57115" w:rsidRPr="00CA2E98" w14:paraId="428BA55A"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2CBECBA" w14:textId="77777777" w:rsidR="00D57115" w:rsidRPr="00D57115" w:rsidRDefault="00D57115" w:rsidP="006B2546">
            <w:pPr>
              <w:rPr>
                <w:rFonts w:ascii="Calibri" w:hAnsi="Calibri"/>
                <w:szCs w:val="22"/>
                <w:highlight w:val="yellow"/>
              </w:rPr>
            </w:pPr>
          </w:p>
          <w:p w14:paraId="44458059" w14:textId="77777777" w:rsidR="00D57115" w:rsidRPr="003F3F29" w:rsidRDefault="00D57115" w:rsidP="006B2546">
            <w:pPr>
              <w:rPr>
                <w:rFonts w:ascii="Calibri" w:hAnsi="Calibri"/>
                <w:szCs w:val="22"/>
              </w:rPr>
            </w:pPr>
            <w:r w:rsidRPr="003F3F29">
              <w:rPr>
                <w:rFonts w:ascii="Calibri" w:hAnsi="Calibri"/>
                <w:szCs w:val="22"/>
              </w:rPr>
              <w:t xml:space="preserve">The proposal will be assessed against the provisions of Schedule 2, Part 1, Class A of the </w:t>
            </w:r>
            <w:proofErr w:type="gramStart"/>
            <w:r w:rsidRPr="003F3F29">
              <w:rPr>
                <w:rFonts w:ascii="Calibri" w:hAnsi="Calibri"/>
                <w:szCs w:val="22"/>
              </w:rPr>
              <w:t>Town</w:t>
            </w:r>
            <w:proofErr w:type="gramEnd"/>
            <w:r w:rsidRPr="003F3F29">
              <w:rPr>
                <w:rFonts w:ascii="Calibri" w:hAnsi="Calibri"/>
                <w:szCs w:val="22"/>
              </w:rPr>
              <w:t xml:space="preserve"> and Country Planning (General Permitted Development) Order 2015 (as amended). </w:t>
            </w:r>
          </w:p>
          <w:p w14:paraId="3959BBEF" w14:textId="77777777" w:rsidR="00D57115" w:rsidRPr="00D57115" w:rsidRDefault="00D57115" w:rsidP="006B2546">
            <w:pPr>
              <w:rPr>
                <w:rFonts w:ascii="Calibri" w:hAnsi="Calibri"/>
                <w:szCs w:val="22"/>
                <w:highlight w:val="yellow"/>
              </w:rPr>
            </w:pPr>
          </w:p>
        </w:tc>
      </w:tr>
      <w:tr w:rsidR="00D57115" w:rsidRPr="00CA2E98" w14:paraId="3AC14D17"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2534C42" w14:textId="77777777" w:rsidR="00D57115" w:rsidRPr="00AA233B" w:rsidRDefault="00D57115" w:rsidP="006B2546">
            <w:pPr>
              <w:pStyle w:val="PLANNING"/>
              <w:rPr>
                <w:rFonts w:ascii="Calibri" w:hAnsi="Calibri"/>
                <w:b/>
                <w:bCs/>
                <w:szCs w:val="22"/>
              </w:rPr>
            </w:pPr>
            <w:r w:rsidRPr="0098483B">
              <w:rPr>
                <w:rFonts w:ascii="Calibri" w:hAnsi="Calibri"/>
                <w:b/>
                <w:bCs/>
                <w:szCs w:val="22"/>
              </w:rPr>
              <w:t>Relevant Planning History:</w:t>
            </w:r>
          </w:p>
          <w:p w14:paraId="5492EB8E" w14:textId="45D38E9C" w:rsidR="00D57115" w:rsidRDefault="00D57115" w:rsidP="006B2546">
            <w:pPr>
              <w:pStyle w:val="PLANNING"/>
              <w:rPr>
                <w:rFonts w:asciiTheme="minorHAnsi" w:hAnsiTheme="minorHAnsi" w:cstheme="minorHAnsi"/>
                <w:szCs w:val="22"/>
                <w:shd w:val="clear" w:color="auto" w:fill="FFFFFF"/>
              </w:rPr>
            </w:pPr>
          </w:p>
          <w:p w14:paraId="6012D441" w14:textId="1462BA74" w:rsidR="003F3F29" w:rsidRDefault="003F3F29" w:rsidP="006B2546">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No Previous Planning History.</w:t>
            </w:r>
          </w:p>
          <w:p w14:paraId="23637D0E" w14:textId="77777777" w:rsidR="00D57115" w:rsidRPr="00BF3C3E" w:rsidRDefault="00D57115" w:rsidP="006B2546">
            <w:pPr>
              <w:pStyle w:val="PLANNING"/>
              <w:rPr>
                <w:rFonts w:asciiTheme="minorHAnsi" w:hAnsiTheme="minorHAnsi" w:cstheme="minorHAnsi"/>
                <w:b/>
                <w:bCs/>
                <w:color w:val="548DD4"/>
                <w:szCs w:val="22"/>
                <w:highlight w:val="yellow"/>
              </w:rPr>
            </w:pPr>
          </w:p>
        </w:tc>
      </w:tr>
      <w:tr w:rsidR="00D57115" w:rsidRPr="00CA2E98" w14:paraId="24E0CC9B"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4B73E61" w14:textId="77777777" w:rsidR="00D57115" w:rsidRPr="00CA2E98" w:rsidRDefault="00D57115" w:rsidP="006B2546">
            <w:pPr>
              <w:pStyle w:val="PLANNING"/>
              <w:rPr>
                <w:rFonts w:ascii="Calibri" w:hAnsi="Calibri"/>
                <w:b/>
                <w:bCs/>
                <w:color w:val="548DD4"/>
                <w:szCs w:val="22"/>
              </w:rPr>
            </w:pPr>
          </w:p>
        </w:tc>
      </w:tr>
      <w:tr w:rsidR="00D57115" w:rsidRPr="00CA2E98" w14:paraId="6FE6231F"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F162714" w14:textId="77777777" w:rsidR="00D57115" w:rsidRPr="00CA2E98" w:rsidRDefault="00D57115" w:rsidP="006B2546">
            <w:pPr>
              <w:rPr>
                <w:rFonts w:ascii="Calibri" w:hAnsi="Calibri"/>
                <w:b/>
                <w:szCs w:val="22"/>
              </w:rPr>
            </w:pPr>
            <w:r w:rsidRPr="00CA2E98">
              <w:rPr>
                <w:rFonts w:ascii="Calibri" w:hAnsi="Calibri"/>
                <w:b/>
                <w:bCs/>
                <w:szCs w:val="22"/>
              </w:rPr>
              <w:t>ASSESSMENT OF PROPOSED DEVELOPMENT:</w:t>
            </w:r>
          </w:p>
        </w:tc>
      </w:tr>
      <w:tr w:rsidR="00D57115" w:rsidRPr="00CA2E98" w14:paraId="09551308"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ADE5BF0" w14:textId="77777777" w:rsidR="00D57115" w:rsidRDefault="00D57115" w:rsidP="006B2546">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6F79F3CE" w14:textId="127F9952" w:rsidR="00D57115" w:rsidRDefault="00D57115" w:rsidP="006B2546">
            <w:pPr>
              <w:pStyle w:val="Header"/>
              <w:tabs>
                <w:tab w:val="clear" w:pos="4153"/>
                <w:tab w:val="clear" w:pos="8306"/>
              </w:tabs>
              <w:contextualSpacing/>
              <w:jc w:val="both"/>
              <w:rPr>
                <w:rFonts w:ascii="Calibri" w:hAnsi="Calibri"/>
                <w:bCs/>
                <w:sz w:val="22"/>
                <w:szCs w:val="22"/>
                <w:lang w:val="en-GB" w:eastAsia="en-US"/>
              </w:rPr>
            </w:pPr>
          </w:p>
          <w:p w14:paraId="4429A0BA" w14:textId="024F14EA" w:rsidR="001F33D1" w:rsidRDefault="001F33D1" w:rsidP="006B2546">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relates to a </w:t>
            </w:r>
            <w:r w:rsidR="002E018D">
              <w:rPr>
                <w:rFonts w:ascii="Calibri" w:hAnsi="Calibri"/>
                <w:bCs/>
                <w:sz w:val="22"/>
                <w:szCs w:val="22"/>
                <w:lang w:val="en-GB" w:eastAsia="en-US"/>
              </w:rPr>
              <w:t xml:space="preserve">two-storey </w:t>
            </w:r>
            <w:r w:rsidR="006D2970">
              <w:rPr>
                <w:rFonts w:ascii="Calibri" w:hAnsi="Calibri"/>
                <w:bCs/>
                <w:sz w:val="22"/>
                <w:szCs w:val="22"/>
                <w:lang w:val="en-GB" w:eastAsia="en-US"/>
              </w:rPr>
              <w:t>terraced property situated within the settlement boundary of Clitheroe. The property co</w:t>
            </w:r>
            <w:r w:rsidR="00BB7029">
              <w:rPr>
                <w:rFonts w:ascii="Calibri" w:hAnsi="Calibri"/>
                <w:bCs/>
                <w:sz w:val="22"/>
                <w:szCs w:val="22"/>
                <w:lang w:val="en-GB" w:eastAsia="en-US"/>
              </w:rPr>
              <w:t>mprises of red brick and cement render, with concrete roof tiles and white UPVC doors and windows. The surrounding area is predominantly residential</w:t>
            </w:r>
            <w:r w:rsidR="002E018D">
              <w:rPr>
                <w:rFonts w:ascii="Calibri" w:hAnsi="Calibri"/>
                <w:bCs/>
                <w:sz w:val="22"/>
                <w:szCs w:val="22"/>
                <w:lang w:val="en-GB" w:eastAsia="en-US"/>
              </w:rPr>
              <w:t xml:space="preserve">, </w:t>
            </w:r>
            <w:r w:rsidR="00101340">
              <w:rPr>
                <w:rFonts w:ascii="Calibri" w:hAnsi="Calibri"/>
                <w:bCs/>
                <w:sz w:val="22"/>
                <w:szCs w:val="22"/>
                <w:lang w:val="en-GB" w:eastAsia="en-US"/>
              </w:rPr>
              <w:t xml:space="preserve">and the site itself is not situated within any designated areas. </w:t>
            </w:r>
          </w:p>
          <w:p w14:paraId="57C3B073" w14:textId="77777777" w:rsidR="00D57115" w:rsidRPr="00CA2E98" w:rsidRDefault="00D57115" w:rsidP="00101340">
            <w:pPr>
              <w:pStyle w:val="Header"/>
              <w:tabs>
                <w:tab w:val="clear" w:pos="4153"/>
                <w:tab w:val="clear" w:pos="8306"/>
              </w:tabs>
              <w:contextualSpacing/>
              <w:jc w:val="both"/>
              <w:rPr>
                <w:rFonts w:ascii="Calibri" w:hAnsi="Calibri"/>
                <w:bCs/>
                <w:sz w:val="22"/>
                <w:szCs w:val="22"/>
                <w:lang w:val="en-GB" w:eastAsia="en-US"/>
              </w:rPr>
            </w:pPr>
          </w:p>
        </w:tc>
      </w:tr>
      <w:tr w:rsidR="00D57115" w:rsidRPr="00CA2E98" w14:paraId="0016F889"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FC7D8EC" w14:textId="77777777" w:rsidR="00D57115" w:rsidRPr="00CA2E98" w:rsidRDefault="00D57115" w:rsidP="006B2546">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50D9A65B" w14:textId="5A876501" w:rsidR="00D57115" w:rsidRDefault="00D57115" w:rsidP="006B2546">
            <w:pPr>
              <w:pStyle w:val="Header"/>
              <w:tabs>
                <w:tab w:val="clear" w:pos="4153"/>
                <w:tab w:val="clear" w:pos="8306"/>
              </w:tabs>
              <w:jc w:val="both"/>
              <w:rPr>
                <w:rFonts w:ascii="Calibri" w:hAnsi="Calibri"/>
                <w:sz w:val="22"/>
                <w:szCs w:val="24"/>
                <w:lang w:val="en-GB"/>
              </w:rPr>
            </w:pPr>
          </w:p>
          <w:p w14:paraId="173AC596" w14:textId="23B488C5" w:rsidR="002C4DBF" w:rsidRDefault="002C4DBF" w:rsidP="006B2546">
            <w:pPr>
              <w:pStyle w:val="Header"/>
              <w:tabs>
                <w:tab w:val="clear" w:pos="4153"/>
                <w:tab w:val="clear" w:pos="8306"/>
              </w:tabs>
              <w:jc w:val="both"/>
              <w:rPr>
                <w:rFonts w:ascii="Calibri" w:hAnsi="Calibri"/>
                <w:sz w:val="22"/>
                <w:szCs w:val="24"/>
                <w:lang w:val="en-GB"/>
              </w:rPr>
            </w:pPr>
          </w:p>
          <w:p w14:paraId="5FEFBA84" w14:textId="176A86E6" w:rsidR="002C4DBF" w:rsidRDefault="002C4DBF" w:rsidP="006B2546">
            <w:pPr>
              <w:pStyle w:val="Header"/>
              <w:tabs>
                <w:tab w:val="clear" w:pos="4153"/>
                <w:tab w:val="clear" w:pos="8306"/>
              </w:tabs>
              <w:jc w:val="both"/>
              <w:rPr>
                <w:rFonts w:ascii="Calibri" w:hAnsi="Calibri"/>
                <w:sz w:val="22"/>
                <w:szCs w:val="24"/>
                <w:lang w:val="en-GB"/>
              </w:rPr>
            </w:pPr>
            <w:r>
              <w:rPr>
                <w:rFonts w:ascii="Calibri" w:hAnsi="Calibri"/>
                <w:sz w:val="22"/>
                <w:szCs w:val="24"/>
                <w:lang w:val="en-GB"/>
              </w:rPr>
              <w:lastRenderedPageBreak/>
              <w:t xml:space="preserve">The proposed development is for the construction of a </w:t>
            </w:r>
            <w:r w:rsidR="005531CA">
              <w:rPr>
                <w:rFonts w:ascii="Calibri" w:hAnsi="Calibri"/>
                <w:sz w:val="22"/>
                <w:szCs w:val="24"/>
                <w:lang w:val="en-GB"/>
              </w:rPr>
              <w:t>lean-to roof rear single storey extension</w:t>
            </w:r>
            <w:r w:rsidR="003A00DA">
              <w:rPr>
                <w:rFonts w:ascii="Calibri" w:hAnsi="Calibri"/>
                <w:sz w:val="22"/>
                <w:szCs w:val="24"/>
                <w:lang w:val="en-GB"/>
              </w:rPr>
              <w:t xml:space="preserve">. The dimensions will come to approximately </w:t>
            </w:r>
            <w:r w:rsidR="000D43FF">
              <w:rPr>
                <w:rFonts w:ascii="Calibri" w:hAnsi="Calibri"/>
                <w:sz w:val="22"/>
                <w:szCs w:val="24"/>
                <w:lang w:val="en-GB"/>
              </w:rPr>
              <w:t xml:space="preserve">3m on the outward projection from the rear elevation, measuring around </w:t>
            </w:r>
            <w:r w:rsidR="00292AA7">
              <w:rPr>
                <w:rFonts w:ascii="Calibri" w:hAnsi="Calibri"/>
                <w:sz w:val="22"/>
                <w:szCs w:val="24"/>
                <w:lang w:val="en-GB"/>
              </w:rPr>
              <w:t xml:space="preserve">5.2m in width, with an </w:t>
            </w:r>
            <w:proofErr w:type="gramStart"/>
            <w:r w:rsidR="00292AA7">
              <w:rPr>
                <w:rFonts w:ascii="Calibri" w:hAnsi="Calibri"/>
                <w:sz w:val="22"/>
                <w:szCs w:val="24"/>
                <w:lang w:val="en-GB"/>
              </w:rPr>
              <w:t>eaves</w:t>
            </w:r>
            <w:proofErr w:type="gramEnd"/>
            <w:r w:rsidR="00292AA7">
              <w:rPr>
                <w:rFonts w:ascii="Calibri" w:hAnsi="Calibri"/>
                <w:sz w:val="22"/>
                <w:szCs w:val="24"/>
                <w:lang w:val="en-GB"/>
              </w:rPr>
              <w:t xml:space="preserve"> height of approximately </w:t>
            </w:r>
            <w:r w:rsidR="00772FF2">
              <w:rPr>
                <w:rFonts w:ascii="Calibri" w:hAnsi="Calibri"/>
                <w:sz w:val="22"/>
                <w:szCs w:val="24"/>
                <w:lang w:val="en-GB"/>
              </w:rPr>
              <w:t xml:space="preserve">2.4m, and the </w:t>
            </w:r>
            <w:r w:rsidR="004467F1">
              <w:rPr>
                <w:rFonts w:ascii="Calibri" w:hAnsi="Calibri"/>
                <w:sz w:val="22"/>
                <w:szCs w:val="24"/>
                <w:lang w:val="en-GB"/>
              </w:rPr>
              <w:t>maximum</w:t>
            </w:r>
            <w:r w:rsidR="00772FF2">
              <w:rPr>
                <w:rFonts w:ascii="Calibri" w:hAnsi="Calibri"/>
                <w:sz w:val="22"/>
                <w:szCs w:val="24"/>
                <w:lang w:val="en-GB"/>
              </w:rPr>
              <w:t xml:space="preserve"> roof height measuring </w:t>
            </w:r>
            <w:r w:rsidR="004467F1">
              <w:rPr>
                <w:rFonts w:ascii="Calibri" w:hAnsi="Calibri"/>
                <w:sz w:val="22"/>
                <w:szCs w:val="24"/>
                <w:lang w:val="en-GB"/>
              </w:rPr>
              <w:t xml:space="preserve">around 3.5m from ground level. The application site benefits from its householder permitted development rights. </w:t>
            </w:r>
          </w:p>
          <w:p w14:paraId="69370DBD" w14:textId="77777777" w:rsidR="00D57115" w:rsidRPr="00A17E44" w:rsidRDefault="00D57115" w:rsidP="004467F1">
            <w:pPr>
              <w:pStyle w:val="Header"/>
              <w:tabs>
                <w:tab w:val="clear" w:pos="4153"/>
                <w:tab w:val="clear" w:pos="8306"/>
              </w:tabs>
              <w:jc w:val="both"/>
              <w:rPr>
                <w:rFonts w:ascii="Calibri" w:hAnsi="Calibri"/>
                <w:color w:val="548DD4"/>
                <w:szCs w:val="22"/>
                <w:lang w:val="en-GB"/>
              </w:rPr>
            </w:pPr>
          </w:p>
        </w:tc>
      </w:tr>
      <w:tr w:rsidR="00D57115" w:rsidRPr="00CA2E98" w14:paraId="1731D938"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495054" w14:textId="77777777" w:rsidR="00D57115" w:rsidRDefault="00D57115" w:rsidP="006B2546">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739B4E9A" w14:textId="77777777" w:rsidR="00D57115" w:rsidRDefault="00D57115" w:rsidP="006B2546">
            <w:pPr>
              <w:pStyle w:val="Header"/>
              <w:tabs>
                <w:tab w:val="clear" w:pos="4153"/>
                <w:tab w:val="clear" w:pos="8306"/>
              </w:tabs>
              <w:jc w:val="both"/>
              <w:rPr>
                <w:rFonts w:ascii="Calibri" w:hAnsi="Calibri"/>
                <w:b/>
                <w:sz w:val="22"/>
                <w:szCs w:val="22"/>
                <w:lang w:val="en-GB" w:eastAsia="en-US"/>
              </w:rPr>
            </w:pPr>
          </w:p>
          <w:p w14:paraId="28235843" w14:textId="77777777" w:rsidR="00D57115" w:rsidRDefault="00D57115" w:rsidP="006B2546">
            <w:pPr>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A. </w:t>
            </w:r>
          </w:p>
          <w:p w14:paraId="6EFDBC68" w14:textId="77777777" w:rsidR="00D57115" w:rsidRPr="00AC74FC" w:rsidRDefault="00D57115" w:rsidP="006B2546">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D57115" w:rsidRPr="00CA2E98" w14:paraId="2771DA0D"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67017F" w14:textId="77777777" w:rsidR="00D57115" w:rsidRDefault="00D57115" w:rsidP="006B2546">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00B16245" w14:textId="77777777" w:rsidR="00D57115" w:rsidRDefault="00D57115" w:rsidP="006B2546">
            <w:pPr>
              <w:contextualSpacing/>
              <w:jc w:val="both"/>
              <w:rPr>
                <w:rFonts w:ascii="Calibri" w:hAnsi="Calibri"/>
                <w:color w:val="000000"/>
                <w:szCs w:val="22"/>
              </w:rPr>
            </w:pPr>
          </w:p>
          <w:p w14:paraId="3013B1BB" w14:textId="77777777" w:rsidR="00D57115" w:rsidRDefault="00D57115" w:rsidP="006B2546">
            <w:pPr>
              <w:contextualSpacing/>
              <w:jc w:val="both"/>
              <w:rPr>
                <w:rFonts w:ascii="Calibri" w:hAnsi="Calibri"/>
                <w:color w:val="000000"/>
                <w:szCs w:val="22"/>
              </w:rPr>
            </w:pPr>
            <w:proofErr w:type="gramStart"/>
            <w:r>
              <w:rPr>
                <w:rFonts w:ascii="Calibri" w:hAnsi="Calibri"/>
                <w:color w:val="000000"/>
                <w:szCs w:val="22"/>
              </w:rPr>
              <w:t>In order for</w:t>
            </w:r>
            <w:proofErr w:type="gramEnd"/>
            <w:r>
              <w:rPr>
                <w:rFonts w:ascii="Calibri" w:hAnsi="Calibri"/>
                <w:color w:val="000000"/>
                <w:szCs w:val="22"/>
              </w:rPr>
              <w:t xml:space="preserve">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7E962367" w14:textId="77777777" w:rsidR="00D57115" w:rsidRPr="00BD3B4F" w:rsidRDefault="00D57115" w:rsidP="006B2546">
            <w:pPr>
              <w:contextualSpacing/>
              <w:jc w:val="both"/>
              <w:rPr>
                <w:rFonts w:ascii="Calibri" w:hAnsi="Calibri"/>
                <w:color w:val="000000"/>
                <w:sz w:val="24"/>
                <w:szCs w:val="24"/>
              </w:rPr>
            </w:pPr>
          </w:p>
          <w:p w14:paraId="60D93544" w14:textId="77777777" w:rsidR="00D57115" w:rsidRPr="00BD3B4F" w:rsidRDefault="00D57115" w:rsidP="006B2546">
            <w:pPr>
              <w:pStyle w:val="Header"/>
              <w:jc w:val="both"/>
              <w:rPr>
                <w:rFonts w:ascii="Calibri" w:hAnsi="Calibri"/>
                <w:sz w:val="22"/>
                <w:szCs w:val="24"/>
              </w:rPr>
            </w:pPr>
            <w:r w:rsidRPr="00BD3B4F">
              <w:rPr>
                <w:rFonts w:ascii="Calibri" w:hAnsi="Calibri"/>
                <w:sz w:val="22"/>
                <w:szCs w:val="24"/>
              </w:rPr>
              <w:t>A.1 Development is not permitted by Class A if –</w:t>
            </w:r>
          </w:p>
          <w:p w14:paraId="07DD6A44" w14:textId="77777777" w:rsidR="00D57115" w:rsidRPr="00BD3B4F" w:rsidRDefault="00D57115" w:rsidP="006B2546">
            <w:pPr>
              <w:pStyle w:val="Header"/>
              <w:jc w:val="both"/>
              <w:rPr>
                <w:rFonts w:ascii="Calibri" w:hAnsi="Calibri"/>
                <w:sz w:val="22"/>
                <w:szCs w:val="24"/>
              </w:rPr>
            </w:pPr>
          </w:p>
          <w:p w14:paraId="54427025" w14:textId="77777777" w:rsidR="00D57115" w:rsidRPr="00BD3B4F" w:rsidRDefault="00D57115" w:rsidP="006B2546">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13D5132F" w14:textId="77777777" w:rsidR="00D57115" w:rsidRPr="00BD3B4F" w:rsidRDefault="00D57115" w:rsidP="006B2546">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704DC072" w14:textId="77777777" w:rsidR="00D57115" w:rsidRPr="00BD3B4F" w:rsidRDefault="00D57115" w:rsidP="006B2546">
            <w:pPr>
              <w:pStyle w:val="Header"/>
              <w:tabs>
                <w:tab w:val="left" w:pos="914"/>
              </w:tabs>
              <w:jc w:val="both"/>
              <w:rPr>
                <w:rFonts w:ascii="Calibri" w:hAnsi="Calibri"/>
                <w:sz w:val="22"/>
                <w:szCs w:val="24"/>
              </w:rPr>
            </w:pPr>
            <w:r w:rsidRPr="00BD3B4F">
              <w:rPr>
                <w:rFonts w:ascii="Calibri" w:hAnsi="Calibri"/>
                <w:sz w:val="22"/>
                <w:szCs w:val="24"/>
              </w:rPr>
              <w:tab/>
            </w:r>
          </w:p>
          <w:p w14:paraId="71DCD577" w14:textId="77777777" w:rsidR="00D57115" w:rsidRPr="00584DBE" w:rsidRDefault="00D57115" w:rsidP="006B2546">
            <w:pPr>
              <w:pStyle w:val="Header"/>
              <w:tabs>
                <w:tab w:val="left" w:pos="720"/>
              </w:tabs>
              <w:jc w:val="both"/>
              <w:rPr>
                <w:rFonts w:ascii="Calibri" w:hAnsi="Calibri"/>
                <w:b/>
                <w:i/>
                <w:iCs/>
                <w:sz w:val="22"/>
                <w:szCs w:val="24"/>
              </w:rPr>
            </w:pPr>
            <w:r w:rsidRPr="004467F1">
              <w:rPr>
                <w:rFonts w:ascii="Calibri" w:hAnsi="Calibri"/>
                <w:b/>
                <w:i/>
                <w:iCs/>
                <w:sz w:val="22"/>
                <w:szCs w:val="24"/>
              </w:rPr>
              <w:t>Permission for use as a dwellinghouse was not granted by virtue of class M, N, P or Q of Part 3.</w:t>
            </w:r>
          </w:p>
          <w:p w14:paraId="3FF62067" w14:textId="77777777" w:rsidR="00D57115" w:rsidRDefault="00D57115" w:rsidP="006B2546">
            <w:pPr>
              <w:pStyle w:val="Header"/>
              <w:tabs>
                <w:tab w:val="left" w:pos="720"/>
              </w:tabs>
              <w:jc w:val="both"/>
              <w:rPr>
                <w:rFonts w:ascii="Calibri" w:hAnsi="Calibri"/>
                <w:b/>
                <w:szCs w:val="22"/>
              </w:rPr>
            </w:pPr>
          </w:p>
          <w:p w14:paraId="6045F817" w14:textId="77777777" w:rsidR="00D57115" w:rsidRPr="00BD3B4F" w:rsidRDefault="00D57115" w:rsidP="006B2546">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774B810A" w14:textId="77777777" w:rsidR="00D57115" w:rsidRPr="003F3614" w:rsidRDefault="00D57115" w:rsidP="006B2546">
            <w:pPr>
              <w:pStyle w:val="Header"/>
              <w:tabs>
                <w:tab w:val="left" w:pos="720"/>
              </w:tabs>
              <w:jc w:val="both"/>
              <w:rPr>
                <w:rFonts w:ascii="Calibri" w:hAnsi="Calibri"/>
                <w:b/>
                <w:sz w:val="22"/>
                <w:szCs w:val="24"/>
              </w:rPr>
            </w:pPr>
          </w:p>
          <w:p w14:paraId="26A2520C" w14:textId="77777777" w:rsidR="00D57115" w:rsidRPr="00584DBE" w:rsidRDefault="00D57115" w:rsidP="006B2546">
            <w:pPr>
              <w:pStyle w:val="Header"/>
              <w:tabs>
                <w:tab w:val="left" w:pos="720"/>
              </w:tabs>
              <w:jc w:val="both"/>
              <w:rPr>
                <w:rFonts w:ascii="Calibri" w:hAnsi="Calibri"/>
                <w:b/>
                <w:i/>
                <w:iCs/>
                <w:sz w:val="22"/>
                <w:szCs w:val="24"/>
              </w:rPr>
            </w:pPr>
            <w:r w:rsidRPr="004467F1">
              <w:rPr>
                <w:rFonts w:ascii="Calibri" w:hAnsi="Calibri"/>
                <w:b/>
                <w:i/>
                <w:iCs/>
                <w:sz w:val="22"/>
                <w:szCs w:val="24"/>
              </w:rPr>
              <w:t>The single storey extension would not exceed 50% of the total area of curtilage of the property.</w:t>
            </w:r>
          </w:p>
          <w:p w14:paraId="3C32621D" w14:textId="77777777" w:rsidR="00D57115" w:rsidRDefault="00D57115" w:rsidP="006B2546">
            <w:pPr>
              <w:pStyle w:val="Header"/>
              <w:tabs>
                <w:tab w:val="left" w:pos="720"/>
              </w:tabs>
              <w:jc w:val="both"/>
              <w:rPr>
                <w:rFonts w:ascii="Calibri" w:hAnsi="Calibri"/>
                <w:b/>
                <w:szCs w:val="22"/>
              </w:rPr>
            </w:pPr>
          </w:p>
          <w:p w14:paraId="73EABE82"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0F9B887A" w14:textId="77777777" w:rsidR="00D57115" w:rsidRPr="003F3614" w:rsidRDefault="00D57115" w:rsidP="006B2546">
            <w:pPr>
              <w:pStyle w:val="Header"/>
              <w:tabs>
                <w:tab w:val="left" w:pos="720"/>
              </w:tabs>
              <w:jc w:val="both"/>
              <w:rPr>
                <w:rFonts w:ascii="Calibri" w:hAnsi="Calibri"/>
                <w:sz w:val="22"/>
                <w:szCs w:val="24"/>
              </w:rPr>
            </w:pPr>
          </w:p>
          <w:p w14:paraId="5CCF5E8D"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height of the proposed single storey extension will not exceed the height of the existing dwelling.</w:t>
            </w:r>
          </w:p>
          <w:p w14:paraId="1A6B23D6" w14:textId="77777777" w:rsidR="00D57115" w:rsidRPr="003F3614" w:rsidRDefault="00D57115" w:rsidP="006B2546">
            <w:pPr>
              <w:pStyle w:val="Header"/>
              <w:tabs>
                <w:tab w:val="left" w:pos="720"/>
              </w:tabs>
              <w:jc w:val="both"/>
              <w:rPr>
                <w:rFonts w:ascii="Calibri" w:hAnsi="Calibri"/>
                <w:b/>
                <w:sz w:val="22"/>
                <w:szCs w:val="24"/>
              </w:rPr>
            </w:pPr>
          </w:p>
          <w:p w14:paraId="1B4A8FB4"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1677A065" w14:textId="77777777" w:rsidR="00D57115" w:rsidRPr="00584DBE" w:rsidRDefault="00D57115" w:rsidP="006B2546">
            <w:pPr>
              <w:pStyle w:val="Header"/>
              <w:tabs>
                <w:tab w:val="left" w:pos="720"/>
              </w:tabs>
              <w:jc w:val="both"/>
              <w:rPr>
                <w:rFonts w:ascii="Calibri" w:hAnsi="Calibri"/>
                <w:i/>
                <w:iCs/>
                <w:sz w:val="22"/>
                <w:szCs w:val="24"/>
              </w:rPr>
            </w:pPr>
          </w:p>
          <w:p w14:paraId="0650F86B"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height of the eaves of the proposed extension will not exceed the height of the eaves of the existing dwellinghouse.</w:t>
            </w:r>
          </w:p>
          <w:p w14:paraId="6B56DD69" w14:textId="77777777" w:rsidR="00D57115" w:rsidRDefault="00D57115" w:rsidP="006B2546">
            <w:pPr>
              <w:pStyle w:val="Header"/>
              <w:tabs>
                <w:tab w:val="left" w:pos="720"/>
              </w:tabs>
              <w:jc w:val="both"/>
              <w:rPr>
                <w:rFonts w:ascii="Calibri" w:hAnsi="Calibri"/>
                <w:b/>
                <w:szCs w:val="22"/>
              </w:rPr>
            </w:pPr>
          </w:p>
          <w:p w14:paraId="7E78FC5A"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0276089A"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xml:space="preserve"> - (</w:t>
            </w:r>
            <w:proofErr w:type="spellStart"/>
            <w:r w:rsidRPr="003F3614">
              <w:rPr>
                <w:rFonts w:ascii="Calibri" w:hAnsi="Calibri"/>
                <w:sz w:val="22"/>
                <w:szCs w:val="24"/>
              </w:rPr>
              <w:t>i</w:t>
            </w:r>
            <w:proofErr w:type="spellEnd"/>
            <w:r w:rsidRPr="003F3614">
              <w:rPr>
                <w:rFonts w:ascii="Calibri" w:hAnsi="Calibri"/>
                <w:sz w:val="22"/>
                <w:szCs w:val="24"/>
              </w:rPr>
              <w:t>) fronts a highway; and</w:t>
            </w:r>
          </w:p>
          <w:p w14:paraId="0534B1D3"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51968FC5" w14:textId="77777777" w:rsidR="00D57115" w:rsidRPr="003F3614" w:rsidRDefault="00D57115" w:rsidP="006B2546">
            <w:pPr>
              <w:pStyle w:val="Header"/>
              <w:tabs>
                <w:tab w:val="left" w:pos="720"/>
              </w:tabs>
              <w:jc w:val="both"/>
              <w:rPr>
                <w:rFonts w:ascii="Calibri" w:hAnsi="Calibri"/>
                <w:b/>
                <w:sz w:val="22"/>
                <w:szCs w:val="24"/>
              </w:rPr>
            </w:pPr>
          </w:p>
          <w:p w14:paraId="1816582B"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proposed single storey extension would not extend beyond a wall which is considered to front a highway.</w:t>
            </w:r>
          </w:p>
          <w:p w14:paraId="2C412B7C" w14:textId="77777777" w:rsidR="00D57115" w:rsidRDefault="00D57115" w:rsidP="006B2546">
            <w:pPr>
              <w:pStyle w:val="Header"/>
              <w:tabs>
                <w:tab w:val="left" w:pos="720"/>
              </w:tabs>
              <w:jc w:val="both"/>
              <w:rPr>
                <w:rFonts w:ascii="Calibri" w:hAnsi="Calibri"/>
                <w:b/>
                <w:szCs w:val="22"/>
              </w:rPr>
            </w:pPr>
          </w:p>
          <w:p w14:paraId="5B2E00EC" w14:textId="77777777" w:rsidR="00D57115" w:rsidRPr="000E297D" w:rsidRDefault="00D57115" w:rsidP="006B2546">
            <w:pPr>
              <w:pStyle w:val="Header"/>
              <w:jc w:val="both"/>
              <w:rPr>
                <w:rFonts w:ascii="Calibri" w:hAnsi="Calibri"/>
                <w:sz w:val="22"/>
                <w:szCs w:val="24"/>
              </w:rPr>
            </w:pPr>
            <w:r w:rsidRPr="000E297D">
              <w:rPr>
                <w:rFonts w:ascii="Calibri" w:hAnsi="Calibri"/>
                <w:sz w:val="22"/>
                <w:szCs w:val="24"/>
              </w:rPr>
              <w:lastRenderedPageBreak/>
              <w:t>(f) subject to paragraph (g), the enlarged part of the dwelling house would have a single storey and – (</w:t>
            </w:r>
            <w:proofErr w:type="spellStart"/>
            <w:r w:rsidRPr="000E297D">
              <w:rPr>
                <w:rFonts w:ascii="Calibri" w:hAnsi="Calibri"/>
                <w:sz w:val="22"/>
                <w:szCs w:val="24"/>
              </w:rPr>
              <w:t>i</w:t>
            </w:r>
            <w:proofErr w:type="spellEnd"/>
            <w:r w:rsidRPr="000E297D">
              <w:rPr>
                <w:rFonts w:ascii="Calibri" w:hAnsi="Calibri"/>
                <w:sz w:val="22"/>
                <w:szCs w:val="24"/>
              </w:rPr>
              <w:t>) extend beyond the rear wall of the original dwelling house by more than 4 metres in the case of a detached dwelling house or 3 metres in the case of any other dwelling house, or</w:t>
            </w:r>
          </w:p>
          <w:p w14:paraId="0EE64583" w14:textId="77777777" w:rsidR="00D57115" w:rsidRPr="000E297D" w:rsidRDefault="00D57115" w:rsidP="006B2546">
            <w:pPr>
              <w:pStyle w:val="Header"/>
              <w:jc w:val="both"/>
              <w:rPr>
                <w:rFonts w:ascii="Calibri" w:hAnsi="Calibri"/>
                <w:sz w:val="22"/>
                <w:szCs w:val="24"/>
              </w:rPr>
            </w:pPr>
            <w:r w:rsidRPr="000E297D">
              <w:rPr>
                <w:rFonts w:ascii="Calibri" w:hAnsi="Calibri"/>
                <w:sz w:val="22"/>
                <w:szCs w:val="24"/>
              </w:rPr>
              <w:t xml:space="preserve"> (ii) exceed 4 metres in height;</w:t>
            </w:r>
          </w:p>
          <w:p w14:paraId="33057C05" w14:textId="77777777" w:rsidR="00D57115" w:rsidRDefault="00D57115" w:rsidP="006B2546">
            <w:pPr>
              <w:pStyle w:val="Header"/>
              <w:jc w:val="both"/>
              <w:rPr>
                <w:rFonts w:ascii="Calibri" w:hAnsi="Calibri"/>
                <w:szCs w:val="22"/>
              </w:rPr>
            </w:pPr>
          </w:p>
          <w:p w14:paraId="7473A5F4" w14:textId="3059870F" w:rsidR="00D57115" w:rsidRPr="00584DBE" w:rsidRDefault="00D57115" w:rsidP="006B2546">
            <w:pPr>
              <w:pStyle w:val="Header"/>
              <w:jc w:val="both"/>
              <w:rPr>
                <w:rFonts w:ascii="Calibri" w:hAnsi="Calibri"/>
                <w:b/>
                <w:i/>
                <w:iCs/>
                <w:sz w:val="22"/>
                <w:szCs w:val="24"/>
                <w:lang w:val="en-GB"/>
              </w:rPr>
            </w:pPr>
            <w:r w:rsidRPr="002D38B4">
              <w:rPr>
                <w:rFonts w:ascii="Calibri" w:hAnsi="Calibri"/>
                <w:b/>
                <w:i/>
                <w:iCs/>
                <w:sz w:val="22"/>
                <w:szCs w:val="24"/>
                <w:lang w:val="en-GB"/>
              </w:rPr>
              <w:t>The single storey extension will protrude beyond the rear wall by 3m exactly and would measure a total height of approximately 3.</w:t>
            </w:r>
            <w:r w:rsidR="002D38B4" w:rsidRPr="002D38B4">
              <w:rPr>
                <w:rFonts w:ascii="Calibri" w:hAnsi="Calibri"/>
                <w:b/>
                <w:i/>
                <w:iCs/>
                <w:sz w:val="22"/>
                <w:szCs w:val="24"/>
                <w:lang w:val="en-GB"/>
              </w:rPr>
              <w:t>5</w:t>
            </w:r>
            <w:r w:rsidRPr="002D38B4">
              <w:rPr>
                <w:rFonts w:ascii="Calibri" w:hAnsi="Calibri"/>
                <w:b/>
                <w:i/>
                <w:iCs/>
                <w:sz w:val="22"/>
                <w:szCs w:val="24"/>
                <w:lang w:val="en-GB"/>
              </w:rPr>
              <w:t>m to the highest point.</w:t>
            </w:r>
            <w:r>
              <w:rPr>
                <w:rFonts w:ascii="Calibri" w:hAnsi="Calibri"/>
                <w:b/>
                <w:i/>
                <w:iCs/>
                <w:sz w:val="22"/>
                <w:szCs w:val="24"/>
                <w:lang w:val="en-GB"/>
              </w:rPr>
              <w:t xml:space="preserve"> </w:t>
            </w:r>
          </w:p>
          <w:p w14:paraId="13B26F30" w14:textId="77777777" w:rsidR="00D57115" w:rsidRDefault="00D57115" w:rsidP="006B2546">
            <w:pPr>
              <w:pStyle w:val="Header"/>
              <w:jc w:val="both"/>
              <w:rPr>
                <w:rFonts w:ascii="Calibri" w:hAnsi="Calibri"/>
                <w:b/>
                <w:szCs w:val="22"/>
              </w:rPr>
            </w:pPr>
          </w:p>
          <w:p w14:paraId="3F604D7E" w14:textId="77777777" w:rsidR="00D57115" w:rsidRPr="002D38B4" w:rsidRDefault="00D57115" w:rsidP="006B2546">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w:t>
            </w:r>
            <w:proofErr w:type="spellStart"/>
            <w:r w:rsidRPr="002D38B4">
              <w:rPr>
                <w:rFonts w:ascii="Calibri" w:hAnsi="Calibri"/>
                <w:sz w:val="22"/>
                <w:szCs w:val="24"/>
              </w:rPr>
              <w:t>i</w:t>
            </w:r>
            <w:proofErr w:type="spellEnd"/>
            <w:r w:rsidRPr="002D38B4">
              <w:rPr>
                <w:rFonts w:ascii="Calibri" w:hAnsi="Calibri"/>
                <w:sz w:val="22"/>
                <w:szCs w:val="24"/>
              </w:rPr>
              <w:t>) extend beyond the rear wall of the original dwellinghouse by more than 8 metres in the case of a detached dwellinghouse, or 6 metres in the case of any other dwellinghouse, or(ii) exceed 4 metres in height;”</w:t>
            </w:r>
          </w:p>
          <w:p w14:paraId="6C89B86E" w14:textId="77777777" w:rsidR="00D57115" w:rsidRPr="002D38B4" w:rsidRDefault="00D57115" w:rsidP="006B2546">
            <w:pPr>
              <w:pStyle w:val="Header"/>
              <w:tabs>
                <w:tab w:val="left" w:pos="720"/>
              </w:tabs>
              <w:jc w:val="both"/>
              <w:rPr>
                <w:rFonts w:ascii="Calibri" w:hAnsi="Calibri"/>
                <w:sz w:val="22"/>
                <w:szCs w:val="24"/>
              </w:rPr>
            </w:pPr>
          </w:p>
          <w:p w14:paraId="7A75561C" w14:textId="77777777" w:rsidR="00D57115" w:rsidRPr="0002214A" w:rsidRDefault="00D57115" w:rsidP="006B2546">
            <w:pPr>
              <w:pStyle w:val="Header"/>
              <w:tabs>
                <w:tab w:val="left" w:pos="720"/>
              </w:tabs>
              <w:jc w:val="both"/>
              <w:rPr>
                <w:rFonts w:ascii="Calibri" w:hAnsi="Calibri"/>
                <w:b/>
                <w:i/>
                <w:iCs/>
                <w:sz w:val="22"/>
                <w:szCs w:val="24"/>
                <w:lang w:val="en-GB"/>
              </w:rPr>
            </w:pPr>
            <w:r w:rsidRPr="002D38B4">
              <w:rPr>
                <w:rFonts w:ascii="Calibri" w:hAnsi="Calibri"/>
                <w:b/>
                <w:i/>
                <w:iCs/>
                <w:sz w:val="22"/>
                <w:szCs w:val="24"/>
                <w:lang w:val="en-GB"/>
              </w:rPr>
              <w:t>The proposed development would be sited on article 2(3) land.</w:t>
            </w:r>
          </w:p>
          <w:p w14:paraId="02755DA5" w14:textId="77777777" w:rsidR="00D57115" w:rsidRDefault="00D57115" w:rsidP="006B2546">
            <w:pPr>
              <w:pStyle w:val="Header"/>
              <w:tabs>
                <w:tab w:val="left" w:pos="720"/>
              </w:tabs>
              <w:jc w:val="both"/>
              <w:rPr>
                <w:rFonts w:ascii="Calibri" w:hAnsi="Calibri"/>
                <w:b/>
                <w:szCs w:val="22"/>
              </w:rPr>
            </w:pPr>
          </w:p>
          <w:p w14:paraId="6B9644F3" w14:textId="77777777" w:rsidR="00D57115" w:rsidRPr="00C6076B" w:rsidRDefault="00D57115" w:rsidP="006B2546">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7EE01F74" w14:textId="77777777" w:rsidR="00D57115" w:rsidRPr="00C6076B" w:rsidRDefault="00D57115" w:rsidP="006B2546">
            <w:pPr>
              <w:pStyle w:val="Header"/>
              <w:tabs>
                <w:tab w:val="left" w:pos="720"/>
              </w:tabs>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extend beyond the rear wall of the original dwelling house by more than 3 metres, or be within 7 metres of any boundary of the curtilage of the dwelling house opposite the rear wall of the dwelling house;</w:t>
            </w:r>
          </w:p>
          <w:p w14:paraId="77239BC0" w14:textId="77777777" w:rsidR="00D57115" w:rsidRPr="00C6076B" w:rsidRDefault="00D57115" w:rsidP="006B2546">
            <w:pPr>
              <w:pStyle w:val="Header"/>
              <w:tabs>
                <w:tab w:val="left" w:pos="720"/>
              </w:tabs>
              <w:jc w:val="both"/>
              <w:rPr>
                <w:rFonts w:ascii="Calibri" w:hAnsi="Calibri"/>
                <w:b/>
                <w:sz w:val="22"/>
                <w:szCs w:val="22"/>
              </w:rPr>
            </w:pPr>
          </w:p>
          <w:p w14:paraId="2C1B0345" w14:textId="77777777" w:rsidR="00D57115" w:rsidRPr="00584DBE" w:rsidRDefault="00D57115" w:rsidP="006B2546">
            <w:pPr>
              <w:pStyle w:val="Header"/>
              <w:tabs>
                <w:tab w:val="left" w:pos="720"/>
              </w:tabs>
              <w:jc w:val="both"/>
              <w:rPr>
                <w:rFonts w:ascii="Calibri" w:hAnsi="Calibri"/>
                <w:b/>
                <w:i/>
                <w:iCs/>
                <w:sz w:val="22"/>
                <w:szCs w:val="22"/>
              </w:rPr>
            </w:pPr>
            <w:r w:rsidRPr="002D38B4">
              <w:rPr>
                <w:rFonts w:ascii="Calibri" w:hAnsi="Calibri"/>
                <w:b/>
                <w:i/>
                <w:iCs/>
                <w:sz w:val="22"/>
                <w:szCs w:val="22"/>
              </w:rPr>
              <w:t>The proposed rear extension would be single storey.</w:t>
            </w:r>
          </w:p>
          <w:p w14:paraId="235944E9" w14:textId="77777777" w:rsidR="00D57115" w:rsidRPr="00C6076B" w:rsidRDefault="00D57115" w:rsidP="006B2546">
            <w:pPr>
              <w:pStyle w:val="Header"/>
              <w:tabs>
                <w:tab w:val="left" w:pos="720"/>
              </w:tabs>
              <w:jc w:val="both"/>
              <w:rPr>
                <w:rFonts w:ascii="Calibri" w:hAnsi="Calibri"/>
                <w:b/>
                <w:sz w:val="22"/>
                <w:szCs w:val="22"/>
              </w:rPr>
            </w:pPr>
          </w:p>
          <w:p w14:paraId="32B56621" w14:textId="77777777" w:rsidR="00D57115" w:rsidRPr="00C6076B" w:rsidRDefault="00D57115" w:rsidP="006B2546">
            <w:pPr>
              <w:pStyle w:val="Header"/>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the enlarged part of the dwelling house would be within 2 metres of the boundary of the curtilage of the dwelling house, and the height of the eaves of the enlarged part would exceed 3 metres;</w:t>
            </w:r>
          </w:p>
          <w:p w14:paraId="741BBE67" w14:textId="77777777" w:rsidR="00D57115" w:rsidRDefault="00D57115" w:rsidP="006B2546">
            <w:pPr>
              <w:pStyle w:val="Header"/>
              <w:jc w:val="both"/>
              <w:rPr>
                <w:rFonts w:ascii="Calibri" w:hAnsi="Calibri"/>
                <w:szCs w:val="22"/>
              </w:rPr>
            </w:pPr>
          </w:p>
          <w:p w14:paraId="67645B05" w14:textId="77777777" w:rsidR="00D57115" w:rsidRPr="00A5719E" w:rsidRDefault="00D57115" w:rsidP="006B2546">
            <w:pPr>
              <w:pStyle w:val="Header"/>
              <w:tabs>
                <w:tab w:val="left" w:pos="720"/>
              </w:tabs>
              <w:jc w:val="both"/>
              <w:rPr>
                <w:rFonts w:asciiTheme="minorHAnsi" w:hAnsiTheme="minorHAnsi" w:cstheme="minorHAnsi"/>
                <w:b/>
                <w:i/>
                <w:iCs/>
                <w:sz w:val="22"/>
                <w:szCs w:val="22"/>
                <w:lang w:val="en-GB"/>
              </w:rPr>
            </w:pPr>
            <w:r w:rsidRPr="002D38B4">
              <w:rPr>
                <w:rFonts w:asciiTheme="minorHAnsi" w:hAnsiTheme="minorHAnsi" w:cstheme="minorHAnsi"/>
                <w:b/>
                <w:i/>
                <w:iCs/>
                <w:sz w:val="22"/>
                <w:szCs w:val="22"/>
              </w:rPr>
              <w:t xml:space="preserve">The proposed single storey rear extension would be within 2 metres of the boundary of the curtilage of the dwellinghouse </w:t>
            </w:r>
            <w:r w:rsidRPr="002D38B4">
              <w:rPr>
                <w:rFonts w:asciiTheme="minorHAnsi" w:hAnsiTheme="minorHAnsi" w:cstheme="minorHAnsi"/>
                <w:b/>
                <w:i/>
                <w:iCs/>
                <w:sz w:val="22"/>
                <w:szCs w:val="22"/>
                <w:lang w:val="en-GB"/>
              </w:rPr>
              <w:t xml:space="preserve">however it would measure </w:t>
            </w:r>
            <w:r w:rsidRPr="002D38B4">
              <w:rPr>
                <w:rFonts w:asciiTheme="minorHAnsi" w:hAnsiTheme="minorHAnsi" w:cstheme="minorHAnsi"/>
                <w:b/>
                <w:i/>
                <w:iCs/>
                <w:sz w:val="22"/>
                <w:szCs w:val="22"/>
              </w:rPr>
              <w:t>a</w:t>
            </w:r>
            <w:r w:rsidRPr="002D38B4">
              <w:rPr>
                <w:rFonts w:asciiTheme="minorHAnsi" w:hAnsiTheme="minorHAnsi" w:cstheme="minorHAnsi"/>
                <w:b/>
                <w:i/>
                <w:iCs/>
                <w:sz w:val="22"/>
                <w:szCs w:val="22"/>
                <w:lang w:val="en-GB"/>
              </w:rPr>
              <w:t>pproximately 2.4</w:t>
            </w:r>
            <w:r w:rsidRPr="002D38B4">
              <w:rPr>
                <w:rFonts w:asciiTheme="minorHAnsi" w:hAnsiTheme="minorHAnsi" w:cstheme="minorHAnsi"/>
                <w:b/>
                <w:i/>
                <w:iCs/>
                <w:sz w:val="22"/>
                <w:szCs w:val="22"/>
              </w:rPr>
              <w:t xml:space="preserve"> metres in height to the eaves</w:t>
            </w:r>
            <w:r w:rsidRPr="002D38B4">
              <w:rPr>
                <w:rFonts w:asciiTheme="minorHAnsi" w:hAnsiTheme="minorHAnsi" w:cstheme="minorHAnsi"/>
                <w:b/>
                <w:i/>
                <w:iCs/>
                <w:sz w:val="22"/>
                <w:szCs w:val="22"/>
                <w:lang w:val="en-GB"/>
              </w:rPr>
              <w:t>.</w:t>
            </w:r>
            <w:r>
              <w:rPr>
                <w:rFonts w:asciiTheme="minorHAnsi" w:hAnsiTheme="minorHAnsi" w:cstheme="minorHAnsi"/>
                <w:b/>
                <w:i/>
                <w:iCs/>
                <w:sz w:val="22"/>
                <w:szCs w:val="22"/>
                <w:lang w:val="en-GB"/>
              </w:rPr>
              <w:t xml:space="preserve"> </w:t>
            </w:r>
          </w:p>
          <w:p w14:paraId="1004B459" w14:textId="77777777" w:rsidR="00D57115" w:rsidRDefault="00D57115" w:rsidP="006B2546">
            <w:pPr>
              <w:pStyle w:val="Header"/>
              <w:contextualSpacing/>
              <w:jc w:val="both"/>
              <w:rPr>
                <w:rFonts w:ascii="Calibri" w:hAnsi="Calibri"/>
                <w:b/>
                <w:szCs w:val="22"/>
              </w:rPr>
            </w:pPr>
          </w:p>
          <w:p w14:paraId="1F877288" w14:textId="77777777" w:rsidR="00D57115" w:rsidRPr="00FB179A" w:rsidRDefault="00D57115" w:rsidP="006B2546">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2A4187BA"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exceed 4 metres in height, </w:t>
            </w:r>
          </w:p>
          <w:p w14:paraId="2F00A684"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(ii)         have more than one storey, or </w:t>
            </w:r>
          </w:p>
          <w:p w14:paraId="4700D56B"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06083DF2"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(k) it would consist of or include— </w:t>
            </w:r>
          </w:p>
          <w:p w14:paraId="053D18C0"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the construction or provision of a veranda, balcony or raised platform, </w:t>
            </w:r>
          </w:p>
          <w:p w14:paraId="13EB3B32"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424A9E8B"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43B108DF" w14:textId="77777777" w:rsidR="00D57115" w:rsidRPr="00626863" w:rsidRDefault="00D57115" w:rsidP="006B2546">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79AE2CB3" w14:textId="77777777" w:rsidR="00D57115" w:rsidRDefault="00D57115" w:rsidP="006B2546">
            <w:pPr>
              <w:pStyle w:val="Header"/>
              <w:tabs>
                <w:tab w:val="left" w:pos="720"/>
              </w:tabs>
              <w:jc w:val="both"/>
              <w:rPr>
                <w:rFonts w:ascii="Calibri" w:hAnsi="Calibri"/>
                <w:szCs w:val="22"/>
              </w:rPr>
            </w:pPr>
          </w:p>
          <w:p w14:paraId="29F5B921" w14:textId="77777777" w:rsidR="00D57115" w:rsidRPr="00DE70D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proposed single storey extension would not extend beyond a wall forming the side elevation of the dwellinghouse or consist of or includes any of the above criteria.</w:t>
            </w:r>
          </w:p>
          <w:p w14:paraId="52CBE241" w14:textId="77777777" w:rsidR="00D57115" w:rsidRDefault="00D57115" w:rsidP="006B2546">
            <w:pPr>
              <w:pStyle w:val="Header"/>
              <w:tabs>
                <w:tab w:val="left" w:pos="720"/>
              </w:tabs>
              <w:jc w:val="both"/>
              <w:rPr>
                <w:rFonts w:ascii="Calibri" w:hAnsi="Calibri"/>
                <w:szCs w:val="22"/>
              </w:rPr>
            </w:pPr>
          </w:p>
          <w:p w14:paraId="72B3CB73" w14:textId="77777777" w:rsidR="00D57115" w:rsidRDefault="00D57115" w:rsidP="006B2546">
            <w:pPr>
              <w:pStyle w:val="Header"/>
              <w:tabs>
                <w:tab w:val="left" w:pos="720"/>
              </w:tabs>
              <w:jc w:val="both"/>
              <w:rPr>
                <w:rFonts w:ascii="Calibri" w:hAnsi="Calibri"/>
                <w:szCs w:val="22"/>
              </w:rPr>
            </w:pPr>
          </w:p>
          <w:p w14:paraId="7690F3EF"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31EB0D17" w14:textId="77777777" w:rsidR="00D57115" w:rsidRPr="005361D3" w:rsidRDefault="00D57115" w:rsidP="006B2546">
            <w:pPr>
              <w:pStyle w:val="Header"/>
              <w:jc w:val="both"/>
              <w:rPr>
                <w:rFonts w:ascii="Calibri" w:hAnsi="Calibri"/>
                <w:b/>
                <w:sz w:val="22"/>
                <w:szCs w:val="24"/>
              </w:rPr>
            </w:pPr>
          </w:p>
          <w:p w14:paraId="2161E92C"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443B1134"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290FD806" w14:textId="77777777" w:rsidR="00D57115" w:rsidRPr="005361D3" w:rsidRDefault="00D57115" w:rsidP="006B2546">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5FDF39BE" w14:textId="77777777" w:rsidR="00D57115" w:rsidRPr="005361D3" w:rsidRDefault="00D57115" w:rsidP="006B2546">
            <w:pPr>
              <w:pStyle w:val="Header"/>
              <w:tabs>
                <w:tab w:val="clear" w:pos="4153"/>
                <w:tab w:val="left" w:pos="8115"/>
              </w:tabs>
              <w:jc w:val="both"/>
              <w:rPr>
                <w:rFonts w:ascii="Calibri" w:hAnsi="Calibri"/>
                <w:b/>
                <w:sz w:val="22"/>
                <w:szCs w:val="24"/>
              </w:rPr>
            </w:pPr>
            <w:r w:rsidRPr="005361D3">
              <w:rPr>
                <w:rFonts w:ascii="Calibri" w:hAnsi="Calibri"/>
                <w:b/>
                <w:sz w:val="22"/>
                <w:szCs w:val="24"/>
              </w:rPr>
              <w:tab/>
            </w:r>
          </w:p>
          <w:p w14:paraId="11B70684" w14:textId="7E00EDCB" w:rsidR="00D57115" w:rsidRDefault="00D57115" w:rsidP="006B2546">
            <w:pPr>
              <w:pStyle w:val="Header"/>
              <w:tabs>
                <w:tab w:val="left" w:pos="720"/>
              </w:tabs>
              <w:jc w:val="both"/>
              <w:rPr>
                <w:rFonts w:ascii="Calibri" w:hAnsi="Calibri"/>
                <w:b/>
                <w:i/>
                <w:iCs/>
                <w:sz w:val="22"/>
                <w:szCs w:val="24"/>
                <w:lang w:val="en-GB"/>
              </w:rPr>
            </w:pPr>
            <w:r w:rsidRPr="00A054B1">
              <w:rPr>
                <w:rFonts w:ascii="Calibri" w:hAnsi="Calibri"/>
                <w:b/>
                <w:i/>
                <w:iCs/>
                <w:sz w:val="22"/>
                <w:szCs w:val="24"/>
              </w:rPr>
              <w:lastRenderedPageBreak/>
              <w:t xml:space="preserve">The application site is </w:t>
            </w:r>
            <w:r w:rsidR="00FC01ED" w:rsidRPr="00A054B1">
              <w:rPr>
                <w:rFonts w:ascii="Calibri" w:hAnsi="Calibri"/>
                <w:b/>
                <w:i/>
                <w:iCs/>
                <w:sz w:val="22"/>
                <w:szCs w:val="24"/>
                <w:lang w:val="en-US"/>
              </w:rPr>
              <w:t xml:space="preserve">not </w:t>
            </w:r>
            <w:r w:rsidRPr="00A054B1">
              <w:rPr>
                <w:rFonts w:ascii="Calibri" w:hAnsi="Calibri"/>
                <w:b/>
                <w:i/>
                <w:iCs/>
                <w:sz w:val="22"/>
                <w:szCs w:val="24"/>
              </w:rPr>
              <w:t>sited on article 2(3) lan</w:t>
            </w:r>
            <w:r w:rsidRPr="00A054B1">
              <w:rPr>
                <w:rFonts w:ascii="Calibri" w:hAnsi="Calibri"/>
                <w:b/>
                <w:i/>
                <w:iCs/>
                <w:sz w:val="22"/>
                <w:szCs w:val="24"/>
                <w:lang w:val="en-GB"/>
              </w:rPr>
              <w:t xml:space="preserve">d, and would </w:t>
            </w:r>
            <w:r w:rsidR="00FC01ED" w:rsidRPr="00A054B1">
              <w:rPr>
                <w:rFonts w:ascii="Calibri" w:hAnsi="Calibri"/>
                <w:b/>
                <w:i/>
                <w:iCs/>
                <w:sz w:val="22"/>
                <w:szCs w:val="24"/>
                <w:lang w:val="en-GB"/>
              </w:rPr>
              <w:t xml:space="preserve">consist of </w:t>
            </w:r>
            <w:r w:rsidR="00A054B1" w:rsidRPr="00A054B1">
              <w:rPr>
                <w:rFonts w:ascii="Calibri" w:hAnsi="Calibri"/>
                <w:b/>
                <w:i/>
                <w:iCs/>
                <w:sz w:val="22"/>
                <w:szCs w:val="24"/>
                <w:lang w:val="en-GB"/>
              </w:rPr>
              <w:t xml:space="preserve">red a red brick plinth and concrete render </w:t>
            </w:r>
            <w:r w:rsidRPr="00A054B1">
              <w:rPr>
                <w:rFonts w:ascii="Calibri" w:hAnsi="Calibri"/>
                <w:b/>
                <w:i/>
                <w:iCs/>
                <w:sz w:val="22"/>
                <w:szCs w:val="24"/>
                <w:lang w:val="en-GB"/>
              </w:rPr>
              <w:t>on the exterior walls. Part A.3 states that ‘the materials used in any exterior work must be of similar appearance to those used in the construction of the exterior of the original dwellinghouse’, and as such would be considered acceptable.</w:t>
            </w:r>
            <w:r>
              <w:rPr>
                <w:rFonts w:ascii="Calibri" w:hAnsi="Calibri"/>
                <w:b/>
                <w:i/>
                <w:iCs/>
                <w:sz w:val="22"/>
                <w:szCs w:val="24"/>
                <w:lang w:val="en-GB"/>
              </w:rPr>
              <w:t xml:space="preserve"> </w:t>
            </w:r>
          </w:p>
          <w:p w14:paraId="6947A49E" w14:textId="77777777" w:rsidR="00D57115" w:rsidRPr="00C563CD" w:rsidRDefault="00D57115" w:rsidP="006B2546">
            <w:pPr>
              <w:pStyle w:val="Header"/>
              <w:tabs>
                <w:tab w:val="left" w:pos="720"/>
              </w:tabs>
              <w:jc w:val="both"/>
              <w:rPr>
                <w:rFonts w:ascii="Calibri" w:hAnsi="Calibri"/>
                <w:bCs/>
                <w:sz w:val="22"/>
                <w:szCs w:val="24"/>
                <w:lang w:val="en-GB"/>
              </w:rPr>
            </w:pPr>
          </w:p>
          <w:p w14:paraId="65BC807B" w14:textId="3E862DC2" w:rsidR="00D57115" w:rsidRPr="00FF23D7" w:rsidRDefault="00D57115" w:rsidP="006B2546">
            <w:pPr>
              <w:pStyle w:val="Header"/>
              <w:tabs>
                <w:tab w:val="left" w:pos="720"/>
              </w:tabs>
              <w:jc w:val="both"/>
              <w:rPr>
                <w:rFonts w:asciiTheme="minorHAnsi" w:hAnsiTheme="minorHAnsi" w:cstheme="minorHAnsi"/>
                <w:bCs/>
                <w:sz w:val="22"/>
                <w:szCs w:val="22"/>
                <w:lang w:val="en-GB"/>
              </w:rPr>
            </w:pPr>
            <w:proofErr w:type="gramStart"/>
            <w:r w:rsidRPr="00FF23D7">
              <w:rPr>
                <w:rFonts w:asciiTheme="minorHAnsi" w:hAnsiTheme="minorHAnsi" w:cstheme="minorHAnsi"/>
                <w:bCs/>
                <w:sz w:val="22"/>
                <w:szCs w:val="22"/>
                <w:lang w:val="en-GB"/>
              </w:rPr>
              <w:t>On the basis of</w:t>
            </w:r>
            <w:proofErr w:type="gramEnd"/>
            <w:r w:rsidRPr="00FF23D7">
              <w:rPr>
                <w:rFonts w:asciiTheme="minorHAnsi" w:hAnsiTheme="minorHAnsi" w:cstheme="minorHAnsi"/>
                <w:bCs/>
                <w:sz w:val="22"/>
                <w:szCs w:val="22"/>
                <w:lang w:val="en-GB"/>
              </w:rPr>
              <w:t xml:space="preserve"> the above, </w:t>
            </w:r>
            <w:r>
              <w:rPr>
                <w:rFonts w:asciiTheme="minorHAnsi" w:hAnsiTheme="minorHAnsi" w:cstheme="minorHAnsi"/>
                <w:bCs/>
                <w:sz w:val="22"/>
                <w:szCs w:val="22"/>
                <w:lang w:val="en-GB"/>
              </w:rPr>
              <w:t xml:space="preserve">Certificate of Lawfulness </w:t>
            </w:r>
            <w:r w:rsidRPr="00FF23D7">
              <w:rPr>
                <w:rFonts w:asciiTheme="minorHAnsi" w:hAnsiTheme="minorHAnsi" w:cstheme="minorHAnsi"/>
                <w:bCs/>
                <w:sz w:val="22"/>
                <w:szCs w:val="22"/>
                <w:lang w:val="en-GB"/>
              </w:rPr>
              <w:t xml:space="preserve">is granted for the proposed development. </w:t>
            </w:r>
          </w:p>
          <w:p w14:paraId="0B99D44A" w14:textId="77777777" w:rsidR="00D57115" w:rsidRPr="004C6D31" w:rsidRDefault="00D57115" w:rsidP="006B2546">
            <w:pPr>
              <w:pStyle w:val="Header"/>
              <w:tabs>
                <w:tab w:val="left" w:pos="720"/>
              </w:tabs>
              <w:jc w:val="both"/>
              <w:rPr>
                <w:rFonts w:ascii="Calibri" w:hAnsi="Calibri"/>
                <w:b/>
                <w:i/>
                <w:iCs/>
                <w:sz w:val="22"/>
                <w:szCs w:val="24"/>
                <w:lang w:val="en-GB"/>
              </w:rPr>
            </w:pPr>
          </w:p>
        </w:tc>
      </w:tr>
      <w:tr w:rsidR="00D57115" w:rsidRPr="00CA2E98" w14:paraId="6CF30307" w14:textId="77777777" w:rsidTr="006B2546">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5C6DCEB" w14:textId="77777777" w:rsidR="00D57115" w:rsidRPr="00A701D3" w:rsidRDefault="00D57115" w:rsidP="006B2546">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4916060D" w14:textId="77777777" w:rsidR="00D57115" w:rsidRPr="00DE70DE" w:rsidRDefault="00D57115" w:rsidP="006B2546">
            <w:pPr>
              <w:rPr>
                <w:rFonts w:ascii="Calibri" w:hAnsi="Calibri"/>
                <w:bCs/>
                <w:szCs w:val="22"/>
              </w:rPr>
            </w:pPr>
            <w:r>
              <w:rPr>
                <w:rFonts w:ascii="Calibri" w:hAnsi="Calibri"/>
                <w:bCs/>
                <w:szCs w:val="22"/>
              </w:rPr>
              <w:t xml:space="preserve">That consent for a Certificate of Lawfulness be granted. </w:t>
            </w:r>
          </w:p>
        </w:tc>
      </w:tr>
    </w:tbl>
    <w:p w14:paraId="3EBB3D71" w14:textId="77777777" w:rsidR="00D31DEA" w:rsidRDefault="00D31DEA"/>
    <w:sectPr w:rsidR="00D31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15"/>
    <w:rsid w:val="000D43FF"/>
    <w:rsid w:val="00101340"/>
    <w:rsid w:val="00180FE0"/>
    <w:rsid w:val="001F33D1"/>
    <w:rsid w:val="00292AA7"/>
    <w:rsid w:val="002C4DBF"/>
    <w:rsid w:val="002D38B4"/>
    <w:rsid w:val="002E018D"/>
    <w:rsid w:val="003A00DA"/>
    <w:rsid w:val="003F3F29"/>
    <w:rsid w:val="004467F1"/>
    <w:rsid w:val="005531CA"/>
    <w:rsid w:val="006D2970"/>
    <w:rsid w:val="00772FF2"/>
    <w:rsid w:val="007E4A1E"/>
    <w:rsid w:val="009C1525"/>
    <w:rsid w:val="00A054B1"/>
    <w:rsid w:val="00BB7029"/>
    <w:rsid w:val="00D31DEA"/>
    <w:rsid w:val="00D57115"/>
    <w:rsid w:val="00FC0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CCE"/>
  <w15:chartTrackingRefBased/>
  <w15:docId w15:val="{6C567162-2908-4C46-8CDD-849FC399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15"/>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D57115"/>
    <w:pPr>
      <w:jc w:val="both"/>
    </w:pPr>
  </w:style>
  <w:style w:type="paragraph" w:styleId="Header">
    <w:name w:val="header"/>
    <w:basedOn w:val="Normal"/>
    <w:link w:val="HeaderChar"/>
    <w:rsid w:val="00D57115"/>
    <w:pPr>
      <w:tabs>
        <w:tab w:val="center" w:pos="4153"/>
        <w:tab w:val="right" w:pos="8306"/>
      </w:tabs>
    </w:pPr>
    <w:rPr>
      <w:sz w:val="20"/>
      <w:lang w:val="x-none" w:eastAsia="x-none"/>
    </w:rPr>
  </w:style>
  <w:style w:type="character" w:customStyle="1" w:styleId="HeaderChar">
    <w:name w:val="Header Char"/>
    <w:basedOn w:val="DefaultParagraphFont"/>
    <w:link w:val="Header"/>
    <w:rsid w:val="00D57115"/>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2022-07-01T12:45:00Z</cp:lastPrinted>
  <dcterms:created xsi:type="dcterms:W3CDTF">2022-07-01T12:49:00Z</dcterms:created>
  <dcterms:modified xsi:type="dcterms:W3CDTF">2022-07-01T12:49:00Z</dcterms:modified>
</cp:coreProperties>
</file>