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156"/>
        <w:gridCol w:w="73"/>
        <w:gridCol w:w="589"/>
        <w:gridCol w:w="2995"/>
        <w:gridCol w:w="3538"/>
      </w:tblGrid>
      <w:tr w:rsidR="00C543B9" w:rsidRPr="00CA2E98" w14:paraId="2D57914A" w14:textId="77777777" w:rsidTr="003026A7">
        <w:trPr>
          <w:jc w:val="center"/>
        </w:trPr>
        <w:tc>
          <w:tcPr>
            <w:tcW w:w="22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2064B1" w14:textId="77777777" w:rsidR="00C543B9" w:rsidRPr="00CA2E98" w:rsidRDefault="00C543B9" w:rsidP="00457A45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5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FC3B423" w14:textId="55B2803F" w:rsidR="00C543B9" w:rsidRPr="00CA2E98" w:rsidRDefault="00C543B9" w:rsidP="00457A4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3/2022/0</w:t>
            </w:r>
            <w:r w:rsidR="00ED37A9">
              <w:rPr>
                <w:rFonts w:ascii="Calibri" w:hAnsi="Calibri"/>
                <w:szCs w:val="22"/>
              </w:rPr>
              <w:t>558</w:t>
            </w:r>
          </w:p>
        </w:tc>
        <w:tc>
          <w:tcPr>
            <w:tcW w:w="353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E29AC0" w14:textId="77777777" w:rsidR="00C543B9" w:rsidRPr="00CA2E98" w:rsidRDefault="00C543B9" w:rsidP="00457A45">
            <w:pPr>
              <w:rPr>
                <w:rFonts w:ascii="Calibri" w:hAnsi="Calibri"/>
                <w:color w:val="548DD4"/>
                <w:szCs w:val="22"/>
              </w:rPr>
            </w:pPr>
            <w:r w:rsidRPr="00CA2E98">
              <w:rPr>
                <w:rFonts w:ascii="Calibri" w:hAnsi="Calibri"/>
                <w:noProof/>
                <w:color w:val="548DD4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E1DE904" wp14:editId="7C80EE07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9525</wp:posOffset>
                  </wp:positionV>
                  <wp:extent cx="2114550" cy="650240"/>
                  <wp:effectExtent l="0" t="0" r="0" b="0"/>
                  <wp:wrapNone/>
                  <wp:docPr id="1" name="Picture 1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text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43B9" w:rsidRPr="00CA2E98" w14:paraId="6C428E7F" w14:textId="77777777" w:rsidTr="003026A7">
        <w:trPr>
          <w:jc w:val="center"/>
        </w:trPr>
        <w:tc>
          <w:tcPr>
            <w:tcW w:w="22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6DA00C" w14:textId="77777777" w:rsidR="00C543B9" w:rsidRPr="00CA2E98" w:rsidRDefault="00C543B9" w:rsidP="00457A45">
            <w:pPr>
              <w:rPr>
                <w:rFonts w:ascii="Calibri" w:hAnsi="Calibri"/>
                <w:b/>
                <w:szCs w:val="22"/>
              </w:rPr>
            </w:pPr>
            <w:r w:rsidRPr="000B191F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5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FA1AFDE" w14:textId="77777777" w:rsidR="00C543B9" w:rsidRPr="00CA2E98" w:rsidRDefault="00C543B9" w:rsidP="00457A4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53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E4CABD" w14:textId="77777777" w:rsidR="00C543B9" w:rsidRPr="00CA2E98" w:rsidRDefault="00C543B9" w:rsidP="00457A45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C543B9" w:rsidRPr="00CA2E98" w14:paraId="368CF8FB" w14:textId="77777777" w:rsidTr="003026A7">
        <w:trPr>
          <w:jc w:val="center"/>
        </w:trPr>
        <w:tc>
          <w:tcPr>
            <w:tcW w:w="22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61962C" w14:textId="77777777" w:rsidR="00C543B9" w:rsidRPr="00CA2E98" w:rsidRDefault="00C543B9" w:rsidP="00457A45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35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CAEF86" w14:textId="05349442" w:rsidR="00C543B9" w:rsidRPr="00CA2E98" w:rsidRDefault="00ED37A9" w:rsidP="00457A4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MW</w:t>
            </w:r>
          </w:p>
        </w:tc>
        <w:tc>
          <w:tcPr>
            <w:tcW w:w="353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53C3D7" w14:textId="77777777" w:rsidR="00C543B9" w:rsidRPr="00CA2E98" w:rsidRDefault="00C543B9" w:rsidP="00457A45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C543B9" w:rsidRPr="00CA2E98" w14:paraId="162BE3B9" w14:textId="77777777" w:rsidTr="003026A7">
        <w:trPr>
          <w:jc w:val="center"/>
        </w:trPr>
        <w:tc>
          <w:tcPr>
            <w:tcW w:w="581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3881E9" w14:textId="77777777" w:rsidR="00C543B9" w:rsidRPr="00CA2E98" w:rsidRDefault="00C543B9" w:rsidP="00457A45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5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DCA17B" w14:textId="77777777" w:rsidR="00C543B9" w:rsidRPr="00CA2E98" w:rsidRDefault="00C543B9" w:rsidP="00457A45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9B3300"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C543B9" w:rsidRPr="00CA2E98" w14:paraId="24D94306" w14:textId="77777777" w:rsidTr="003026A7">
        <w:trPr>
          <w:trHeight w:hRule="exact" w:val="447"/>
          <w:jc w:val="center"/>
        </w:trPr>
        <w:tc>
          <w:tcPr>
            <w:tcW w:w="935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CBE33C" w14:textId="77777777" w:rsidR="00C543B9" w:rsidRPr="00CA2E98" w:rsidRDefault="00C543B9" w:rsidP="00457A45">
            <w:pPr>
              <w:tabs>
                <w:tab w:val="left" w:pos="4007"/>
              </w:tabs>
              <w:rPr>
                <w:rFonts w:ascii="Calibri" w:hAnsi="Calibri"/>
                <w:b/>
                <w:color w:val="548DD4"/>
                <w:szCs w:val="22"/>
              </w:rPr>
            </w:pPr>
            <w:r w:rsidRPr="00CA2E98">
              <w:rPr>
                <w:rFonts w:ascii="Calibri" w:hAnsi="Calibri"/>
                <w:b/>
                <w:color w:val="548DD4"/>
                <w:szCs w:val="22"/>
              </w:rPr>
              <w:tab/>
            </w:r>
          </w:p>
        </w:tc>
      </w:tr>
      <w:tr w:rsidR="00C543B9" w:rsidRPr="00CA2E98" w14:paraId="48FF8D5B" w14:textId="77777777" w:rsidTr="003026A7">
        <w:trPr>
          <w:jc w:val="center"/>
        </w:trPr>
        <w:tc>
          <w:tcPr>
            <w:tcW w:w="281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ED08EF" w14:textId="77777777" w:rsidR="00C543B9" w:rsidRPr="00B41B47" w:rsidRDefault="00C543B9" w:rsidP="00457A45">
            <w:pPr>
              <w:rPr>
                <w:rFonts w:ascii="Calibri" w:hAnsi="Calibri"/>
                <w:b/>
                <w:szCs w:val="22"/>
              </w:rPr>
            </w:pPr>
            <w:r w:rsidRPr="00B41B47">
              <w:rPr>
                <w:rFonts w:ascii="Calibri" w:hAnsi="Calibri"/>
                <w:b/>
                <w:szCs w:val="22"/>
              </w:rPr>
              <w:t>Development Description:</w:t>
            </w:r>
          </w:p>
        </w:tc>
        <w:tc>
          <w:tcPr>
            <w:tcW w:w="65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97C84CD" w14:textId="52BB4A6D" w:rsidR="00C543B9" w:rsidRPr="00B41B47" w:rsidRDefault="00ED37A9" w:rsidP="00457A45">
            <w:pPr>
              <w:jc w:val="both"/>
              <w:rPr>
                <w:rFonts w:ascii="Calibri" w:hAnsi="Calibri" w:cs="Helvetica"/>
                <w:szCs w:val="22"/>
                <w:shd w:val="clear" w:color="auto" w:fill="FFFFFF"/>
              </w:rPr>
            </w:pPr>
            <w:r>
              <w:rPr>
                <w:rFonts w:ascii="Calibri" w:hAnsi="Calibri" w:cs="Helvetica"/>
                <w:szCs w:val="22"/>
                <w:shd w:val="clear" w:color="auto" w:fill="FFFFFF"/>
              </w:rPr>
              <w:t xml:space="preserve">Prior notification for </w:t>
            </w:r>
            <w:r w:rsidRPr="00ED37A9">
              <w:rPr>
                <w:rFonts w:ascii="Calibri" w:hAnsi="Calibri" w:cs="Helvetica"/>
                <w:szCs w:val="22"/>
                <w:shd w:val="clear" w:color="auto" w:fill="FFFFFF"/>
              </w:rPr>
              <w:t xml:space="preserve">a larger home extension. Proposed single storey flat roof rear extension constructed in materials to match existing, length 4m, max </w:t>
            </w:r>
            <w:r w:rsidRPr="00102F08">
              <w:rPr>
                <w:rFonts w:ascii="Calibri" w:hAnsi="Calibri" w:cs="Helvetica"/>
                <w:szCs w:val="22"/>
                <w:shd w:val="clear" w:color="auto" w:fill="FFFFFF"/>
              </w:rPr>
              <w:t>height 2</w:t>
            </w:r>
            <w:r w:rsidR="00102F08" w:rsidRPr="00102F08">
              <w:rPr>
                <w:rFonts w:ascii="Calibri" w:hAnsi="Calibri" w:cs="Helvetica"/>
                <w:szCs w:val="22"/>
                <w:shd w:val="clear" w:color="auto" w:fill="FFFFFF"/>
              </w:rPr>
              <w:t>.65</w:t>
            </w:r>
            <w:r w:rsidRPr="00102F08">
              <w:rPr>
                <w:rFonts w:ascii="Calibri" w:hAnsi="Calibri" w:cs="Helvetica"/>
                <w:szCs w:val="22"/>
                <w:shd w:val="clear" w:color="auto" w:fill="FFFFFF"/>
              </w:rPr>
              <w:t>m, height at eaves 2.</w:t>
            </w:r>
            <w:r w:rsidR="00102F08" w:rsidRPr="00102F08">
              <w:rPr>
                <w:rFonts w:ascii="Calibri" w:hAnsi="Calibri" w:cs="Helvetica"/>
                <w:szCs w:val="22"/>
                <w:shd w:val="clear" w:color="auto" w:fill="FFFFFF"/>
              </w:rPr>
              <w:t>36</w:t>
            </w:r>
            <w:r w:rsidRPr="00102F08">
              <w:rPr>
                <w:rFonts w:ascii="Calibri" w:hAnsi="Calibri" w:cs="Helvetica"/>
                <w:szCs w:val="22"/>
                <w:shd w:val="clear" w:color="auto" w:fill="FFFFFF"/>
              </w:rPr>
              <w:t>m.</w:t>
            </w:r>
          </w:p>
        </w:tc>
      </w:tr>
      <w:tr w:rsidR="00C543B9" w:rsidRPr="00CA2E98" w14:paraId="0E0ECE3A" w14:textId="77777777" w:rsidTr="003026A7">
        <w:trPr>
          <w:jc w:val="center"/>
        </w:trPr>
        <w:tc>
          <w:tcPr>
            <w:tcW w:w="281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DEB095" w14:textId="77777777" w:rsidR="00C543B9" w:rsidRPr="00B41B47" w:rsidRDefault="00C543B9" w:rsidP="00457A45">
            <w:pPr>
              <w:rPr>
                <w:rFonts w:ascii="Calibri" w:hAnsi="Calibri"/>
                <w:b/>
                <w:szCs w:val="22"/>
              </w:rPr>
            </w:pPr>
            <w:r w:rsidRPr="00B41B47">
              <w:rPr>
                <w:rFonts w:ascii="Calibri" w:hAnsi="Calibri"/>
                <w:b/>
                <w:szCs w:val="22"/>
              </w:rPr>
              <w:t>Site Address/Location:</w:t>
            </w:r>
          </w:p>
        </w:tc>
        <w:tc>
          <w:tcPr>
            <w:tcW w:w="65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028F369" w14:textId="34285E0A" w:rsidR="00C543B9" w:rsidRPr="00B41B47" w:rsidRDefault="00ED37A9" w:rsidP="00457A45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ED37A9">
              <w:rPr>
                <w:rFonts w:asciiTheme="minorHAnsi" w:hAnsiTheme="minorHAnsi" w:cstheme="minorHAnsi"/>
                <w:bCs/>
                <w:szCs w:val="22"/>
              </w:rPr>
              <w:t>7 Eskdale Road Longridge PR3 3ER</w:t>
            </w:r>
          </w:p>
        </w:tc>
      </w:tr>
      <w:tr w:rsidR="00C543B9" w:rsidRPr="00CA2E98" w14:paraId="487A9E46" w14:textId="77777777" w:rsidTr="003026A7">
        <w:trPr>
          <w:trHeight w:hRule="exact" w:val="170"/>
          <w:jc w:val="center"/>
        </w:trPr>
        <w:tc>
          <w:tcPr>
            <w:tcW w:w="935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0A3AB2" w14:textId="77777777" w:rsidR="00C543B9" w:rsidRPr="00B41B47" w:rsidRDefault="00C543B9" w:rsidP="00457A45">
            <w:pPr>
              <w:tabs>
                <w:tab w:val="left" w:pos="2667"/>
              </w:tabs>
              <w:rPr>
                <w:rFonts w:ascii="Calibri" w:hAnsi="Calibri"/>
                <w:b/>
                <w:color w:val="548DD4"/>
                <w:szCs w:val="22"/>
              </w:rPr>
            </w:pPr>
            <w:r w:rsidRPr="00B41B47">
              <w:rPr>
                <w:rFonts w:ascii="Calibri" w:hAnsi="Calibri"/>
                <w:b/>
                <w:color w:val="548DD4"/>
                <w:szCs w:val="22"/>
              </w:rPr>
              <w:tab/>
            </w:r>
          </w:p>
        </w:tc>
      </w:tr>
      <w:tr w:rsidR="00C543B9" w:rsidRPr="00CA2E98" w14:paraId="2CBA9991" w14:textId="77777777" w:rsidTr="003026A7">
        <w:trPr>
          <w:jc w:val="center"/>
        </w:trPr>
        <w:tc>
          <w:tcPr>
            <w:tcW w:w="281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2232F5" w14:textId="77777777" w:rsidR="00C543B9" w:rsidRPr="00CA2E98" w:rsidRDefault="00C543B9" w:rsidP="00457A45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5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098830" w14:textId="77777777" w:rsidR="00C543B9" w:rsidRPr="00CA2E98" w:rsidRDefault="00C543B9" w:rsidP="00457A45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543B9" w:rsidRPr="00CA2E98" w14:paraId="1EE0987E" w14:textId="77777777" w:rsidTr="003026A7">
        <w:trPr>
          <w:jc w:val="center"/>
        </w:trPr>
        <w:tc>
          <w:tcPr>
            <w:tcW w:w="935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A21A88" w14:textId="71693B7C" w:rsidR="00C543B9" w:rsidRPr="008857B5" w:rsidRDefault="00ED37A9" w:rsidP="00457A45">
            <w:pPr>
              <w:rPr>
                <w:rFonts w:ascii="Calibri" w:hAnsi="Calibri"/>
                <w:szCs w:val="22"/>
                <w:highlight w:val="yellow"/>
              </w:rPr>
            </w:pPr>
            <w:r>
              <w:rPr>
                <w:rFonts w:ascii="Calibri" w:hAnsi="Calibri"/>
                <w:szCs w:val="22"/>
              </w:rPr>
              <w:t>Two representations were received in support of the application.</w:t>
            </w:r>
            <w:r w:rsidR="00C543B9" w:rsidRPr="00F228D5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C543B9" w:rsidRPr="00CA2E98" w14:paraId="1EF482A1" w14:textId="77777777" w:rsidTr="003026A7">
        <w:trPr>
          <w:trHeight w:hRule="exact" w:val="170"/>
          <w:jc w:val="center"/>
        </w:trPr>
        <w:tc>
          <w:tcPr>
            <w:tcW w:w="935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46DF62" w14:textId="77777777" w:rsidR="00C543B9" w:rsidRPr="00CA2E98" w:rsidRDefault="00C543B9" w:rsidP="00457A45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C543B9" w:rsidRPr="00CA2E98" w14:paraId="3ECD0EEC" w14:textId="77777777" w:rsidTr="003026A7">
        <w:trPr>
          <w:jc w:val="center"/>
        </w:trPr>
        <w:tc>
          <w:tcPr>
            <w:tcW w:w="935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440DAB" w14:textId="77777777" w:rsidR="00C543B9" w:rsidRPr="00CA2E98" w:rsidRDefault="00C543B9" w:rsidP="00457A45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C543B9" w:rsidRPr="00CA2E98" w14:paraId="6AE73B0B" w14:textId="77777777" w:rsidTr="003026A7">
        <w:trPr>
          <w:jc w:val="center"/>
        </w:trPr>
        <w:tc>
          <w:tcPr>
            <w:tcW w:w="935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C2373E" w14:textId="77777777" w:rsidR="00C543B9" w:rsidRDefault="00C543B9" w:rsidP="00457A45">
            <w:pPr>
              <w:rPr>
                <w:rFonts w:ascii="Calibri" w:hAnsi="Calibri"/>
                <w:szCs w:val="22"/>
              </w:rPr>
            </w:pPr>
          </w:p>
          <w:p w14:paraId="44CE389D" w14:textId="6D1BFFFA" w:rsidR="00C543B9" w:rsidRDefault="00C543B9" w:rsidP="00457A4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Schedule 2, Part 1, Class A of the Town and Country Planning (General Permitted Development) Order 2015 (as amended). </w:t>
            </w:r>
          </w:p>
          <w:p w14:paraId="365EB8E0" w14:textId="77777777" w:rsidR="00C543B9" w:rsidRPr="0083154F" w:rsidRDefault="00C543B9" w:rsidP="00457A45">
            <w:pPr>
              <w:rPr>
                <w:rFonts w:ascii="Calibri" w:hAnsi="Calibri"/>
                <w:szCs w:val="22"/>
              </w:rPr>
            </w:pPr>
          </w:p>
        </w:tc>
      </w:tr>
      <w:tr w:rsidR="00C543B9" w:rsidRPr="00CA2E98" w14:paraId="61634F26" w14:textId="77777777" w:rsidTr="003026A7">
        <w:trPr>
          <w:jc w:val="center"/>
        </w:trPr>
        <w:tc>
          <w:tcPr>
            <w:tcW w:w="935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D114C0" w14:textId="77777777" w:rsidR="00C543B9" w:rsidRPr="00AA233B" w:rsidRDefault="00C543B9" w:rsidP="00457A4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98483B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4715D80D" w14:textId="6A2BF005" w:rsidR="00C543B9" w:rsidRDefault="00C543B9" w:rsidP="00457A4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069A57EE" w14:textId="7C14E6BE" w:rsidR="00C543B9" w:rsidRDefault="00ED37A9" w:rsidP="00C543B9">
            <w:pPr>
              <w:pStyle w:val="PLANNING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  <w:p w14:paraId="00F56654" w14:textId="77777777" w:rsidR="00C543B9" w:rsidRPr="005121F5" w:rsidRDefault="00C543B9" w:rsidP="00C543B9">
            <w:pPr>
              <w:pStyle w:val="PLANNING"/>
              <w:rPr>
                <w:rFonts w:ascii="Calibri" w:hAnsi="Calibri"/>
                <w:b/>
                <w:bCs/>
                <w:color w:val="548DD4"/>
                <w:szCs w:val="22"/>
                <w:highlight w:val="yellow"/>
              </w:rPr>
            </w:pPr>
          </w:p>
        </w:tc>
      </w:tr>
      <w:tr w:rsidR="00C543B9" w:rsidRPr="00CA2E98" w14:paraId="6CD865AB" w14:textId="77777777" w:rsidTr="003026A7">
        <w:trPr>
          <w:trHeight w:hRule="exact" w:val="170"/>
          <w:jc w:val="center"/>
        </w:trPr>
        <w:tc>
          <w:tcPr>
            <w:tcW w:w="935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E04C35" w14:textId="77777777" w:rsidR="00C543B9" w:rsidRPr="00CA2E98" w:rsidRDefault="00C543B9" w:rsidP="00457A45">
            <w:pPr>
              <w:pStyle w:val="PLANNING"/>
              <w:rPr>
                <w:rFonts w:ascii="Calibri" w:hAnsi="Calibri"/>
                <w:b/>
                <w:bCs/>
                <w:color w:val="548DD4"/>
                <w:szCs w:val="22"/>
              </w:rPr>
            </w:pPr>
          </w:p>
        </w:tc>
      </w:tr>
      <w:tr w:rsidR="00C543B9" w:rsidRPr="00CA2E98" w14:paraId="43885ADF" w14:textId="77777777" w:rsidTr="003026A7">
        <w:trPr>
          <w:jc w:val="center"/>
        </w:trPr>
        <w:tc>
          <w:tcPr>
            <w:tcW w:w="935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C137D9" w14:textId="77777777" w:rsidR="00C543B9" w:rsidRPr="00CA2E98" w:rsidRDefault="00C543B9" w:rsidP="00457A45">
            <w:pPr>
              <w:rPr>
                <w:rFonts w:ascii="Calibri" w:hAnsi="Calibri"/>
                <w:b/>
                <w:szCs w:val="22"/>
              </w:rPr>
            </w:pPr>
            <w:r w:rsidRPr="00CA2E98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543B9" w:rsidRPr="00CA2E98" w14:paraId="29BD77BE" w14:textId="77777777" w:rsidTr="003026A7">
        <w:trPr>
          <w:jc w:val="center"/>
        </w:trPr>
        <w:tc>
          <w:tcPr>
            <w:tcW w:w="935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12EB16" w14:textId="77777777" w:rsidR="00C543B9" w:rsidRDefault="00C543B9" w:rsidP="00457A4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  <w:r w:rsidRPr="00CA2E98"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>Site Description and Surrounding Area:</w:t>
            </w:r>
          </w:p>
          <w:p w14:paraId="2DD18F2C" w14:textId="707F97DA" w:rsidR="00C543B9" w:rsidRDefault="00C543B9" w:rsidP="00C543B9">
            <w:pPr>
              <w:pStyle w:val="Header"/>
              <w:tabs>
                <w:tab w:val="clear" w:pos="4153"/>
                <w:tab w:val="clear" w:pos="8306"/>
                <w:tab w:val="left" w:pos="2235"/>
              </w:tabs>
              <w:contextualSpacing/>
              <w:jc w:val="both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ab/>
            </w:r>
          </w:p>
          <w:p w14:paraId="6DF51475" w14:textId="5F7A485E" w:rsidR="00C543B9" w:rsidRPr="00C543B9" w:rsidRDefault="00C543B9" w:rsidP="00C543B9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C543B9">
              <w:rPr>
                <w:rFonts w:ascii="Calibri" w:hAnsi="Calibri"/>
                <w:bCs/>
                <w:sz w:val="22"/>
                <w:szCs w:val="22"/>
              </w:rPr>
              <w:t xml:space="preserve">The application site relates to a semi-detached property situated </w:t>
            </w:r>
            <w:r w:rsidR="00402FDF">
              <w:rPr>
                <w:rFonts w:ascii="Calibri" w:hAnsi="Calibri"/>
                <w:bCs/>
                <w:sz w:val="22"/>
                <w:szCs w:val="22"/>
                <w:lang w:val="en-GB"/>
              </w:rPr>
              <w:t>within the defined settlement of</w:t>
            </w:r>
            <w:r w:rsidRPr="00C543B9">
              <w:rPr>
                <w:rFonts w:ascii="Calibri" w:hAnsi="Calibri"/>
                <w:bCs/>
                <w:sz w:val="22"/>
                <w:szCs w:val="22"/>
              </w:rPr>
              <w:t xml:space="preserve"> Longridge. The </w:t>
            </w:r>
            <w:r w:rsidR="00402FDF">
              <w:rPr>
                <w:rFonts w:ascii="Calibri" w:hAnsi="Calibri"/>
                <w:bCs/>
                <w:sz w:val="22"/>
                <w:szCs w:val="22"/>
                <w:lang w:val="en-GB"/>
              </w:rPr>
              <w:t xml:space="preserve">application property </w:t>
            </w:r>
            <w:r w:rsidR="00402FDF">
              <w:rPr>
                <w:rFonts w:ascii="Calibri" w:hAnsi="Calibri"/>
                <w:bCs/>
                <w:sz w:val="22"/>
                <w:szCs w:val="22"/>
              </w:rPr>
              <w:t xml:space="preserve">is currently faced in </w:t>
            </w:r>
            <w:r w:rsidR="00402FDF">
              <w:rPr>
                <w:rFonts w:ascii="Calibri" w:hAnsi="Calibri"/>
                <w:bCs/>
                <w:sz w:val="22"/>
                <w:szCs w:val="22"/>
                <w:lang w:val="en-GB"/>
              </w:rPr>
              <w:t xml:space="preserve">a combination of </w:t>
            </w:r>
            <w:r w:rsidR="00402FDF">
              <w:rPr>
                <w:rFonts w:ascii="Calibri" w:hAnsi="Calibri"/>
                <w:bCs/>
                <w:sz w:val="22"/>
                <w:szCs w:val="22"/>
              </w:rPr>
              <w:t xml:space="preserve">red </w:t>
            </w:r>
            <w:r w:rsidRPr="00C543B9">
              <w:rPr>
                <w:rFonts w:ascii="Calibri" w:hAnsi="Calibri"/>
                <w:bCs/>
                <w:sz w:val="22"/>
                <w:szCs w:val="22"/>
              </w:rPr>
              <w:t>brick</w:t>
            </w:r>
            <w:r w:rsidR="00402FDF">
              <w:rPr>
                <w:rFonts w:ascii="Calibri" w:hAnsi="Calibri"/>
                <w:bCs/>
                <w:sz w:val="22"/>
                <w:szCs w:val="22"/>
              </w:rPr>
              <w:t xml:space="preserve"> and white render</w:t>
            </w:r>
            <w:r w:rsidRPr="00C543B9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r w:rsidR="00A95E29">
              <w:rPr>
                <w:rFonts w:ascii="Calibri" w:hAnsi="Calibri"/>
                <w:bCs/>
                <w:sz w:val="22"/>
                <w:szCs w:val="22"/>
              </w:rPr>
              <w:t>featuring</w:t>
            </w:r>
            <w:r w:rsidRPr="00C543B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A95E29">
              <w:rPr>
                <w:rFonts w:ascii="Calibri" w:hAnsi="Calibri"/>
                <w:bCs/>
                <w:sz w:val="22"/>
                <w:szCs w:val="22"/>
                <w:lang w:val="en-GB"/>
              </w:rPr>
              <w:t xml:space="preserve">a duo pitched </w:t>
            </w:r>
            <w:r w:rsidRPr="00C543B9">
              <w:rPr>
                <w:rFonts w:ascii="Calibri" w:hAnsi="Calibri"/>
                <w:bCs/>
                <w:sz w:val="22"/>
                <w:szCs w:val="22"/>
              </w:rPr>
              <w:t xml:space="preserve">concrete </w:t>
            </w:r>
            <w:r w:rsidR="00A95E29">
              <w:rPr>
                <w:rFonts w:ascii="Calibri" w:hAnsi="Calibri"/>
                <w:bCs/>
                <w:sz w:val="22"/>
                <w:szCs w:val="22"/>
                <w:lang w:val="en-GB"/>
              </w:rPr>
              <w:t xml:space="preserve">tile roof, </w:t>
            </w:r>
            <w:r w:rsidRPr="00C543B9">
              <w:rPr>
                <w:rFonts w:ascii="Calibri" w:hAnsi="Calibri"/>
                <w:bCs/>
                <w:sz w:val="22"/>
                <w:szCs w:val="22"/>
              </w:rPr>
              <w:t>white UPVC windows and doors</w:t>
            </w:r>
            <w:r w:rsidR="006B57E4">
              <w:rPr>
                <w:rFonts w:ascii="Calibri" w:hAnsi="Calibri"/>
                <w:bCs/>
                <w:sz w:val="22"/>
                <w:szCs w:val="22"/>
              </w:rPr>
              <w:t>. D</w:t>
            </w:r>
            <w:r w:rsidR="00A95E29">
              <w:rPr>
                <w:rFonts w:ascii="Calibri" w:hAnsi="Calibri"/>
                <w:bCs/>
                <w:sz w:val="22"/>
                <w:szCs w:val="22"/>
                <w:lang w:val="en-GB"/>
              </w:rPr>
              <w:t xml:space="preserve">ormer windows </w:t>
            </w:r>
            <w:r w:rsidR="006B57E4">
              <w:rPr>
                <w:rFonts w:ascii="Calibri" w:hAnsi="Calibri"/>
                <w:bCs/>
                <w:sz w:val="22"/>
                <w:szCs w:val="22"/>
                <w:lang w:val="en-GB"/>
              </w:rPr>
              <w:t xml:space="preserve">are situated within the roofscape </w:t>
            </w:r>
            <w:r w:rsidR="00A95E29">
              <w:rPr>
                <w:rFonts w:ascii="Calibri" w:hAnsi="Calibri"/>
                <w:bCs/>
                <w:sz w:val="22"/>
                <w:szCs w:val="22"/>
                <w:lang w:val="en-GB"/>
              </w:rPr>
              <w:t>to the front and rear</w:t>
            </w:r>
            <w:r w:rsidR="006B57E4">
              <w:rPr>
                <w:rFonts w:ascii="Calibri" w:hAnsi="Calibri"/>
                <w:bCs/>
                <w:sz w:val="22"/>
                <w:szCs w:val="22"/>
                <w:lang w:val="en-GB"/>
              </w:rPr>
              <w:t xml:space="preserve"> and a small extension is situated at the rear of the property</w:t>
            </w:r>
            <w:r w:rsidRPr="00C543B9">
              <w:rPr>
                <w:rFonts w:ascii="Calibri" w:hAnsi="Calibri"/>
                <w:bCs/>
                <w:sz w:val="22"/>
                <w:szCs w:val="22"/>
              </w:rPr>
              <w:t xml:space="preserve">. The surrounding area is predominantly residential and the dwelling itself is not situated on any designated land. </w:t>
            </w:r>
          </w:p>
          <w:p w14:paraId="34472E06" w14:textId="77777777" w:rsidR="00C543B9" w:rsidRPr="00CA2E98" w:rsidRDefault="00C543B9" w:rsidP="00C543B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 w:val="22"/>
                <w:szCs w:val="22"/>
                <w:lang w:val="en-GB"/>
              </w:rPr>
            </w:pPr>
          </w:p>
        </w:tc>
      </w:tr>
      <w:tr w:rsidR="00C543B9" w:rsidRPr="00CA2E98" w14:paraId="0AB3A208" w14:textId="77777777" w:rsidTr="003026A7">
        <w:trPr>
          <w:jc w:val="center"/>
        </w:trPr>
        <w:tc>
          <w:tcPr>
            <w:tcW w:w="935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A78C83" w14:textId="77777777" w:rsidR="00C543B9" w:rsidRPr="00CA2E98" w:rsidRDefault="00C543B9" w:rsidP="00457A4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  <w:r w:rsidRPr="00CA2E98"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>Proposed Development for which consent is sought:</w:t>
            </w:r>
          </w:p>
          <w:p w14:paraId="0AC66B4A" w14:textId="2838EED8" w:rsidR="00C543B9" w:rsidRDefault="00C543B9" w:rsidP="00457A4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 w:val="22"/>
                <w:szCs w:val="24"/>
                <w:lang w:val="en-GB"/>
              </w:rPr>
            </w:pPr>
          </w:p>
          <w:p w14:paraId="004A6496" w14:textId="3E871A88" w:rsidR="006B57E4" w:rsidRDefault="00C543B9" w:rsidP="00457A4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 w:val="22"/>
                <w:szCs w:val="24"/>
                <w:lang w:val="en-GB"/>
              </w:rPr>
            </w:pPr>
            <w:r>
              <w:rPr>
                <w:rFonts w:ascii="Calibri" w:hAnsi="Calibri"/>
                <w:sz w:val="22"/>
                <w:szCs w:val="24"/>
                <w:lang w:val="en-GB"/>
              </w:rPr>
              <w:t xml:space="preserve">Consent is sought for the construction of a single storey flat roof extension </w:t>
            </w:r>
            <w:r w:rsidR="006B57E4">
              <w:rPr>
                <w:rFonts w:ascii="Calibri" w:hAnsi="Calibri"/>
                <w:sz w:val="22"/>
                <w:szCs w:val="24"/>
                <w:lang w:val="en-GB"/>
              </w:rPr>
              <w:t>at the rear of the property.</w:t>
            </w:r>
          </w:p>
          <w:p w14:paraId="2B2F985B" w14:textId="56D4508E" w:rsidR="00C543B9" w:rsidRDefault="00AC3A90" w:rsidP="00457A4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 w:val="22"/>
                <w:szCs w:val="24"/>
                <w:lang w:val="en-GB"/>
              </w:rPr>
            </w:pPr>
            <w:r>
              <w:rPr>
                <w:rFonts w:ascii="Calibri" w:hAnsi="Calibri"/>
                <w:sz w:val="22"/>
                <w:szCs w:val="24"/>
                <w:lang w:val="en-GB"/>
              </w:rPr>
              <w:t xml:space="preserve">The proposed larger home extension would protrude </w:t>
            </w:r>
            <w:r w:rsidR="006B57E4">
              <w:rPr>
                <w:rFonts w:ascii="Calibri" w:hAnsi="Calibri"/>
                <w:sz w:val="22"/>
                <w:szCs w:val="24"/>
                <w:lang w:val="en-GB"/>
              </w:rPr>
              <w:t>4</w:t>
            </w:r>
            <w:r>
              <w:rPr>
                <w:rFonts w:ascii="Calibri" w:hAnsi="Calibri"/>
                <w:sz w:val="22"/>
                <w:szCs w:val="24"/>
                <w:lang w:val="en-GB"/>
              </w:rPr>
              <w:t xml:space="preserve">m from the rear wall of the original dwellinghouse and would have a maximum height </w:t>
            </w:r>
            <w:r w:rsidRPr="00102F08">
              <w:rPr>
                <w:rFonts w:ascii="Calibri" w:hAnsi="Calibri"/>
                <w:sz w:val="22"/>
                <w:szCs w:val="24"/>
                <w:lang w:val="en-GB"/>
              </w:rPr>
              <w:t>of 2.</w:t>
            </w:r>
            <w:r w:rsidR="00E21B39" w:rsidRPr="00102F08">
              <w:rPr>
                <w:rFonts w:ascii="Calibri" w:hAnsi="Calibri"/>
                <w:sz w:val="22"/>
                <w:szCs w:val="24"/>
                <w:lang w:val="en-GB"/>
              </w:rPr>
              <w:t>65</w:t>
            </w:r>
            <w:r w:rsidRPr="00102F08">
              <w:rPr>
                <w:rFonts w:ascii="Calibri" w:hAnsi="Calibri"/>
                <w:sz w:val="22"/>
                <w:szCs w:val="24"/>
                <w:lang w:val="en-GB"/>
              </w:rPr>
              <w:t>m from</w:t>
            </w:r>
            <w:r>
              <w:rPr>
                <w:rFonts w:ascii="Calibri" w:hAnsi="Calibri"/>
                <w:sz w:val="22"/>
                <w:szCs w:val="24"/>
                <w:lang w:val="en-GB"/>
              </w:rPr>
              <w:t xml:space="preserve"> ground level. Bi-Folding doors will provide access to the rear garden, and </w:t>
            </w:r>
            <w:r w:rsidR="00BD6393">
              <w:rPr>
                <w:rFonts w:ascii="Calibri" w:hAnsi="Calibri"/>
                <w:sz w:val="22"/>
                <w:szCs w:val="24"/>
                <w:lang w:val="en-GB"/>
              </w:rPr>
              <w:t>a</w:t>
            </w:r>
            <w:r w:rsidR="00F509CC">
              <w:rPr>
                <w:rFonts w:ascii="Calibri" w:hAnsi="Calibri"/>
                <w:sz w:val="22"/>
                <w:szCs w:val="24"/>
                <w:lang w:val="en-GB"/>
              </w:rPr>
              <w:t xml:space="preserve"> velux</w:t>
            </w:r>
            <w:r>
              <w:rPr>
                <w:rFonts w:ascii="Calibri" w:hAnsi="Calibri"/>
                <w:sz w:val="22"/>
                <w:szCs w:val="24"/>
                <w:lang w:val="en-GB"/>
              </w:rPr>
              <w:t xml:space="preserve"> </w:t>
            </w:r>
            <w:r w:rsidR="00F509CC">
              <w:rPr>
                <w:rFonts w:ascii="Calibri" w:hAnsi="Calibri"/>
                <w:sz w:val="22"/>
                <w:szCs w:val="24"/>
                <w:lang w:val="en-GB"/>
              </w:rPr>
              <w:t>rooflight</w:t>
            </w:r>
            <w:r>
              <w:rPr>
                <w:rFonts w:ascii="Calibri" w:hAnsi="Calibri"/>
                <w:sz w:val="22"/>
                <w:szCs w:val="24"/>
                <w:lang w:val="en-GB"/>
              </w:rPr>
              <w:t xml:space="preserve"> will be installed on the proposed </w:t>
            </w:r>
            <w:r w:rsidRPr="004F7367">
              <w:rPr>
                <w:rFonts w:ascii="Calibri" w:hAnsi="Calibri"/>
                <w:sz w:val="22"/>
                <w:szCs w:val="22"/>
                <w:lang w:val="en-GB"/>
              </w:rPr>
              <w:t xml:space="preserve">extension. </w:t>
            </w:r>
            <w:r w:rsidR="00F509CC">
              <w:rPr>
                <w:rFonts w:ascii="Calibri" w:hAnsi="Calibri"/>
                <w:sz w:val="22"/>
                <w:szCs w:val="22"/>
                <w:lang w:val="en-GB"/>
              </w:rPr>
              <w:t>The materials identified for use as part of the development match those in situ</w:t>
            </w:r>
            <w:r w:rsidR="004F7367" w:rsidRPr="004F7367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r w:rsidR="004F7367" w:rsidRPr="004F7367">
              <w:rPr>
                <w:rFonts w:ascii="Calibri" w:hAnsi="Calibri"/>
                <w:sz w:val="22"/>
                <w:szCs w:val="22"/>
              </w:rPr>
              <w:t>The applicant seeks determination as to whether the above proposal requires prior approval by the Council.</w:t>
            </w:r>
            <w:r w:rsidR="004F7367">
              <w:rPr>
                <w:rFonts w:ascii="Calibri" w:hAnsi="Calibri"/>
                <w:szCs w:val="24"/>
              </w:rPr>
              <w:t xml:space="preserve">  </w:t>
            </w:r>
          </w:p>
          <w:p w14:paraId="2203E6A2" w14:textId="77777777" w:rsidR="00C543B9" w:rsidRPr="00A17E44" w:rsidRDefault="00C543B9" w:rsidP="004F7367">
            <w:pPr>
              <w:rPr>
                <w:rFonts w:ascii="Calibri" w:hAnsi="Calibri"/>
                <w:color w:val="548DD4"/>
                <w:szCs w:val="22"/>
              </w:rPr>
            </w:pPr>
          </w:p>
        </w:tc>
      </w:tr>
      <w:tr w:rsidR="00C543B9" w:rsidRPr="00A50DF8" w14:paraId="5B1D35E7" w14:textId="77777777" w:rsidTr="003026A7">
        <w:trPr>
          <w:jc w:val="center"/>
        </w:trPr>
        <w:tc>
          <w:tcPr>
            <w:tcW w:w="935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5BC3D5" w14:textId="77777777" w:rsidR="00C543B9" w:rsidRDefault="00C543B9" w:rsidP="00457A45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50DF8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Observations/Consideration of Matters Raised/Conclusion:</w:t>
            </w:r>
          </w:p>
          <w:p w14:paraId="63747B53" w14:textId="77777777" w:rsidR="00C543B9" w:rsidRPr="002920EE" w:rsidRDefault="00C543B9" w:rsidP="00457A4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51BCF8EC" w14:textId="3C6FAEC0" w:rsidR="00C543B9" w:rsidRPr="00DB185B" w:rsidRDefault="00FC73FA" w:rsidP="00457A45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 xml:space="preserve">The application seeks clarity on whether prior approval is required for the use of permitted development rights to undertake the forementioned development. In this instance, the relevant part of the </w:t>
            </w:r>
            <w:r>
              <w:rPr>
                <w:rFonts w:ascii="Calibri" w:hAnsi="Calibri"/>
                <w:szCs w:val="22"/>
              </w:rPr>
              <w:t xml:space="preserve">Town and Country Planning (General Permitted Development) Order 2015 is Schedule 2, Part 1, Class A. </w:t>
            </w:r>
          </w:p>
          <w:p w14:paraId="59A645E8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4BCC2" w14:textId="77777777" w:rsidR="00C543B9" w:rsidRPr="00A50DF8" w:rsidRDefault="00C543B9" w:rsidP="00457A45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Development is not permitted by Class A if –</w:t>
            </w:r>
          </w:p>
          <w:p w14:paraId="2E5A3266" w14:textId="77777777" w:rsidR="00C543B9" w:rsidRPr="00A50DF8" w:rsidRDefault="00C543B9" w:rsidP="00457A45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4C3750" w14:textId="77777777" w:rsidR="00C543B9" w:rsidRPr="00A50DF8" w:rsidRDefault="00C543B9" w:rsidP="00457A45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(a) permission to use the dwellinghouse as a dwellinghouse has been granted only by virtue</w:t>
            </w:r>
          </w:p>
          <w:p w14:paraId="67F2E41B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of Class M, N, P or Q of Part 3 of this Schedule (changes of use);</w:t>
            </w:r>
          </w:p>
          <w:p w14:paraId="6C25DD29" w14:textId="77777777" w:rsidR="00C543B9" w:rsidRPr="00A50DF8" w:rsidRDefault="00C543B9" w:rsidP="00457A45">
            <w:pPr>
              <w:pStyle w:val="Header"/>
              <w:tabs>
                <w:tab w:val="left" w:pos="91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3A269AE" w14:textId="77777777" w:rsidR="00C543B9" w:rsidRPr="004F7367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4F73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Permission for use as a dwellinghouse was not granted by virtue of class M, N, P or Q of Part 3.</w:t>
            </w:r>
          </w:p>
          <w:p w14:paraId="08BCEE63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53120BF4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(b)</w:t>
            </w:r>
            <w:r w:rsidRPr="00A50DF8">
              <w:rPr>
                <w:rFonts w:asciiTheme="minorHAnsi" w:hAnsiTheme="minorHAnsi" w:cstheme="minorHAnsi"/>
                <w:color w:val="494949"/>
                <w:sz w:val="22"/>
                <w:szCs w:val="22"/>
                <w:shd w:val="clear" w:color="auto" w:fill="FFFFFF"/>
              </w:rPr>
              <w:t xml:space="preserve"> </w:t>
            </w: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76616E1F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CA9D57" w14:textId="77777777" w:rsidR="00C543B9" w:rsidRPr="00407F8B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4F73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The proposed single storey rear extension would not exceed 50% of the total area of curtilage of the property.</w:t>
            </w:r>
            <w:r w:rsidRPr="00407F8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</w:p>
          <w:p w14:paraId="0202D2AC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4158CF93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(c)</w:t>
            </w:r>
            <w:r w:rsidRPr="00A50DF8">
              <w:rPr>
                <w:rFonts w:asciiTheme="minorHAnsi" w:hAnsiTheme="minorHAnsi" w:cstheme="minorHAnsi"/>
                <w:color w:val="494949"/>
                <w:sz w:val="22"/>
                <w:szCs w:val="22"/>
                <w:shd w:val="clear" w:color="auto" w:fill="FFFFFF"/>
              </w:rPr>
              <w:t xml:space="preserve"> </w:t>
            </w: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07201200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45F3B13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4F73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The height of the proposed single storey rear extension would not exceed the height of the existing dwelling.</w:t>
            </w:r>
          </w:p>
          <w:p w14:paraId="046A4722" w14:textId="77777777" w:rsidR="00C543B9" w:rsidRPr="007F49E1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  <w:p w14:paraId="7C37A74F" w14:textId="0919C70D" w:rsidR="00C543B9" w:rsidRPr="00A668A4" w:rsidRDefault="00C543B9" w:rsidP="00457A45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68A4">
              <w:rPr>
                <w:rFonts w:asciiTheme="minorHAnsi" w:hAnsiTheme="minorHAnsi" w:cstheme="minorHAnsi"/>
                <w:sz w:val="22"/>
                <w:szCs w:val="22"/>
              </w:rPr>
              <w:t>(d) the height of the eaves of the part of the dwelling house enlarged</w:t>
            </w:r>
            <w:r w:rsidR="007F49E1" w:rsidRPr="00A668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r w:rsidRPr="00A668A4">
              <w:rPr>
                <w:rFonts w:asciiTheme="minorHAnsi" w:hAnsiTheme="minorHAnsi" w:cstheme="minorHAnsi"/>
                <w:sz w:val="22"/>
                <w:szCs w:val="22"/>
              </w:rPr>
              <w:t>improved or altered would exceed the height of the eaves of the existing dwelling house;</w:t>
            </w:r>
          </w:p>
          <w:p w14:paraId="7E1A783B" w14:textId="77777777" w:rsidR="00C543B9" w:rsidRPr="008940A2" w:rsidRDefault="00C543B9" w:rsidP="00457A45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476F7A2A" w14:textId="1B5AFACC" w:rsidR="00C543B9" w:rsidRPr="00A668A4" w:rsidRDefault="00395E0E" w:rsidP="00457A45">
            <w:pPr>
              <w:pStyle w:val="Header"/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The eaves height of the proposed extension would not exceed the eaves of the existing dwelling.</w:t>
            </w:r>
          </w:p>
          <w:p w14:paraId="5CCBB883" w14:textId="77777777" w:rsidR="00DB185B" w:rsidRPr="00A50DF8" w:rsidRDefault="00DB185B" w:rsidP="00457A45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E869C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(e) the enlarged part of the dwellinghouse would extend beyond a wall which—</w:t>
            </w:r>
          </w:p>
          <w:p w14:paraId="346ED0FC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1A5423DF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(i) forms the principal elevation of the original dwellinghouse; or</w:t>
            </w:r>
          </w:p>
          <w:p w14:paraId="28F0F110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5CBE7E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(ii) fronts a highway and forms a side elevation of the original dwellinghouse;</w:t>
            </w:r>
          </w:p>
          <w:p w14:paraId="0704ACC9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96559A9" w14:textId="0E9B4F9A" w:rsidR="00C543B9" w:rsidRPr="00F20A03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4F73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The proposed extension would not extend beyond a wall which forms the </w:t>
            </w:r>
            <w:r w:rsidR="007F49E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principal</w:t>
            </w:r>
            <w:r w:rsidRPr="004F73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elevation of the original dwellinghouse or </w:t>
            </w:r>
            <w:r w:rsidR="00DB185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that which </w:t>
            </w:r>
            <w:r w:rsidRPr="004F73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fronts a highway and forms a side elevation of the original dwellinghouse.</w:t>
            </w:r>
          </w:p>
          <w:p w14:paraId="202D7C8B" w14:textId="77777777" w:rsidR="00C543B9" w:rsidRPr="007B5F1B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0F934D" w14:textId="77777777" w:rsidR="00C543B9" w:rsidRPr="00A50DF8" w:rsidRDefault="00C543B9" w:rsidP="00457A45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(f) subject to paragraph (g), the enlarged part of the dwelling house would have a single storey and – </w:t>
            </w:r>
          </w:p>
          <w:p w14:paraId="4C92AA4B" w14:textId="77777777" w:rsidR="00C543B9" w:rsidRPr="00A50DF8" w:rsidRDefault="00C543B9" w:rsidP="00457A45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319BD75D" w14:textId="77777777" w:rsidR="00C543B9" w:rsidRPr="00A50DF8" w:rsidRDefault="00C543B9" w:rsidP="00457A45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  <w:r w:rsidRPr="00A50D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</w:t>
            </w:r>
          </w:p>
          <w:p w14:paraId="42A1D5A4" w14:textId="77777777" w:rsidR="00C543B9" w:rsidRPr="00A50DF8" w:rsidRDefault="00C543B9" w:rsidP="00457A45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558DB9A9" w14:textId="77777777" w:rsidR="00C543B9" w:rsidRPr="00A50DF8" w:rsidRDefault="00C543B9" w:rsidP="00457A45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(ii) exceed 4 metres in height;</w:t>
            </w:r>
          </w:p>
          <w:p w14:paraId="3918745E" w14:textId="77777777" w:rsidR="00C543B9" w:rsidRPr="00CC7A54" w:rsidRDefault="00C543B9" w:rsidP="00457A45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7A350A2B" w14:textId="77777777" w:rsidR="00C543B9" w:rsidRPr="00F20A03" w:rsidRDefault="00C543B9" w:rsidP="00457A45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</w:pPr>
            <w:r w:rsidRPr="004F73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The proposal in question will not be constructed on article 2(3) land.</w:t>
            </w:r>
          </w:p>
          <w:p w14:paraId="5FD41386" w14:textId="77777777" w:rsidR="00C543B9" w:rsidRPr="00A50DF8" w:rsidRDefault="00C543B9" w:rsidP="00457A45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50DF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65FDD7EA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56511CD9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CC9FCE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451B55B0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B30F17" w14:textId="09E48B30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(ii) exceed 4 metres in height;</w:t>
            </w:r>
          </w:p>
          <w:p w14:paraId="2456B59B" w14:textId="77777777" w:rsidR="00C543B9" w:rsidRPr="002F5C92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2D81C364" w14:textId="1670E2EB" w:rsidR="00C543B9" w:rsidRPr="00F20A03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</w:pPr>
            <w:r w:rsidRPr="004F73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</w:t>
            </w:r>
            <w:r w:rsidRPr="004F73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he proposed lean-to roof single storey extension would extend beyond the rear wall of the original dwellinghouse by </w:t>
            </w:r>
            <w:r w:rsidR="00DB185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only </w:t>
            </w:r>
            <w:r w:rsidR="00A033A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4</w:t>
            </w:r>
            <w:r w:rsidRPr="004F73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m and measure</w:t>
            </w:r>
            <w:r w:rsidR="004F7367" w:rsidRPr="004F73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 a maximum height of 2.</w:t>
            </w:r>
            <w:r w:rsidR="00E21B3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65</w:t>
            </w:r>
            <w:r w:rsidR="004F7367" w:rsidRPr="004F73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m.</w:t>
            </w:r>
            <w:r w:rsidR="004F73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 </w:t>
            </w:r>
          </w:p>
          <w:p w14:paraId="6631A320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194BEDA0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h) the enlarged part of the dwelling house would have more than a single storey and – </w:t>
            </w:r>
          </w:p>
          <w:p w14:paraId="10E7D54A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EE3A45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(i) extend beyond the rear wall of the original dwelling house by more than 3 metres, or </w:t>
            </w:r>
          </w:p>
          <w:p w14:paraId="563E405B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37D45A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>(ii) be within 7 metres of any boundary of the curtilage of the dwelling house opposite the rear wall of the dwelling house;</w:t>
            </w:r>
          </w:p>
          <w:p w14:paraId="51DA4CBF" w14:textId="77777777" w:rsidR="00C543B9" w:rsidRPr="005C5D1B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BF233D" w14:textId="77777777" w:rsidR="00C543B9" w:rsidRPr="00EA5F52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4F736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The proposed rear extension would be single storey.</w:t>
            </w:r>
          </w:p>
          <w:p w14:paraId="45B7AB8F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323D62F8" w14:textId="386056F9" w:rsidR="00C543B9" w:rsidRPr="00E71255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25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E21B3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r w:rsidRPr="00E71255">
              <w:rPr>
                <w:rFonts w:asciiTheme="minorHAnsi" w:hAnsiTheme="minorHAnsi" w:cstheme="minorHAnsi"/>
                <w:sz w:val="22"/>
                <w:szCs w:val="22"/>
              </w:rPr>
              <w:t xml:space="preserve">) the enlarged part of the dwelling house would be within 2 metres of the boundary of the curtilage of the dwelling house, and the height of the eaves of the enlarged part would exceed 3 metres; </w:t>
            </w:r>
          </w:p>
          <w:p w14:paraId="780A8BA6" w14:textId="77777777" w:rsidR="00C543B9" w:rsidRPr="00F20A03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C4B0D" w14:textId="5EB96602" w:rsidR="00C543B9" w:rsidRPr="00F20A03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</w:pPr>
            <w:r w:rsidRPr="0065737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The proposed single storey rear extension would be within 2 metres of the boundary of the curtilage of the dwellinghouse </w:t>
            </w:r>
            <w:r w:rsidRPr="0065737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however it would </w:t>
            </w:r>
            <w:r w:rsidR="00C975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not exceed 3 metres in</w:t>
            </w:r>
            <w:r w:rsidRPr="0065737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height to the eaves </w:t>
            </w:r>
            <w:r w:rsidR="00C9751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when </w:t>
            </w:r>
            <w:r w:rsidRPr="0065737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measured from </w:t>
            </w:r>
            <w:r w:rsidRPr="0065737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ground level.</w:t>
            </w:r>
          </w:p>
          <w:p w14:paraId="51F8135A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350B5789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0F29F592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BE8A80" w14:textId="77777777" w:rsidR="00C543B9" w:rsidRPr="00A50DF8" w:rsidRDefault="00C543B9" w:rsidP="00BD6393">
            <w:pPr>
              <w:pStyle w:val="Header"/>
              <w:tabs>
                <w:tab w:val="left" w:pos="720"/>
              </w:tabs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(i) exceed 4 metres in height, </w:t>
            </w:r>
          </w:p>
          <w:p w14:paraId="43D42DA3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E79796" w14:textId="77777777" w:rsidR="00C543B9" w:rsidRPr="00A50DF8" w:rsidRDefault="00C543B9" w:rsidP="00BD6393">
            <w:pPr>
              <w:pStyle w:val="Header"/>
              <w:tabs>
                <w:tab w:val="left" w:pos="720"/>
              </w:tabs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(ii) have more than one storey, or </w:t>
            </w:r>
          </w:p>
          <w:p w14:paraId="78AF395E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7538D038" w14:textId="77777777" w:rsidR="00C543B9" w:rsidRPr="00A50DF8" w:rsidRDefault="00C543B9" w:rsidP="00BD6393">
            <w:pPr>
              <w:pStyle w:val="Header"/>
              <w:tabs>
                <w:tab w:val="left" w:pos="720"/>
              </w:tabs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(iii) have a width greater than half the width of the original dwellinghouse; or </w:t>
            </w:r>
          </w:p>
          <w:p w14:paraId="1F98E4F7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48B81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(k) it would consist of or include— </w:t>
            </w:r>
          </w:p>
          <w:p w14:paraId="28B8C169" w14:textId="77777777" w:rsidR="00C543B9" w:rsidRPr="00A50DF8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E0A20D" w14:textId="77777777" w:rsidR="00C543B9" w:rsidRPr="00A50DF8" w:rsidRDefault="00C543B9" w:rsidP="00BD6393">
            <w:pPr>
              <w:pStyle w:val="Header"/>
              <w:tabs>
                <w:tab w:val="left" w:pos="720"/>
              </w:tabs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(i) the construction or provision of a veranda, balcony or raised platform, </w:t>
            </w:r>
          </w:p>
          <w:p w14:paraId="0EB59C73" w14:textId="77777777" w:rsidR="00C543B9" w:rsidRPr="00A50DF8" w:rsidRDefault="00C543B9" w:rsidP="00BD6393">
            <w:pPr>
              <w:pStyle w:val="Header"/>
              <w:tabs>
                <w:tab w:val="left" w:pos="720"/>
              </w:tabs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FA571" w14:textId="77777777" w:rsidR="00C543B9" w:rsidRPr="00A50DF8" w:rsidRDefault="00C543B9" w:rsidP="00BD6393">
            <w:pPr>
              <w:pStyle w:val="Header"/>
              <w:tabs>
                <w:tab w:val="left" w:pos="720"/>
              </w:tabs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(ii) the installation, alteration or replacement of a microwave antenna, </w:t>
            </w:r>
          </w:p>
          <w:p w14:paraId="6CBACCB2" w14:textId="77777777" w:rsidR="00C543B9" w:rsidRPr="00A50DF8" w:rsidRDefault="00C543B9" w:rsidP="00BD6393">
            <w:pPr>
              <w:pStyle w:val="Header"/>
              <w:tabs>
                <w:tab w:val="left" w:pos="720"/>
              </w:tabs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4BB10A" w14:textId="77777777" w:rsidR="00C543B9" w:rsidRPr="00A50DF8" w:rsidRDefault="00C543B9" w:rsidP="00BD6393">
            <w:pPr>
              <w:pStyle w:val="Header"/>
              <w:tabs>
                <w:tab w:val="left" w:pos="720"/>
              </w:tabs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DF8">
              <w:rPr>
                <w:rFonts w:asciiTheme="minorHAnsi" w:hAnsiTheme="minorHAnsi" w:cstheme="minorHAnsi"/>
                <w:sz w:val="22"/>
                <w:szCs w:val="22"/>
              </w:rPr>
              <w:t xml:space="preserve">(iii) the installation, alteration or replacement of a chimney, flue or soil and vent pipe, or </w:t>
            </w:r>
          </w:p>
          <w:p w14:paraId="53D3A785" w14:textId="77777777" w:rsidR="00C543B9" w:rsidRPr="00A50DF8" w:rsidRDefault="00C543B9" w:rsidP="00BD6393">
            <w:pPr>
              <w:pStyle w:val="Header"/>
              <w:tabs>
                <w:tab w:val="left" w:pos="720"/>
              </w:tabs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CE7FD1" w14:textId="32769D0C" w:rsidR="00C543B9" w:rsidRPr="00A668A4" w:rsidRDefault="00C543B9" w:rsidP="00BD6393">
            <w:pPr>
              <w:pStyle w:val="Header"/>
              <w:tabs>
                <w:tab w:val="left" w:pos="720"/>
              </w:tabs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68A4">
              <w:rPr>
                <w:rFonts w:asciiTheme="minorHAnsi" w:hAnsiTheme="minorHAnsi" w:cstheme="minorHAnsi"/>
                <w:sz w:val="22"/>
                <w:szCs w:val="22"/>
              </w:rPr>
              <w:t>(iv) an alteration to any part of the roof of the dwellinghouse.</w:t>
            </w:r>
          </w:p>
          <w:p w14:paraId="020A615A" w14:textId="77777777" w:rsidR="00C543B9" w:rsidRPr="00A668A4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634566E0" w14:textId="4404EF55" w:rsidR="00C543B9" w:rsidRPr="00A668A4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A668A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The proposed single storey extension would not extend beyond a wall forming a side elevation of the original dwellinghouse</w:t>
            </w:r>
            <w:r w:rsidR="00A668A4" w:rsidRPr="00A668A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.</w:t>
            </w:r>
          </w:p>
          <w:p w14:paraId="78888D85" w14:textId="77777777" w:rsidR="00C543B9" w:rsidRPr="00CC7A54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53AC90FF" w14:textId="5AD3BDF1" w:rsidR="00C543B9" w:rsidRDefault="00C543B9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60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building is not within a World Heritage Site, a National Park, an area of outstanding natural beauty or the Broads. </w:t>
            </w:r>
          </w:p>
          <w:p w14:paraId="082AAFE7" w14:textId="77777777" w:rsidR="00A033A1" w:rsidRPr="00A033A1" w:rsidRDefault="00A033A1" w:rsidP="00457A45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80BBFF" w14:textId="324E0F21" w:rsidR="00A033A1" w:rsidRPr="00A033A1" w:rsidRDefault="00C543B9" w:rsidP="00A033A1">
            <w:pPr>
              <w:pStyle w:val="Header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B330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Adjoining neighbours have been informed of the proposal and no objections have been received from the occupier of the adjacent properties. </w:t>
            </w:r>
            <w:r w:rsidR="00F704BE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T</w:t>
            </w:r>
            <w:r w:rsidR="008940A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he materials to be used in external works as shown on proposed plans </w:t>
            </w:r>
            <w:r w:rsidR="00F704BE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will also match</w:t>
            </w:r>
            <w:r w:rsidR="008940A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the existing dwellinghouse and therefore </w:t>
            </w:r>
            <w:r w:rsidR="00F704BE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b</w:t>
            </w:r>
            <w:r w:rsidR="00A033A1">
              <w:rPr>
                <w:rFonts w:ascii="Calibri" w:hAnsi="Calibri"/>
                <w:sz w:val="22"/>
                <w:szCs w:val="22"/>
                <w:lang w:val="en-GB"/>
              </w:rPr>
              <w:t xml:space="preserve">ased on the above it is deemed that the </w:t>
            </w:r>
            <w:r w:rsidR="00A033A1" w:rsidRPr="00F53111">
              <w:rPr>
                <w:rFonts w:ascii="Calibri" w:hAnsi="Calibri"/>
                <w:sz w:val="22"/>
                <w:szCs w:val="22"/>
              </w:rPr>
              <w:t>proposal meets the criteria to be permitted development</w:t>
            </w:r>
            <w:r w:rsidR="00A033A1">
              <w:rPr>
                <w:rFonts w:ascii="Calibri" w:hAnsi="Calibri"/>
                <w:sz w:val="22"/>
                <w:szCs w:val="22"/>
                <w:lang w:val="en-GB"/>
              </w:rPr>
              <w:t xml:space="preserve"> and </w:t>
            </w:r>
            <w:r w:rsidR="00A033A1" w:rsidRPr="00F53111">
              <w:rPr>
                <w:rFonts w:ascii="Calibri" w:hAnsi="Calibri"/>
                <w:sz w:val="22"/>
                <w:szCs w:val="22"/>
              </w:rPr>
              <w:t xml:space="preserve">it is recommended that </w:t>
            </w:r>
            <w:r w:rsidR="00A033A1">
              <w:rPr>
                <w:rFonts w:ascii="Calibri" w:hAnsi="Calibri"/>
                <w:sz w:val="22"/>
                <w:szCs w:val="22"/>
                <w:lang w:val="en-GB"/>
              </w:rPr>
              <w:t xml:space="preserve">prior approval is </w:t>
            </w:r>
            <w:r w:rsidR="005B61BE">
              <w:rPr>
                <w:rFonts w:ascii="Calibri" w:hAnsi="Calibri"/>
                <w:sz w:val="22"/>
                <w:szCs w:val="22"/>
                <w:lang w:val="en-GB"/>
              </w:rPr>
              <w:t>granted</w:t>
            </w:r>
            <w:r w:rsidR="00A033A1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  <w:p w14:paraId="1B5D0889" w14:textId="77777777" w:rsidR="00C543B9" w:rsidRPr="00A50DF8" w:rsidRDefault="00C543B9" w:rsidP="00457A45">
            <w:pPr>
              <w:contextualSpacing/>
              <w:jc w:val="both"/>
              <w:rPr>
                <w:rFonts w:asciiTheme="minorHAnsi" w:hAnsiTheme="minorHAnsi" w:cstheme="minorHAnsi"/>
                <w:b/>
                <w:color w:val="548DD4"/>
                <w:szCs w:val="22"/>
              </w:rPr>
            </w:pPr>
          </w:p>
        </w:tc>
      </w:tr>
      <w:tr w:rsidR="00C543B9" w:rsidRPr="00A50DF8" w14:paraId="176F2652" w14:textId="77777777" w:rsidTr="003026A7">
        <w:trPr>
          <w:jc w:val="center"/>
        </w:trPr>
        <w:tc>
          <w:tcPr>
            <w:tcW w:w="21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A9B95C" w14:textId="77777777" w:rsidR="00C543B9" w:rsidRPr="00520FED" w:rsidRDefault="00C543B9" w:rsidP="00457A4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20FED">
              <w:rPr>
                <w:rFonts w:asciiTheme="minorHAnsi" w:hAnsiTheme="minorHAnsi" w:cstheme="minorHAnsi"/>
                <w:b/>
                <w:szCs w:val="22"/>
              </w:rPr>
              <w:lastRenderedPageBreak/>
              <w:t>RECOMMENDATION</w:t>
            </w:r>
            <w:r w:rsidRPr="00520FED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719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38BB1E" w14:textId="7D818640" w:rsidR="00C543B9" w:rsidRPr="00520FED" w:rsidRDefault="00C543B9" w:rsidP="00457A45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520FED">
              <w:rPr>
                <w:rFonts w:asciiTheme="minorHAnsi" w:hAnsiTheme="minorHAnsi" w:cstheme="minorHAnsi"/>
                <w:bCs/>
                <w:szCs w:val="22"/>
              </w:rPr>
              <w:t xml:space="preserve">That prior approval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is </w:t>
            </w:r>
            <w:r w:rsidR="005B61BE">
              <w:rPr>
                <w:rFonts w:asciiTheme="minorHAnsi" w:hAnsiTheme="minorHAnsi" w:cstheme="minorHAnsi"/>
                <w:bCs/>
                <w:szCs w:val="22"/>
              </w:rPr>
              <w:t>granted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</w:tbl>
    <w:p w14:paraId="4FDCBC8E" w14:textId="77777777" w:rsidR="00C543B9" w:rsidRDefault="00C543B9"/>
    <w:sectPr w:rsidR="00C54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5B83" w14:textId="77777777" w:rsidR="003026A7" w:rsidRDefault="003026A7" w:rsidP="003026A7">
      <w:r>
        <w:separator/>
      </w:r>
    </w:p>
  </w:endnote>
  <w:endnote w:type="continuationSeparator" w:id="0">
    <w:p w14:paraId="4AB4910E" w14:textId="77777777" w:rsidR="003026A7" w:rsidRDefault="003026A7" w:rsidP="0030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F066" w14:textId="77777777" w:rsidR="003026A7" w:rsidRDefault="003026A7" w:rsidP="003026A7">
      <w:r>
        <w:separator/>
      </w:r>
    </w:p>
  </w:footnote>
  <w:footnote w:type="continuationSeparator" w:id="0">
    <w:p w14:paraId="17797019" w14:textId="77777777" w:rsidR="003026A7" w:rsidRDefault="003026A7" w:rsidP="00302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B9"/>
    <w:rsid w:val="00102F08"/>
    <w:rsid w:val="00185F16"/>
    <w:rsid w:val="003026A7"/>
    <w:rsid w:val="00395E0E"/>
    <w:rsid w:val="003D775C"/>
    <w:rsid w:val="00402FDF"/>
    <w:rsid w:val="004F7367"/>
    <w:rsid w:val="005B61BE"/>
    <w:rsid w:val="0065737F"/>
    <w:rsid w:val="006878CA"/>
    <w:rsid w:val="006B57E4"/>
    <w:rsid w:val="006F5D65"/>
    <w:rsid w:val="007A1110"/>
    <w:rsid w:val="007F49E1"/>
    <w:rsid w:val="008940A2"/>
    <w:rsid w:val="00926982"/>
    <w:rsid w:val="00977FEA"/>
    <w:rsid w:val="00A033A1"/>
    <w:rsid w:val="00A668A4"/>
    <w:rsid w:val="00A95E29"/>
    <w:rsid w:val="00AC3A90"/>
    <w:rsid w:val="00BD6393"/>
    <w:rsid w:val="00C543B9"/>
    <w:rsid w:val="00C9751B"/>
    <w:rsid w:val="00DB185B"/>
    <w:rsid w:val="00DE7095"/>
    <w:rsid w:val="00E21B39"/>
    <w:rsid w:val="00ED37A9"/>
    <w:rsid w:val="00F509CC"/>
    <w:rsid w:val="00F704BE"/>
    <w:rsid w:val="00F711B5"/>
    <w:rsid w:val="00FC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A9090"/>
  <w15:chartTrackingRefBased/>
  <w15:docId w15:val="{3986DDCB-8524-42CB-BB44-DA22CC4E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NNING">
    <w:name w:val="PLANNING"/>
    <w:basedOn w:val="Normal"/>
    <w:rsid w:val="00C543B9"/>
    <w:pPr>
      <w:jc w:val="both"/>
    </w:pPr>
  </w:style>
  <w:style w:type="paragraph" w:styleId="Header">
    <w:name w:val="header"/>
    <w:basedOn w:val="Normal"/>
    <w:link w:val="HeaderChar"/>
    <w:rsid w:val="00C543B9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C543B9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026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6A7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0C52-1732-4BB2-95CB-5B9019DB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 Waleczek</dc:creator>
  <cp:keywords/>
  <dc:description/>
  <cp:lastModifiedBy>Jane Tucker</cp:lastModifiedBy>
  <cp:revision>2</cp:revision>
  <cp:lastPrinted>2022-08-03T12:45:00Z</cp:lastPrinted>
  <dcterms:created xsi:type="dcterms:W3CDTF">2022-08-03T12:46:00Z</dcterms:created>
  <dcterms:modified xsi:type="dcterms:W3CDTF">2022-08-03T12:46:00Z</dcterms:modified>
</cp:coreProperties>
</file>