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895"/>
        <w:gridCol w:w="443"/>
        <w:gridCol w:w="238"/>
        <w:gridCol w:w="2925"/>
        <w:gridCol w:w="1001"/>
        <w:gridCol w:w="2551"/>
      </w:tblGrid>
      <w:tr w:rsidR="00E72253" w14:paraId="2A8B6163" w14:textId="77777777" w:rsidTr="00DC460C">
        <w:trPr>
          <w:jc w:val="center"/>
        </w:trPr>
        <w:tc>
          <w:tcPr>
            <w:tcW w:w="23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7C3FECA" w14:textId="77777777" w:rsidR="00E72253" w:rsidRDefault="00E72253" w:rsidP="00512411">
            <w:pPr>
              <w:rPr>
                <w:rFonts w:ascii="Calibri" w:hAnsi="Calibri"/>
                <w:b/>
              </w:rPr>
            </w:pPr>
            <w:r>
              <w:rPr>
                <w:rFonts w:ascii="Calibri" w:hAnsi="Calibri"/>
                <w:b/>
              </w:rPr>
              <w:t>Application Ref:</w:t>
            </w:r>
          </w:p>
        </w:tc>
        <w:tc>
          <w:tcPr>
            <w:tcW w:w="36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27734" w14:textId="7469AE92" w:rsidR="00E72253" w:rsidRDefault="00E72253" w:rsidP="00512411">
            <w:pPr>
              <w:rPr>
                <w:rFonts w:ascii="Calibri" w:hAnsi="Calibri"/>
              </w:rPr>
            </w:pPr>
            <w:r>
              <w:rPr>
                <w:rFonts w:ascii="Calibri" w:hAnsi="Calibri"/>
              </w:rPr>
              <w:t>3/2022/0</w:t>
            </w:r>
            <w:r w:rsidR="00DC460C">
              <w:rPr>
                <w:rFonts w:ascii="Calibri" w:hAnsi="Calibri"/>
              </w:rPr>
              <w:t>648</w:t>
            </w:r>
          </w:p>
        </w:tc>
        <w:tc>
          <w:tcPr>
            <w:tcW w:w="355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073EE57" w14:textId="77777777" w:rsidR="00E72253" w:rsidRDefault="00E72253" w:rsidP="00512411">
            <w:pPr>
              <w:rPr>
                <w:rFonts w:ascii="Calibri" w:hAnsi="Calibri"/>
                <w:szCs w:val="22"/>
              </w:rPr>
            </w:pPr>
            <w:r>
              <w:rPr>
                <w:noProof/>
              </w:rPr>
              <w:drawing>
                <wp:anchor distT="0" distB="0" distL="114300" distR="114300" simplePos="0" relativeHeight="251659264" behindDoc="0" locked="0" layoutInCell="1" allowOverlap="1" wp14:anchorId="0C34B1F6" wp14:editId="5C9BEC74">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E72253" w14:paraId="463AB016" w14:textId="77777777" w:rsidTr="00DC460C">
        <w:trPr>
          <w:jc w:val="center"/>
        </w:trPr>
        <w:tc>
          <w:tcPr>
            <w:tcW w:w="23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023EE74" w14:textId="77777777" w:rsidR="00E72253" w:rsidRPr="00491C39" w:rsidRDefault="00E72253" w:rsidP="00512411">
            <w:pPr>
              <w:rPr>
                <w:rFonts w:ascii="Calibri" w:hAnsi="Calibri"/>
                <w:b/>
              </w:rPr>
            </w:pPr>
            <w:r w:rsidRPr="00491C39">
              <w:rPr>
                <w:rFonts w:ascii="Calibri" w:hAnsi="Calibri"/>
                <w:b/>
              </w:rPr>
              <w:t>Date Inspected:</w:t>
            </w:r>
          </w:p>
        </w:tc>
        <w:tc>
          <w:tcPr>
            <w:tcW w:w="36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7FA9AA" w14:textId="4F512606" w:rsidR="00E72253" w:rsidRPr="00491C39" w:rsidRDefault="00DC460C" w:rsidP="00512411">
            <w:pPr>
              <w:rPr>
                <w:rFonts w:ascii="Calibri" w:hAnsi="Calibri"/>
              </w:rPr>
            </w:pPr>
            <w:r>
              <w:rPr>
                <w:rFonts w:ascii="Calibri" w:hAnsi="Calibri"/>
              </w:rPr>
              <w:t>07/09/2022</w:t>
            </w:r>
          </w:p>
        </w:tc>
        <w:tc>
          <w:tcPr>
            <w:tcW w:w="355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9CAA35" w14:textId="77777777" w:rsidR="00E72253" w:rsidRDefault="00E72253" w:rsidP="00512411">
            <w:pPr>
              <w:overflowPunct/>
              <w:autoSpaceDE/>
              <w:autoSpaceDN/>
              <w:adjustRightInd/>
              <w:rPr>
                <w:rFonts w:ascii="Calibri" w:hAnsi="Calibri"/>
                <w:szCs w:val="22"/>
              </w:rPr>
            </w:pPr>
          </w:p>
        </w:tc>
      </w:tr>
      <w:tr w:rsidR="00E72253" w14:paraId="0B4F089E" w14:textId="77777777" w:rsidTr="00DC460C">
        <w:trPr>
          <w:jc w:val="center"/>
        </w:trPr>
        <w:tc>
          <w:tcPr>
            <w:tcW w:w="23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48206FF" w14:textId="77777777" w:rsidR="00E72253" w:rsidRDefault="00E72253" w:rsidP="00512411">
            <w:pPr>
              <w:rPr>
                <w:rFonts w:ascii="Calibri" w:hAnsi="Calibri"/>
                <w:b/>
              </w:rPr>
            </w:pPr>
            <w:r>
              <w:rPr>
                <w:rFonts w:ascii="Calibri" w:hAnsi="Calibri"/>
                <w:b/>
              </w:rPr>
              <w:t>Officer:</w:t>
            </w:r>
          </w:p>
        </w:tc>
        <w:tc>
          <w:tcPr>
            <w:tcW w:w="36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337A9" w14:textId="4397B456" w:rsidR="00E72253" w:rsidRPr="00E72253" w:rsidRDefault="0000203C" w:rsidP="00512411">
            <w:pPr>
              <w:rPr>
                <w:rFonts w:ascii="Calibri" w:hAnsi="Calibri"/>
                <w:bCs/>
              </w:rPr>
            </w:pPr>
            <w:r>
              <w:rPr>
                <w:rFonts w:ascii="Calibri" w:hAnsi="Calibri"/>
                <w:bCs/>
              </w:rPr>
              <w:t>MW</w:t>
            </w:r>
          </w:p>
        </w:tc>
        <w:tc>
          <w:tcPr>
            <w:tcW w:w="355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8B0BC2" w14:textId="77777777" w:rsidR="00E72253" w:rsidRDefault="00E72253" w:rsidP="00512411">
            <w:pPr>
              <w:overflowPunct/>
              <w:autoSpaceDE/>
              <w:autoSpaceDN/>
              <w:adjustRightInd/>
              <w:rPr>
                <w:rFonts w:ascii="Calibri" w:hAnsi="Calibri"/>
                <w:szCs w:val="22"/>
              </w:rPr>
            </w:pPr>
          </w:p>
        </w:tc>
      </w:tr>
      <w:tr w:rsidR="00E72253" w:rsidRPr="00E825F3" w14:paraId="66B8F41A" w14:textId="77777777" w:rsidTr="00DC460C">
        <w:trPr>
          <w:jc w:val="center"/>
        </w:trPr>
        <w:tc>
          <w:tcPr>
            <w:tcW w:w="594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20A4187" w14:textId="77777777" w:rsidR="00E72253" w:rsidRDefault="00E72253" w:rsidP="00512411">
            <w:pPr>
              <w:rPr>
                <w:rFonts w:ascii="Calibri" w:hAnsi="Calibri"/>
                <w:b/>
              </w:rPr>
            </w:pPr>
            <w:r>
              <w:rPr>
                <w:rFonts w:ascii="Calibri" w:hAnsi="Calibri"/>
                <w:b/>
              </w:rPr>
              <w:t xml:space="preserve">DELEGATED ITEM FILE REPORT: </w:t>
            </w:r>
          </w:p>
        </w:tc>
        <w:tc>
          <w:tcPr>
            <w:tcW w:w="1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80D7B9" w14:textId="77777777" w:rsidR="00E72253" w:rsidRPr="00491C39" w:rsidRDefault="00E72253" w:rsidP="00512411">
            <w:pPr>
              <w:rPr>
                <w:rFonts w:ascii="Calibri" w:hAnsi="Calibri"/>
                <w:b/>
              </w:rPr>
            </w:pPr>
            <w:r w:rsidRPr="00491C39">
              <w:rPr>
                <w:rFonts w:ascii="Calibri" w:hAnsi="Calibri"/>
                <w:b/>
              </w:rPr>
              <w:t>Decision</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E09B76" w14:textId="457A9635" w:rsidR="00E72253" w:rsidRPr="00491C39" w:rsidRDefault="0000203C" w:rsidP="00512411">
            <w:pPr>
              <w:jc w:val="center"/>
              <w:rPr>
                <w:rFonts w:ascii="Calibri" w:hAnsi="Calibri"/>
                <w:b/>
              </w:rPr>
            </w:pPr>
            <w:r>
              <w:rPr>
                <w:rFonts w:ascii="Calibri" w:hAnsi="Calibri"/>
                <w:b/>
              </w:rPr>
              <w:t>R</w:t>
            </w:r>
            <w:r w:rsidR="001A7AF4">
              <w:rPr>
                <w:rFonts w:ascii="Calibri" w:hAnsi="Calibri"/>
                <w:b/>
              </w:rPr>
              <w:t>EFUSAL</w:t>
            </w:r>
          </w:p>
        </w:tc>
      </w:tr>
      <w:tr w:rsidR="00E72253" w14:paraId="2F860F4B" w14:textId="77777777" w:rsidTr="00DC460C">
        <w:trPr>
          <w:trHeight w:val="144"/>
          <w:jc w:val="center"/>
        </w:trPr>
        <w:tc>
          <w:tcPr>
            <w:tcW w:w="9493" w:type="dxa"/>
            <w:gridSpan w:val="7"/>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0797B8F" w14:textId="77777777" w:rsidR="00E72253" w:rsidRDefault="00E72253" w:rsidP="00512411">
            <w:pPr>
              <w:tabs>
                <w:tab w:val="left" w:pos="4007"/>
              </w:tabs>
              <w:rPr>
                <w:rFonts w:ascii="Calibri" w:hAnsi="Calibri"/>
                <w:b/>
                <w:sz w:val="4"/>
                <w:szCs w:val="4"/>
              </w:rPr>
            </w:pPr>
          </w:p>
        </w:tc>
      </w:tr>
      <w:tr w:rsidR="00E72253" w14:paraId="03914FDB" w14:textId="77777777" w:rsidTr="00DC460C">
        <w:trPr>
          <w:jc w:val="center"/>
        </w:trPr>
        <w:tc>
          <w:tcPr>
            <w:tcW w:w="3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5056AC4" w14:textId="77777777" w:rsidR="00E72253" w:rsidRDefault="00E72253" w:rsidP="00512411">
            <w:pPr>
              <w:rPr>
                <w:rFonts w:ascii="Calibri" w:hAnsi="Calibri"/>
                <w:b/>
                <w:szCs w:val="22"/>
              </w:rPr>
            </w:pPr>
            <w:r>
              <w:rPr>
                <w:rFonts w:ascii="Calibri" w:hAnsi="Calibri"/>
                <w:b/>
              </w:rPr>
              <w:t>Development Description:</w:t>
            </w:r>
          </w:p>
        </w:tc>
        <w:tc>
          <w:tcPr>
            <w:tcW w:w="64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DDB5B8" w14:textId="5FE83EB6" w:rsidR="00E72253" w:rsidRDefault="00E72253" w:rsidP="00512411">
            <w:pPr>
              <w:rPr>
                <w:rFonts w:asciiTheme="minorHAnsi" w:hAnsiTheme="minorHAnsi" w:cstheme="minorHAnsi"/>
                <w:color w:val="000000" w:themeColor="text1"/>
              </w:rPr>
            </w:pPr>
            <w:r>
              <w:rPr>
                <w:rFonts w:asciiTheme="minorHAnsi" w:hAnsiTheme="minorHAnsi" w:cstheme="minorHAnsi"/>
                <w:color w:val="000000" w:themeColor="text1"/>
              </w:rPr>
              <w:t xml:space="preserve">Proposed </w:t>
            </w:r>
            <w:r w:rsidR="00DC460C">
              <w:rPr>
                <w:rFonts w:asciiTheme="minorHAnsi" w:hAnsiTheme="minorHAnsi" w:cstheme="minorHAnsi"/>
                <w:color w:val="000000" w:themeColor="text1"/>
              </w:rPr>
              <w:t>replacement of existing UPVC conservatory with a painted wood orangery.</w:t>
            </w:r>
            <w:r>
              <w:rPr>
                <w:rFonts w:asciiTheme="minorHAnsi" w:hAnsiTheme="minorHAnsi" w:cstheme="minorHAnsi"/>
                <w:color w:val="000000" w:themeColor="text1"/>
              </w:rPr>
              <w:t xml:space="preserve"> </w:t>
            </w:r>
          </w:p>
        </w:tc>
      </w:tr>
      <w:tr w:rsidR="00E72253" w14:paraId="7D261E84" w14:textId="77777777" w:rsidTr="00DC460C">
        <w:trPr>
          <w:jc w:val="center"/>
        </w:trPr>
        <w:tc>
          <w:tcPr>
            <w:tcW w:w="3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8B12958" w14:textId="77777777" w:rsidR="00E72253" w:rsidRDefault="00E72253" w:rsidP="00512411">
            <w:pPr>
              <w:rPr>
                <w:rFonts w:ascii="Calibri" w:hAnsi="Calibri"/>
                <w:b/>
              </w:rPr>
            </w:pPr>
            <w:r>
              <w:rPr>
                <w:rFonts w:ascii="Calibri" w:hAnsi="Calibri"/>
                <w:b/>
              </w:rPr>
              <w:t>Site Address/Location:</w:t>
            </w:r>
          </w:p>
        </w:tc>
        <w:tc>
          <w:tcPr>
            <w:tcW w:w="64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8C1C4A" w14:textId="0731001F" w:rsidR="00E72253" w:rsidRPr="00E72253" w:rsidRDefault="00DC460C" w:rsidP="00512411">
            <w:pPr>
              <w:rPr>
                <w:rFonts w:ascii="Calibri" w:hAnsi="Calibri"/>
                <w:szCs w:val="22"/>
              </w:rPr>
            </w:pPr>
            <w:r>
              <w:rPr>
                <w:rFonts w:ascii="Calibri" w:hAnsi="Calibri"/>
                <w:szCs w:val="22"/>
              </w:rPr>
              <w:t>Nethergill Barn Main Street Bolton-By-Bowland BB7 4NW</w:t>
            </w:r>
          </w:p>
        </w:tc>
      </w:tr>
      <w:tr w:rsidR="00E72253" w14:paraId="1D969CA8" w14:textId="77777777" w:rsidTr="00DC460C">
        <w:trPr>
          <w:trHeight w:val="144"/>
          <w:jc w:val="center"/>
        </w:trPr>
        <w:tc>
          <w:tcPr>
            <w:tcW w:w="9493" w:type="dxa"/>
            <w:gridSpan w:val="7"/>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3A6DB3C7" w14:textId="77777777" w:rsidR="00E72253" w:rsidRDefault="00E72253" w:rsidP="00512411">
            <w:pPr>
              <w:tabs>
                <w:tab w:val="left" w:pos="2667"/>
              </w:tabs>
              <w:rPr>
                <w:rFonts w:ascii="Calibri" w:hAnsi="Calibri"/>
                <w:b/>
                <w:sz w:val="4"/>
                <w:szCs w:val="4"/>
              </w:rPr>
            </w:pPr>
          </w:p>
        </w:tc>
      </w:tr>
      <w:tr w:rsidR="00E72253" w:rsidRPr="000C72AD" w14:paraId="05A94E70" w14:textId="77777777" w:rsidTr="00DC460C">
        <w:trPr>
          <w:jc w:val="center"/>
        </w:trPr>
        <w:tc>
          <w:tcPr>
            <w:tcW w:w="3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60497D2" w14:textId="77777777" w:rsidR="00E72253" w:rsidRPr="003A6FDB" w:rsidRDefault="00E72253" w:rsidP="00512411">
            <w:pPr>
              <w:rPr>
                <w:rFonts w:ascii="Calibri" w:hAnsi="Calibri"/>
                <w:b/>
                <w:szCs w:val="22"/>
              </w:rPr>
            </w:pPr>
            <w:r w:rsidRPr="003A6FDB">
              <w:rPr>
                <w:rFonts w:ascii="Calibri" w:hAnsi="Calibri"/>
                <w:b/>
              </w:rPr>
              <w:t xml:space="preserve">CONSULTATIONS: </w:t>
            </w:r>
          </w:p>
        </w:tc>
        <w:tc>
          <w:tcPr>
            <w:tcW w:w="64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41355E" w14:textId="77777777" w:rsidR="00E72253" w:rsidRPr="000C72AD" w:rsidRDefault="00E72253" w:rsidP="00512411">
            <w:pPr>
              <w:rPr>
                <w:rFonts w:ascii="Calibri" w:hAnsi="Calibri"/>
                <w:b/>
              </w:rPr>
            </w:pPr>
            <w:r w:rsidRPr="000C72AD">
              <w:rPr>
                <w:rFonts w:ascii="Calibri" w:hAnsi="Calibri"/>
                <w:b/>
              </w:rPr>
              <w:t>Parish/Town Council</w:t>
            </w:r>
          </w:p>
        </w:tc>
      </w:tr>
      <w:tr w:rsidR="00E72253" w:rsidRPr="00E3262E" w14:paraId="78B25B8C" w14:textId="77777777" w:rsidTr="00DC460C">
        <w:trPr>
          <w:trHeight w:val="266"/>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B32D8C2" w14:textId="77777777" w:rsidR="00E72253" w:rsidRPr="003A6FDB" w:rsidRDefault="00E72253" w:rsidP="00512411">
            <w:pPr>
              <w:jc w:val="both"/>
              <w:rPr>
                <w:rFonts w:ascii="Calibri" w:hAnsi="Calibri"/>
              </w:rPr>
            </w:pPr>
            <w:r w:rsidRPr="003A6FDB">
              <w:rPr>
                <w:rFonts w:ascii="Calibri" w:hAnsi="Calibri"/>
              </w:rPr>
              <w:t xml:space="preserve">No comment received. </w:t>
            </w:r>
          </w:p>
        </w:tc>
      </w:tr>
      <w:tr w:rsidR="00E72253" w:rsidRPr="00E3262E" w14:paraId="5535B856" w14:textId="77777777" w:rsidTr="00DC460C">
        <w:trPr>
          <w:trHeight w:val="144"/>
          <w:jc w:val="center"/>
        </w:trPr>
        <w:tc>
          <w:tcPr>
            <w:tcW w:w="9493" w:type="dxa"/>
            <w:gridSpan w:val="7"/>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D6EF83A" w14:textId="77777777" w:rsidR="00E72253" w:rsidRPr="003A6FDB" w:rsidRDefault="00E72253" w:rsidP="00512411">
            <w:pPr>
              <w:jc w:val="both"/>
              <w:rPr>
                <w:rFonts w:ascii="Calibri" w:hAnsi="Calibri"/>
                <w:bCs/>
                <w:sz w:val="4"/>
                <w:szCs w:val="4"/>
              </w:rPr>
            </w:pPr>
          </w:p>
        </w:tc>
      </w:tr>
      <w:tr w:rsidR="00E72253" w:rsidRPr="000C72AD" w14:paraId="23143810" w14:textId="77777777" w:rsidTr="00DC460C">
        <w:trPr>
          <w:jc w:val="center"/>
        </w:trPr>
        <w:tc>
          <w:tcPr>
            <w:tcW w:w="3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B0F3015" w14:textId="77777777" w:rsidR="00E72253" w:rsidRPr="003A6FDB" w:rsidRDefault="00E72253" w:rsidP="00512411">
            <w:pPr>
              <w:jc w:val="both"/>
              <w:rPr>
                <w:rFonts w:ascii="Calibri" w:hAnsi="Calibri"/>
                <w:b/>
              </w:rPr>
            </w:pPr>
            <w:r w:rsidRPr="003A6FDB">
              <w:rPr>
                <w:rFonts w:ascii="Calibri" w:hAnsi="Calibri"/>
                <w:b/>
              </w:rPr>
              <w:t xml:space="preserve">CONSULTATIONS: </w:t>
            </w:r>
          </w:p>
        </w:tc>
        <w:tc>
          <w:tcPr>
            <w:tcW w:w="64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461AF" w14:textId="77777777" w:rsidR="00E72253" w:rsidRPr="000C72AD" w:rsidRDefault="00E72253" w:rsidP="00512411">
            <w:pPr>
              <w:jc w:val="both"/>
              <w:rPr>
                <w:rFonts w:ascii="Calibri" w:hAnsi="Calibri"/>
                <w:b/>
              </w:rPr>
            </w:pPr>
            <w:r w:rsidRPr="000C72AD">
              <w:rPr>
                <w:rFonts w:ascii="Calibri" w:hAnsi="Calibri"/>
                <w:b/>
              </w:rPr>
              <w:t>Additional Representations.</w:t>
            </w:r>
          </w:p>
        </w:tc>
      </w:tr>
      <w:tr w:rsidR="00E72253" w:rsidRPr="0008370E" w14:paraId="71D78F22" w14:textId="77777777" w:rsidTr="00DC460C">
        <w:trPr>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5394B0F" w14:textId="79F6D229" w:rsidR="001E5D6C" w:rsidRPr="00DC460C" w:rsidRDefault="00DC460C" w:rsidP="00DC460C">
            <w:pPr>
              <w:jc w:val="both"/>
              <w:rPr>
                <w:rFonts w:ascii="Calibri" w:hAnsi="Calibri"/>
                <w:bCs/>
              </w:rPr>
            </w:pPr>
            <w:r w:rsidRPr="00DC460C">
              <w:rPr>
                <w:rFonts w:ascii="Calibri" w:hAnsi="Calibri"/>
                <w:bCs/>
              </w:rPr>
              <w:t>None.</w:t>
            </w:r>
          </w:p>
          <w:p w14:paraId="59B78E36" w14:textId="71486BFA" w:rsidR="00E72253" w:rsidRPr="003A6FDB" w:rsidRDefault="00E72253" w:rsidP="00512411">
            <w:pPr>
              <w:jc w:val="both"/>
              <w:rPr>
                <w:rFonts w:ascii="Calibri" w:hAnsi="Calibri"/>
                <w:bCs/>
              </w:rPr>
            </w:pPr>
          </w:p>
        </w:tc>
      </w:tr>
      <w:tr w:rsidR="00E72253" w14:paraId="578A3EBE" w14:textId="77777777" w:rsidTr="00DC460C">
        <w:trPr>
          <w:trHeight w:val="144"/>
          <w:jc w:val="center"/>
        </w:trPr>
        <w:tc>
          <w:tcPr>
            <w:tcW w:w="9493" w:type="dxa"/>
            <w:gridSpan w:val="7"/>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59B07E1" w14:textId="77777777" w:rsidR="00E72253" w:rsidRDefault="00E72253" w:rsidP="00512411">
            <w:pPr>
              <w:jc w:val="both"/>
              <w:rPr>
                <w:rFonts w:ascii="Calibri" w:hAnsi="Calibri"/>
                <w:sz w:val="4"/>
                <w:szCs w:val="4"/>
              </w:rPr>
            </w:pPr>
          </w:p>
        </w:tc>
      </w:tr>
      <w:tr w:rsidR="00E72253" w14:paraId="2C39BF17" w14:textId="77777777" w:rsidTr="00DC460C">
        <w:trPr>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D95F08A" w14:textId="77777777" w:rsidR="00E72253" w:rsidRDefault="00E72253" w:rsidP="00512411">
            <w:pPr>
              <w:jc w:val="both"/>
              <w:rPr>
                <w:rFonts w:ascii="Calibri" w:hAnsi="Calibri"/>
                <w:b/>
                <w:szCs w:val="22"/>
              </w:rPr>
            </w:pPr>
            <w:r>
              <w:rPr>
                <w:rFonts w:ascii="Calibri" w:hAnsi="Calibri"/>
                <w:b/>
              </w:rPr>
              <w:t>RELEVANT POLICIES AND SITE PLANNING HISTORY:</w:t>
            </w:r>
          </w:p>
        </w:tc>
      </w:tr>
      <w:tr w:rsidR="00E72253" w14:paraId="76BBF47D" w14:textId="77777777" w:rsidTr="00DC460C">
        <w:trPr>
          <w:trHeight w:val="864"/>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BDCF005" w14:textId="77777777" w:rsidR="00DC460C" w:rsidRPr="00D2449B" w:rsidRDefault="00DC460C" w:rsidP="00DC460C">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45F0CEAD" w14:textId="77777777" w:rsidR="00DC460C" w:rsidRDefault="00DC460C" w:rsidP="00DC460C">
            <w:pPr>
              <w:rPr>
                <w:rFonts w:ascii="Calibri" w:hAnsi="Calibri"/>
                <w:b/>
                <w:szCs w:val="22"/>
              </w:rPr>
            </w:pPr>
          </w:p>
          <w:p w14:paraId="42359B0A" w14:textId="77777777" w:rsidR="00DC460C" w:rsidRPr="00C618DB" w:rsidRDefault="00DC460C" w:rsidP="00DC460C">
            <w:pPr>
              <w:pStyle w:val="PLANNING"/>
              <w:rPr>
                <w:rFonts w:ascii="Calibri" w:hAnsi="Calibri"/>
                <w:szCs w:val="22"/>
              </w:rPr>
            </w:pPr>
            <w:r w:rsidRPr="00C618DB">
              <w:rPr>
                <w:rFonts w:ascii="Calibri" w:hAnsi="Calibri"/>
                <w:szCs w:val="22"/>
              </w:rPr>
              <w:t>Key Statement DS1 – Development Strategy</w:t>
            </w:r>
          </w:p>
          <w:p w14:paraId="1D89A075" w14:textId="40D492C0" w:rsidR="00DC460C" w:rsidRDefault="00DC460C" w:rsidP="00DC460C">
            <w:pPr>
              <w:pStyle w:val="PLANNING"/>
              <w:rPr>
                <w:rFonts w:ascii="Calibri" w:hAnsi="Calibri"/>
                <w:szCs w:val="22"/>
              </w:rPr>
            </w:pPr>
            <w:r w:rsidRPr="00C618DB">
              <w:rPr>
                <w:rFonts w:ascii="Calibri" w:hAnsi="Calibri"/>
                <w:szCs w:val="22"/>
              </w:rPr>
              <w:t>Key Statement DS2 – Sustainable Development</w:t>
            </w:r>
          </w:p>
          <w:p w14:paraId="360EA3AC" w14:textId="340AEDD5" w:rsidR="001C1683" w:rsidRPr="00C618DB" w:rsidRDefault="001C1683" w:rsidP="00DC460C">
            <w:pPr>
              <w:pStyle w:val="PLANNING"/>
              <w:rPr>
                <w:rFonts w:ascii="Calibri" w:hAnsi="Calibri"/>
                <w:szCs w:val="22"/>
              </w:rPr>
            </w:pPr>
            <w:r>
              <w:rPr>
                <w:rFonts w:ascii="Calibri" w:hAnsi="Calibri"/>
                <w:szCs w:val="22"/>
              </w:rPr>
              <w:t>Key Statement EN2: Landscape</w:t>
            </w:r>
          </w:p>
          <w:p w14:paraId="43DD6978" w14:textId="77777777" w:rsidR="00DC460C" w:rsidRDefault="00DC460C" w:rsidP="00DC460C">
            <w:pPr>
              <w:jc w:val="both"/>
              <w:rPr>
                <w:rFonts w:ascii="Calibri" w:hAnsi="Calibri"/>
                <w:szCs w:val="22"/>
              </w:rPr>
            </w:pPr>
            <w:r>
              <w:rPr>
                <w:rFonts w:ascii="Calibri" w:hAnsi="Calibri"/>
                <w:szCs w:val="22"/>
              </w:rPr>
              <w:t>Key Statement EN5 – Heritage Assets</w:t>
            </w:r>
          </w:p>
          <w:p w14:paraId="2023E694" w14:textId="77777777" w:rsidR="00DC460C" w:rsidRPr="00C618DB" w:rsidRDefault="00DC460C" w:rsidP="00DC460C">
            <w:pPr>
              <w:pStyle w:val="PLANNING"/>
              <w:rPr>
                <w:rFonts w:ascii="Calibri" w:hAnsi="Calibri"/>
                <w:szCs w:val="22"/>
              </w:rPr>
            </w:pPr>
          </w:p>
          <w:p w14:paraId="1C518845" w14:textId="77777777" w:rsidR="00DC460C" w:rsidRPr="00C618DB" w:rsidRDefault="00DC460C" w:rsidP="00DC460C">
            <w:pPr>
              <w:pStyle w:val="PLANNING"/>
              <w:rPr>
                <w:rFonts w:ascii="Calibri" w:hAnsi="Calibri"/>
                <w:szCs w:val="22"/>
              </w:rPr>
            </w:pPr>
            <w:r w:rsidRPr="00C618DB">
              <w:rPr>
                <w:rFonts w:ascii="Calibri" w:hAnsi="Calibri"/>
                <w:szCs w:val="22"/>
              </w:rPr>
              <w:t>Policy DMG1 – General Considerations</w:t>
            </w:r>
          </w:p>
          <w:p w14:paraId="7EE583FF" w14:textId="77777777" w:rsidR="00DC460C" w:rsidRDefault="00DC460C" w:rsidP="00DC460C">
            <w:pPr>
              <w:pStyle w:val="PLANNING"/>
              <w:rPr>
                <w:rFonts w:ascii="Calibri" w:hAnsi="Calibri"/>
                <w:szCs w:val="22"/>
              </w:rPr>
            </w:pPr>
            <w:r w:rsidRPr="00C618DB">
              <w:rPr>
                <w:rFonts w:ascii="Calibri" w:hAnsi="Calibri"/>
                <w:szCs w:val="22"/>
              </w:rPr>
              <w:t>Policy DMG2 – Strategic Consideration</w:t>
            </w:r>
            <w:r>
              <w:rPr>
                <w:rFonts w:ascii="Calibri" w:hAnsi="Calibri"/>
                <w:szCs w:val="22"/>
              </w:rPr>
              <w:t>s</w:t>
            </w:r>
          </w:p>
          <w:p w14:paraId="4605D209" w14:textId="77777777" w:rsidR="00DC460C" w:rsidRPr="009B33DA" w:rsidRDefault="00DC460C" w:rsidP="00DC460C">
            <w:pPr>
              <w:jc w:val="both"/>
              <w:rPr>
                <w:rFonts w:ascii="Calibri" w:hAnsi="Calibri"/>
                <w:bCs/>
                <w:szCs w:val="22"/>
              </w:rPr>
            </w:pPr>
            <w:r>
              <w:rPr>
                <w:rFonts w:ascii="Calibri" w:hAnsi="Calibri"/>
                <w:bCs/>
                <w:szCs w:val="22"/>
              </w:rPr>
              <w:t>Policy DME4 – Protecting Heritage Assets</w:t>
            </w:r>
          </w:p>
          <w:p w14:paraId="68577B9C" w14:textId="77777777" w:rsidR="00DC460C" w:rsidRDefault="00DC460C" w:rsidP="00DC460C">
            <w:pPr>
              <w:pStyle w:val="PLANNING"/>
              <w:rPr>
                <w:rFonts w:ascii="Calibri" w:hAnsi="Calibri"/>
                <w:szCs w:val="22"/>
              </w:rPr>
            </w:pPr>
          </w:p>
          <w:p w14:paraId="7F2DEF6D" w14:textId="77777777" w:rsidR="00DC460C" w:rsidRPr="00433439" w:rsidRDefault="00DC460C" w:rsidP="00DC460C">
            <w:pPr>
              <w:pStyle w:val="PLANNING"/>
              <w:rPr>
                <w:rFonts w:ascii="Calibri" w:hAnsi="Calibri"/>
                <w:b/>
                <w:bCs/>
                <w:szCs w:val="22"/>
              </w:rPr>
            </w:pPr>
            <w:r w:rsidRPr="00433439">
              <w:rPr>
                <w:rFonts w:ascii="Calibri" w:hAnsi="Calibri"/>
                <w:b/>
                <w:bCs/>
                <w:szCs w:val="22"/>
              </w:rPr>
              <w:t>Planning (Listed Buildings and Conservation Areas) Act</w:t>
            </w:r>
          </w:p>
          <w:p w14:paraId="20472E0C" w14:textId="77777777" w:rsidR="00DC460C" w:rsidRPr="00433439" w:rsidRDefault="00DC460C" w:rsidP="00DC460C">
            <w:pPr>
              <w:pStyle w:val="PLANNING"/>
              <w:rPr>
                <w:rFonts w:ascii="Calibri" w:hAnsi="Calibri"/>
                <w:b/>
                <w:bCs/>
                <w:szCs w:val="22"/>
              </w:rPr>
            </w:pPr>
          </w:p>
          <w:p w14:paraId="65BE492A" w14:textId="77777777" w:rsidR="00DC460C" w:rsidRPr="00475D48" w:rsidRDefault="00DC460C" w:rsidP="00DC460C">
            <w:pPr>
              <w:rPr>
                <w:rFonts w:ascii="Calibri" w:hAnsi="Calibri"/>
                <w:b/>
                <w:bCs/>
                <w:szCs w:val="22"/>
              </w:rPr>
            </w:pPr>
            <w:r w:rsidRPr="00433439">
              <w:rPr>
                <w:rFonts w:ascii="Calibri" w:hAnsi="Calibri"/>
                <w:b/>
                <w:bCs/>
                <w:szCs w:val="22"/>
              </w:rPr>
              <w:t>National Planning Policy Framework (NPPF)</w:t>
            </w:r>
          </w:p>
          <w:p w14:paraId="588EBB80" w14:textId="3F8E9452" w:rsidR="00DC460C" w:rsidRPr="00DC460C" w:rsidRDefault="00DC460C" w:rsidP="00E02DD1">
            <w:pPr>
              <w:rPr>
                <w:rFonts w:ascii="Calibri" w:hAnsi="Calibri"/>
                <w:b/>
                <w:bCs/>
                <w:szCs w:val="22"/>
              </w:rPr>
            </w:pPr>
          </w:p>
        </w:tc>
      </w:tr>
      <w:tr w:rsidR="00E72253" w:rsidRPr="00144595" w14:paraId="47F7E62D" w14:textId="77777777" w:rsidTr="00DC460C">
        <w:trPr>
          <w:trHeight w:val="864"/>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39F5B32" w14:textId="4160C7CF" w:rsidR="00E72253" w:rsidRDefault="00E72253" w:rsidP="00512411">
            <w:pPr>
              <w:pStyle w:val="PLANNING"/>
              <w:rPr>
                <w:rFonts w:asciiTheme="minorHAnsi" w:hAnsiTheme="minorHAnsi" w:cstheme="minorHAnsi"/>
                <w:b/>
                <w:bCs/>
                <w:szCs w:val="22"/>
              </w:rPr>
            </w:pPr>
            <w:r w:rsidRPr="00DC6AFB">
              <w:rPr>
                <w:rFonts w:asciiTheme="minorHAnsi" w:hAnsiTheme="minorHAnsi" w:cstheme="minorHAnsi"/>
                <w:b/>
                <w:bCs/>
                <w:szCs w:val="22"/>
              </w:rPr>
              <w:t>Relevant Planning History</w:t>
            </w:r>
            <w:r>
              <w:rPr>
                <w:rFonts w:asciiTheme="minorHAnsi" w:hAnsiTheme="minorHAnsi" w:cstheme="minorHAnsi"/>
                <w:b/>
                <w:bCs/>
                <w:szCs w:val="22"/>
              </w:rPr>
              <w:t>:</w:t>
            </w:r>
          </w:p>
          <w:p w14:paraId="2216023E" w14:textId="77777777" w:rsidR="00E02DD1" w:rsidRDefault="00E02DD1" w:rsidP="00512411">
            <w:pPr>
              <w:pStyle w:val="PLANNING"/>
              <w:rPr>
                <w:rFonts w:asciiTheme="minorHAnsi" w:hAnsiTheme="minorHAnsi" w:cstheme="minorHAnsi"/>
                <w:b/>
                <w:bCs/>
                <w:szCs w:val="22"/>
              </w:rPr>
            </w:pPr>
          </w:p>
          <w:p w14:paraId="0A552578" w14:textId="2A317A95" w:rsidR="00A54D5D" w:rsidRDefault="00A54D5D" w:rsidP="00DC460C">
            <w:pPr>
              <w:pStyle w:val="PLANNING"/>
              <w:rPr>
                <w:rFonts w:asciiTheme="minorHAnsi" w:hAnsiTheme="minorHAnsi" w:cstheme="minorHAnsi"/>
                <w:szCs w:val="22"/>
              </w:rPr>
            </w:pPr>
            <w:r>
              <w:rPr>
                <w:rFonts w:asciiTheme="minorHAnsi" w:hAnsiTheme="minorHAnsi" w:cstheme="minorHAnsi"/>
                <w:szCs w:val="22"/>
              </w:rPr>
              <w:t xml:space="preserve">3/2004/0358 </w:t>
            </w:r>
            <w:r w:rsidR="002173EC">
              <w:rPr>
                <w:rFonts w:asciiTheme="minorHAnsi" w:hAnsiTheme="minorHAnsi" w:cstheme="minorHAnsi"/>
                <w:szCs w:val="22"/>
              </w:rPr>
              <w:t>–</w:t>
            </w:r>
            <w:r>
              <w:rPr>
                <w:rFonts w:asciiTheme="minorHAnsi" w:hAnsiTheme="minorHAnsi" w:cstheme="minorHAnsi"/>
                <w:szCs w:val="22"/>
              </w:rPr>
              <w:t xml:space="preserve"> </w:t>
            </w:r>
            <w:r w:rsidR="002173EC">
              <w:rPr>
                <w:rFonts w:asciiTheme="minorHAnsi" w:hAnsiTheme="minorHAnsi" w:cstheme="minorHAnsi"/>
                <w:szCs w:val="22"/>
              </w:rPr>
              <w:t xml:space="preserve">Proposed Kitchen Extension and Extension to Bedroom. </w:t>
            </w:r>
            <w:r w:rsidR="002173EC" w:rsidRPr="002173EC">
              <w:rPr>
                <w:rFonts w:asciiTheme="minorHAnsi" w:hAnsiTheme="minorHAnsi" w:cstheme="minorHAnsi"/>
                <w:b/>
                <w:bCs/>
                <w:szCs w:val="22"/>
              </w:rPr>
              <w:t>AC.</w:t>
            </w:r>
          </w:p>
          <w:p w14:paraId="1582B96C" w14:textId="77777777" w:rsidR="00A54D5D" w:rsidRDefault="00A54D5D" w:rsidP="00DC460C">
            <w:pPr>
              <w:pStyle w:val="PLANNING"/>
              <w:rPr>
                <w:rFonts w:asciiTheme="minorHAnsi" w:hAnsiTheme="minorHAnsi" w:cstheme="minorHAnsi"/>
                <w:szCs w:val="22"/>
              </w:rPr>
            </w:pPr>
          </w:p>
          <w:p w14:paraId="47A65C87" w14:textId="7F8B13C7" w:rsidR="00E27917" w:rsidRPr="00CF24BF" w:rsidRDefault="00CA6574" w:rsidP="00DC460C">
            <w:pPr>
              <w:pStyle w:val="PLANNING"/>
              <w:rPr>
                <w:rFonts w:asciiTheme="minorHAnsi" w:hAnsiTheme="minorHAnsi" w:cstheme="minorHAnsi"/>
                <w:szCs w:val="22"/>
              </w:rPr>
            </w:pPr>
            <w:r>
              <w:rPr>
                <w:rFonts w:asciiTheme="minorHAnsi" w:hAnsiTheme="minorHAnsi" w:cstheme="minorHAnsi"/>
                <w:szCs w:val="22"/>
              </w:rPr>
              <w:t xml:space="preserve">3/87/0690 – Change of Use of Barn to Dwelling. </w:t>
            </w:r>
            <w:r w:rsidRPr="00CA6574">
              <w:rPr>
                <w:rFonts w:asciiTheme="minorHAnsi" w:hAnsiTheme="minorHAnsi" w:cstheme="minorHAnsi"/>
                <w:b/>
                <w:bCs/>
                <w:szCs w:val="22"/>
              </w:rPr>
              <w:t>AC</w:t>
            </w:r>
          </w:p>
          <w:p w14:paraId="72CD45B3" w14:textId="11DF8963" w:rsidR="00DC460C" w:rsidRPr="00E02DD1" w:rsidRDefault="00DC460C" w:rsidP="00DC460C">
            <w:pPr>
              <w:pStyle w:val="PLANNING"/>
              <w:rPr>
                <w:rFonts w:ascii="Calibri" w:hAnsi="Calibri"/>
                <w:szCs w:val="22"/>
              </w:rPr>
            </w:pPr>
          </w:p>
        </w:tc>
      </w:tr>
      <w:tr w:rsidR="00E72253" w:rsidRPr="002D6A9F" w14:paraId="7D24EF39" w14:textId="77777777" w:rsidTr="00DC460C">
        <w:trPr>
          <w:trHeight w:val="144"/>
          <w:jc w:val="center"/>
        </w:trPr>
        <w:tc>
          <w:tcPr>
            <w:tcW w:w="9493" w:type="dxa"/>
            <w:gridSpan w:val="7"/>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C4639D2" w14:textId="77777777" w:rsidR="00E72253" w:rsidRPr="002D6A9F" w:rsidRDefault="00E72253" w:rsidP="00512411">
            <w:pPr>
              <w:rPr>
                <w:sz w:val="4"/>
                <w:szCs w:val="4"/>
                <w:highlight w:val="yellow"/>
              </w:rPr>
            </w:pPr>
          </w:p>
        </w:tc>
      </w:tr>
      <w:tr w:rsidR="00E72253" w:rsidRPr="002D6A9F" w14:paraId="7B0B8FBC" w14:textId="77777777" w:rsidTr="00DC460C">
        <w:trPr>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CFA57EB" w14:textId="77777777" w:rsidR="00E72253" w:rsidRPr="002D6A9F" w:rsidRDefault="00E72253" w:rsidP="00512411">
            <w:pPr>
              <w:jc w:val="both"/>
              <w:rPr>
                <w:rFonts w:ascii="Calibri" w:hAnsi="Calibri"/>
                <w:b/>
                <w:szCs w:val="22"/>
                <w:highlight w:val="yellow"/>
              </w:rPr>
            </w:pPr>
            <w:r w:rsidRPr="005B2010">
              <w:rPr>
                <w:rFonts w:ascii="Calibri" w:hAnsi="Calibri"/>
                <w:b/>
                <w:bCs/>
              </w:rPr>
              <w:t>ASSESSMENT OF PROPOSED DEVELOPMENT:</w:t>
            </w:r>
          </w:p>
        </w:tc>
      </w:tr>
      <w:tr w:rsidR="00E72253" w:rsidRPr="00DA05E4" w14:paraId="2B235B08" w14:textId="77777777" w:rsidTr="00DC460C">
        <w:trPr>
          <w:trHeight w:val="75"/>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5961670" w14:textId="0CB6EE63" w:rsidR="00E72253" w:rsidRDefault="00E72253" w:rsidP="00512411">
            <w:pPr>
              <w:pStyle w:val="Header"/>
              <w:tabs>
                <w:tab w:val="left" w:pos="720"/>
              </w:tabs>
              <w:jc w:val="both"/>
              <w:rPr>
                <w:rFonts w:ascii="Calibri" w:hAnsi="Calibri"/>
                <w:b/>
              </w:rPr>
            </w:pPr>
            <w:r w:rsidRPr="008C334C">
              <w:rPr>
                <w:rFonts w:ascii="Calibri" w:hAnsi="Calibri"/>
                <w:b/>
              </w:rPr>
              <w:t>Site Description and Location:</w:t>
            </w:r>
          </w:p>
          <w:p w14:paraId="60E4098E" w14:textId="77777777" w:rsidR="00E02DD1" w:rsidRPr="008C334C" w:rsidRDefault="00E02DD1" w:rsidP="00512411">
            <w:pPr>
              <w:pStyle w:val="Header"/>
              <w:tabs>
                <w:tab w:val="left" w:pos="720"/>
              </w:tabs>
              <w:jc w:val="both"/>
              <w:rPr>
                <w:rFonts w:ascii="Calibri" w:hAnsi="Calibri"/>
                <w:b/>
              </w:rPr>
            </w:pPr>
          </w:p>
          <w:p w14:paraId="6D0D8F62" w14:textId="1A862B0E" w:rsidR="001A3E12" w:rsidRDefault="00E72253" w:rsidP="00651E9F">
            <w:pPr>
              <w:pStyle w:val="Header"/>
              <w:tabs>
                <w:tab w:val="left" w:pos="720"/>
              </w:tabs>
              <w:jc w:val="both"/>
              <w:rPr>
                <w:rFonts w:ascii="Calibri" w:hAnsi="Calibri"/>
                <w:bCs/>
              </w:rPr>
            </w:pPr>
            <w:r>
              <w:rPr>
                <w:rFonts w:ascii="Calibri" w:hAnsi="Calibri"/>
                <w:bCs/>
              </w:rPr>
              <w:t>Th</w:t>
            </w:r>
            <w:r w:rsidR="001958B3">
              <w:rPr>
                <w:rFonts w:ascii="Calibri" w:hAnsi="Calibri"/>
                <w:bCs/>
              </w:rPr>
              <w:t>is</w:t>
            </w:r>
            <w:r>
              <w:rPr>
                <w:rFonts w:ascii="Calibri" w:hAnsi="Calibri"/>
                <w:bCs/>
              </w:rPr>
              <w:t xml:space="preserve"> application relates to a </w:t>
            </w:r>
            <w:r w:rsidR="00CF24BF">
              <w:rPr>
                <w:rFonts w:ascii="Calibri" w:hAnsi="Calibri"/>
                <w:bCs/>
              </w:rPr>
              <w:t>detached dwelling</w:t>
            </w:r>
            <w:r>
              <w:rPr>
                <w:rFonts w:ascii="Calibri" w:hAnsi="Calibri"/>
                <w:bCs/>
              </w:rPr>
              <w:t xml:space="preserve"> within the settlement boundary of </w:t>
            </w:r>
            <w:r w:rsidR="00CF24BF">
              <w:rPr>
                <w:rFonts w:ascii="Calibri" w:hAnsi="Calibri"/>
                <w:bCs/>
              </w:rPr>
              <w:t>Bolton-by-Bowland</w:t>
            </w:r>
            <w:r w:rsidR="006F463D">
              <w:rPr>
                <w:rFonts w:ascii="Calibri" w:hAnsi="Calibri"/>
                <w:bCs/>
              </w:rPr>
              <w:t>. The property lies on Main Street, set back from the road</w:t>
            </w:r>
            <w:r w:rsidR="00CB6470">
              <w:rPr>
                <w:rFonts w:ascii="Calibri" w:hAnsi="Calibri"/>
                <w:bCs/>
              </w:rPr>
              <w:t>side</w:t>
            </w:r>
            <w:r w:rsidR="006F463D">
              <w:rPr>
                <w:rFonts w:ascii="Calibri" w:hAnsi="Calibri"/>
                <w:bCs/>
              </w:rPr>
              <w:t xml:space="preserve"> behind an existing row of cottages which the building has previously related to. </w:t>
            </w:r>
            <w:r>
              <w:rPr>
                <w:rFonts w:ascii="Calibri" w:hAnsi="Calibri"/>
                <w:bCs/>
              </w:rPr>
              <w:t xml:space="preserve">The property </w:t>
            </w:r>
            <w:r w:rsidR="00CF24BF">
              <w:rPr>
                <w:rFonts w:ascii="Calibri" w:hAnsi="Calibri"/>
                <w:bCs/>
              </w:rPr>
              <w:t xml:space="preserve">is </w:t>
            </w:r>
            <w:r w:rsidR="00B85B8E">
              <w:rPr>
                <w:rFonts w:ascii="Calibri" w:hAnsi="Calibri"/>
                <w:bCs/>
              </w:rPr>
              <w:t xml:space="preserve">the result of </w:t>
            </w:r>
            <w:r w:rsidR="00CF24BF">
              <w:rPr>
                <w:rFonts w:ascii="Calibri" w:hAnsi="Calibri"/>
                <w:bCs/>
              </w:rPr>
              <w:t>a barn conversion</w:t>
            </w:r>
            <w:r w:rsidR="00B85B8E">
              <w:rPr>
                <w:rFonts w:ascii="Calibri" w:hAnsi="Calibri"/>
                <w:bCs/>
              </w:rPr>
              <w:t xml:space="preserve"> granted permission </w:t>
            </w:r>
            <w:r w:rsidR="00CF24BF">
              <w:rPr>
                <w:rFonts w:ascii="Calibri" w:hAnsi="Calibri"/>
                <w:bCs/>
              </w:rPr>
              <w:t xml:space="preserve">in </w:t>
            </w:r>
            <w:r w:rsidR="00CA6574" w:rsidRPr="00CA6574">
              <w:rPr>
                <w:rFonts w:ascii="Calibri" w:hAnsi="Calibri"/>
                <w:bCs/>
              </w:rPr>
              <w:t>1987</w:t>
            </w:r>
            <w:r w:rsidR="00B85B8E" w:rsidRPr="00CA6574">
              <w:rPr>
                <w:rFonts w:ascii="Calibri" w:hAnsi="Calibri"/>
                <w:bCs/>
              </w:rPr>
              <w:t xml:space="preserve">, </w:t>
            </w:r>
            <w:r w:rsidR="001958B3" w:rsidRPr="00CA6574">
              <w:rPr>
                <w:rFonts w:ascii="Calibri" w:hAnsi="Calibri"/>
                <w:bCs/>
              </w:rPr>
              <w:t xml:space="preserve">through </w:t>
            </w:r>
            <w:r w:rsidR="001958B3">
              <w:rPr>
                <w:rFonts w:ascii="Calibri" w:hAnsi="Calibri"/>
                <w:bCs/>
              </w:rPr>
              <w:t xml:space="preserve">which many features have been retained including natural stone walls, timber windows </w:t>
            </w:r>
            <w:r w:rsidR="001958B3">
              <w:rPr>
                <w:rFonts w:ascii="Calibri" w:hAnsi="Calibri"/>
                <w:bCs/>
              </w:rPr>
              <w:lastRenderedPageBreak/>
              <w:t>and doors with stone surrounds and a natural slate roof</w:t>
            </w:r>
            <w:r w:rsidR="001A3E12">
              <w:rPr>
                <w:rFonts w:ascii="Calibri" w:hAnsi="Calibri"/>
                <w:bCs/>
              </w:rPr>
              <w:t>. These</w:t>
            </w:r>
            <w:r w:rsidR="001958B3">
              <w:rPr>
                <w:rFonts w:ascii="Calibri" w:hAnsi="Calibri"/>
                <w:bCs/>
              </w:rPr>
              <w:t xml:space="preserve"> are now the property’s characterising features</w:t>
            </w:r>
            <w:r w:rsidR="001A3E12">
              <w:rPr>
                <w:rFonts w:ascii="Calibri" w:hAnsi="Calibri"/>
                <w:bCs/>
              </w:rPr>
              <w:t xml:space="preserve">, with </w:t>
            </w:r>
            <w:r w:rsidR="001958B3">
              <w:rPr>
                <w:rFonts w:ascii="Calibri" w:hAnsi="Calibri"/>
                <w:bCs/>
              </w:rPr>
              <w:t xml:space="preserve">a small curtilage </w:t>
            </w:r>
            <w:r w:rsidR="001A3E12">
              <w:rPr>
                <w:rFonts w:ascii="Calibri" w:hAnsi="Calibri"/>
                <w:bCs/>
              </w:rPr>
              <w:t xml:space="preserve">and </w:t>
            </w:r>
            <w:r w:rsidR="001958B3">
              <w:rPr>
                <w:rFonts w:ascii="Calibri" w:hAnsi="Calibri"/>
                <w:bCs/>
              </w:rPr>
              <w:t xml:space="preserve">uPVC conservatory </w:t>
            </w:r>
            <w:r w:rsidR="001A3E12">
              <w:rPr>
                <w:rFonts w:ascii="Calibri" w:hAnsi="Calibri"/>
                <w:bCs/>
              </w:rPr>
              <w:t>at the rear of the property which</w:t>
            </w:r>
            <w:r w:rsidR="001958B3">
              <w:rPr>
                <w:rFonts w:ascii="Calibri" w:hAnsi="Calibri"/>
                <w:bCs/>
              </w:rPr>
              <w:t xml:space="preserve"> has been added under permitted development.</w:t>
            </w:r>
            <w:r w:rsidR="00651E9F">
              <w:rPr>
                <w:rFonts w:ascii="Calibri" w:hAnsi="Calibri"/>
                <w:bCs/>
              </w:rPr>
              <w:t xml:space="preserve"> Beyond the property to the north the surrounding area is </w:t>
            </w:r>
            <w:r w:rsidR="006F463D">
              <w:rPr>
                <w:rFonts w:ascii="Calibri" w:hAnsi="Calibri"/>
                <w:bCs/>
              </w:rPr>
              <w:t>predominantly open grassland</w:t>
            </w:r>
            <w:r w:rsidR="001A3E12">
              <w:rPr>
                <w:rFonts w:ascii="Calibri" w:hAnsi="Calibri"/>
                <w:bCs/>
              </w:rPr>
              <w:t>,</w:t>
            </w:r>
            <w:r w:rsidR="006F463D">
              <w:rPr>
                <w:rFonts w:ascii="Calibri" w:hAnsi="Calibri"/>
                <w:bCs/>
              </w:rPr>
              <w:t xml:space="preserve"> with a farmstead beyond this </w:t>
            </w:r>
            <w:r w:rsidR="006F463D" w:rsidRPr="00D90E8B">
              <w:rPr>
                <w:rFonts w:ascii="Calibri" w:hAnsi="Calibri"/>
                <w:bCs/>
              </w:rPr>
              <w:t xml:space="preserve">approximately </w:t>
            </w:r>
            <w:r w:rsidR="00D90E8B" w:rsidRPr="00D90E8B">
              <w:rPr>
                <w:rFonts w:ascii="Calibri" w:hAnsi="Calibri"/>
                <w:bCs/>
              </w:rPr>
              <w:t>85</w:t>
            </w:r>
            <w:r w:rsidR="006F463D" w:rsidRPr="00D90E8B">
              <w:rPr>
                <w:rFonts w:ascii="Calibri" w:hAnsi="Calibri"/>
                <w:bCs/>
              </w:rPr>
              <w:t xml:space="preserve"> metres </w:t>
            </w:r>
            <w:r w:rsidR="006F463D">
              <w:rPr>
                <w:rFonts w:ascii="Calibri" w:hAnsi="Calibri"/>
                <w:bCs/>
              </w:rPr>
              <w:t>away.</w:t>
            </w:r>
            <w:r w:rsidR="001A3E12">
              <w:rPr>
                <w:rFonts w:ascii="Calibri" w:hAnsi="Calibri"/>
                <w:bCs/>
              </w:rPr>
              <w:t xml:space="preserve"> The site location falls within Bolton-by-Bowland Conservation Area and is further identified as a building of townscape merit such is the building’s historic interest</w:t>
            </w:r>
            <w:r w:rsidR="00444627">
              <w:rPr>
                <w:rFonts w:ascii="Calibri" w:hAnsi="Calibri"/>
                <w:bCs/>
              </w:rPr>
              <w:t>, and furthermore sits within the designated Forest of Bowland Area of Outstanding Natural Beauty.</w:t>
            </w:r>
          </w:p>
          <w:p w14:paraId="7EB2C458" w14:textId="7367B812" w:rsidR="001A3E12" w:rsidRPr="00DA05E4" w:rsidRDefault="001A3E12" w:rsidP="00651E9F">
            <w:pPr>
              <w:pStyle w:val="Header"/>
              <w:tabs>
                <w:tab w:val="left" w:pos="720"/>
              </w:tabs>
              <w:jc w:val="both"/>
              <w:rPr>
                <w:rFonts w:ascii="Calibri" w:hAnsi="Calibri"/>
                <w:bCs/>
              </w:rPr>
            </w:pPr>
          </w:p>
        </w:tc>
      </w:tr>
      <w:tr w:rsidR="00E72253" w:rsidRPr="0079074E" w14:paraId="127CF686" w14:textId="77777777" w:rsidTr="00DC460C">
        <w:trPr>
          <w:trHeight w:val="784"/>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6680D83" w14:textId="77777777" w:rsidR="00E72253" w:rsidRPr="00712984" w:rsidRDefault="00E72253" w:rsidP="00512411">
            <w:pPr>
              <w:pStyle w:val="Header"/>
              <w:tabs>
                <w:tab w:val="left" w:pos="720"/>
              </w:tabs>
              <w:jc w:val="both"/>
              <w:rPr>
                <w:rFonts w:ascii="Calibri" w:hAnsi="Calibri"/>
                <w:b/>
              </w:rPr>
            </w:pPr>
            <w:r w:rsidRPr="00712984">
              <w:rPr>
                <w:rFonts w:ascii="Calibri" w:hAnsi="Calibri"/>
                <w:b/>
              </w:rPr>
              <w:lastRenderedPageBreak/>
              <w:t>Proposed Development for which consent is sought:</w:t>
            </w:r>
          </w:p>
          <w:p w14:paraId="60DB18A1" w14:textId="70E6D6CC" w:rsidR="00E72253" w:rsidRDefault="00E72253" w:rsidP="00512411">
            <w:pPr>
              <w:pStyle w:val="Header"/>
              <w:tabs>
                <w:tab w:val="left" w:pos="720"/>
              </w:tabs>
              <w:jc w:val="both"/>
              <w:rPr>
                <w:rFonts w:ascii="Calibri" w:hAnsi="Calibri"/>
                <w:bCs/>
              </w:rPr>
            </w:pPr>
          </w:p>
          <w:p w14:paraId="04E65E59" w14:textId="6D88CB1B" w:rsidR="00444627" w:rsidRDefault="00EB0301" w:rsidP="00512411">
            <w:pPr>
              <w:pStyle w:val="Header"/>
              <w:tabs>
                <w:tab w:val="left" w:pos="720"/>
              </w:tabs>
              <w:jc w:val="both"/>
              <w:rPr>
                <w:rFonts w:ascii="Calibri" w:hAnsi="Calibri"/>
                <w:bCs/>
              </w:rPr>
            </w:pPr>
            <w:r>
              <w:rPr>
                <w:rFonts w:ascii="Calibri" w:hAnsi="Calibri"/>
                <w:bCs/>
              </w:rPr>
              <w:t xml:space="preserve">Consent is sought for the demolition </w:t>
            </w:r>
            <w:r w:rsidR="00C715D5">
              <w:rPr>
                <w:rFonts w:ascii="Calibri" w:hAnsi="Calibri"/>
                <w:bCs/>
              </w:rPr>
              <w:t xml:space="preserve">of </w:t>
            </w:r>
            <w:r w:rsidR="00444627">
              <w:rPr>
                <w:rFonts w:ascii="Calibri" w:hAnsi="Calibri"/>
                <w:bCs/>
              </w:rPr>
              <w:t xml:space="preserve">an existing uPVC conservatory </w:t>
            </w:r>
            <w:r w:rsidR="00ED05C2">
              <w:rPr>
                <w:rFonts w:ascii="Calibri" w:hAnsi="Calibri"/>
                <w:bCs/>
              </w:rPr>
              <w:t xml:space="preserve">at the rear of the property and its </w:t>
            </w:r>
            <w:r w:rsidR="00444627">
              <w:rPr>
                <w:rFonts w:ascii="Calibri" w:hAnsi="Calibri"/>
                <w:bCs/>
              </w:rPr>
              <w:t xml:space="preserve">replacement </w:t>
            </w:r>
            <w:r w:rsidR="00ED05C2">
              <w:rPr>
                <w:rFonts w:ascii="Calibri" w:hAnsi="Calibri"/>
                <w:bCs/>
              </w:rPr>
              <w:t xml:space="preserve">with a </w:t>
            </w:r>
            <w:r w:rsidR="001B08A9">
              <w:rPr>
                <w:rFonts w:ascii="Calibri" w:hAnsi="Calibri"/>
                <w:bCs/>
              </w:rPr>
              <w:t xml:space="preserve">painted </w:t>
            </w:r>
            <w:r w:rsidR="00ED05C2">
              <w:rPr>
                <w:rFonts w:ascii="Calibri" w:hAnsi="Calibri"/>
                <w:bCs/>
              </w:rPr>
              <w:t xml:space="preserve">orangery. The replacement orangery </w:t>
            </w:r>
            <w:r w:rsidR="001B08A9">
              <w:rPr>
                <w:rFonts w:ascii="Calibri" w:hAnsi="Calibri"/>
                <w:bCs/>
              </w:rPr>
              <w:t xml:space="preserve">will measure 4.5 metres in depth and </w:t>
            </w:r>
            <w:r w:rsidR="0094549D">
              <w:rPr>
                <w:rFonts w:ascii="Calibri" w:hAnsi="Calibri"/>
                <w:bCs/>
              </w:rPr>
              <w:t>feature an eaves height of 2.5 metres, with overall height of 3.2 metres</w:t>
            </w:r>
            <w:r w:rsidR="00CB6470">
              <w:rPr>
                <w:rFonts w:ascii="Calibri" w:hAnsi="Calibri"/>
                <w:bCs/>
              </w:rPr>
              <w:t xml:space="preserve">, representing a larger footprint than the existing </w:t>
            </w:r>
            <w:r w:rsidR="00584E3B">
              <w:rPr>
                <w:rFonts w:ascii="Calibri" w:hAnsi="Calibri"/>
                <w:bCs/>
              </w:rPr>
              <w:t>structure</w:t>
            </w:r>
            <w:r w:rsidR="00CB6470">
              <w:rPr>
                <w:rFonts w:ascii="Calibri" w:hAnsi="Calibri"/>
                <w:bCs/>
              </w:rPr>
              <w:t>.</w:t>
            </w:r>
            <w:r w:rsidR="0094549D">
              <w:rPr>
                <w:rFonts w:ascii="Calibri" w:hAnsi="Calibri"/>
                <w:bCs/>
              </w:rPr>
              <w:t xml:space="preserve"> </w:t>
            </w:r>
            <w:r w:rsidR="00DC07C4">
              <w:rPr>
                <w:rFonts w:ascii="Calibri" w:hAnsi="Calibri"/>
                <w:bCs/>
              </w:rPr>
              <w:t xml:space="preserve">A low wall akin to that on the existing conservatory will be maintained within the new scheme, </w:t>
            </w:r>
            <w:r w:rsidR="00802D82">
              <w:rPr>
                <w:rFonts w:ascii="Calibri" w:hAnsi="Calibri"/>
                <w:bCs/>
              </w:rPr>
              <w:t>becoming a</w:t>
            </w:r>
            <w:r w:rsidR="00DC07C4">
              <w:rPr>
                <w:rFonts w:ascii="Calibri" w:hAnsi="Calibri"/>
                <w:bCs/>
              </w:rPr>
              <w:t xml:space="preserve"> full height wall on the western elevation to allow for an increased level of privacy</w:t>
            </w:r>
            <w:r w:rsidR="00584E3B">
              <w:rPr>
                <w:rFonts w:ascii="Calibri" w:hAnsi="Calibri"/>
                <w:bCs/>
              </w:rPr>
              <w:t xml:space="preserve"> </w:t>
            </w:r>
            <w:r w:rsidR="00802D82">
              <w:rPr>
                <w:rFonts w:ascii="Calibri" w:hAnsi="Calibri"/>
                <w:bCs/>
              </w:rPr>
              <w:t>when viewed from the west</w:t>
            </w:r>
            <w:r w:rsidR="00E84CD1">
              <w:rPr>
                <w:rFonts w:ascii="Calibri" w:hAnsi="Calibri"/>
                <w:bCs/>
              </w:rPr>
              <w:t xml:space="preserve">. </w:t>
            </w:r>
            <w:r w:rsidR="00802D82">
              <w:rPr>
                <w:rFonts w:ascii="Calibri" w:hAnsi="Calibri"/>
                <w:bCs/>
              </w:rPr>
              <w:t>T</w:t>
            </w:r>
            <w:r w:rsidR="00584E3B">
              <w:rPr>
                <w:rFonts w:ascii="Calibri" w:hAnsi="Calibri"/>
                <w:bCs/>
              </w:rPr>
              <w:t xml:space="preserve">he materials in use within the proposed scheme will replace the uPVC </w:t>
            </w:r>
            <w:r w:rsidR="00802D82">
              <w:rPr>
                <w:rFonts w:ascii="Calibri" w:hAnsi="Calibri"/>
                <w:bCs/>
              </w:rPr>
              <w:t>of the existing conservatory with a timber framed structure, with screening in the form of soft landscaping also proposed on the wall of the western elevation.</w:t>
            </w:r>
          </w:p>
          <w:p w14:paraId="2BAC77CE" w14:textId="77777777" w:rsidR="00E72253" w:rsidRPr="0079074E" w:rsidRDefault="00E72253" w:rsidP="00E84CD1">
            <w:pPr>
              <w:pStyle w:val="Header"/>
              <w:tabs>
                <w:tab w:val="left" w:pos="720"/>
              </w:tabs>
              <w:jc w:val="both"/>
              <w:rPr>
                <w:rFonts w:ascii="Calibri" w:hAnsi="Calibri"/>
                <w:bCs/>
              </w:rPr>
            </w:pPr>
          </w:p>
        </w:tc>
      </w:tr>
      <w:tr w:rsidR="00E72253" w:rsidRPr="002D6A9F" w14:paraId="5FBD0FFF" w14:textId="77777777" w:rsidTr="00DC460C">
        <w:trPr>
          <w:trHeight w:val="217"/>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9F8EA03" w14:textId="77777777" w:rsidR="00E72253" w:rsidRPr="00F94FE9" w:rsidRDefault="00E72253" w:rsidP="00512411">
            <w:pPr>
              <w:jc w:val="both"/>
              <w:rPr>
                <w:rFonts w:ascii="Calibri" w:hAnsi="Calibri"/>
                <w:b/>
              </w:rPr>
            </w:pPr>
            <w:r w:rsidRPr="00F94FE9">
              <w:rPr>
                <w:rFonts w:ascii="Calibri" w:hAnsi="Calibri"/>
                <w:b/>
              </w:rPr>
              <w:t>Residential Amenity:</w:t>
            </w:r>
          </w:p>
          <w:p w14:paraId="1D3638AD" w14:textId="664552EB" w:rsidR="00E72253" w:rsidRPr="00F94FE9" w:rsidRDefault="00E72253" w:rsidP="00512411">
            <w:pPr>
              <w:jc w:val="both"/>
              <w:rPr>
                <w:rFonts w:ascii="Calibri" w:hAnsi="Calibri"/>
                <w:bCs/>
              </w:rPr>
            </w:pPr>
          </w:p>
          <w:p w14:paraId="2F798EE4" w14:textId="4EF0D851" w:rsidR="00511D02" w:rsidRDefault="00FE3123" w:rsidP="00512411">
            <w:pPr>
              <w:jc w:val="both"/>
              <w:rPr>
                <w:rFonts w:ascii="Calibri" w:hAnsi="Calibri"/>
                <w:bCs/>
              </w:rPr>
            </w:pPr>
            <w:r w:rsidRPr="00F94FE9">
              <w:rPr>
                <w:rFonts w:ascii="Calibri" w:hAnsi="Calibri"/>
                <w:bCs/>
              </w:rPr>
              <w:t xml:space="preserve">The proposed </w:t>
            </w:r>
            <w:r w:rsidR="00511D02">
              <w:rPr>
                <w:rFonts w:ascii="Calibri" w:hAnsi="Calibri"/>
                <w:bCs/>
              </w:rPr>
              <w:t xml:space="preserve">orangery is to be located at the rear of the property in a very similar position to the existing conservatory. Nethergill Barn is set back significantly from Main Street and surrounding residential properties, and as a result, its rear elevation </w:t>
            </w:r>
            <w:r w:rsidR="00C36539">
              <w:rPr>
                <w:rFonts w:ascii="Calibri" w:hAnsi="Calibri"/>
                <w:bCs/>
              </w:rPr>
              <w:t xml:space="preserve">is in excess of 8 metres from the closest neighbouring dwelling. By virtue of this separation distance and the similarity in dimensions between the existing conservatory and the replacement </w:t>
            </w:r>
            <w:r w:rsidR="006E1DB4">
              <w:rPr>
                <w:rFonts w:ascii="Calibri" w:hAnsi="Calibri"/>
                <w:bCs/>
              </w:rPr>
              <w:t>orangery</w:t>
            </w:r>
            <w:r w:rsidR="00C36539">
              <w:rPr>
                <w:rFonts w:ascii="Calibri" w:hAnsi="Calibri"/>
                <w:bCs/>
              </w:rPr>
              <w:t>, no undue overshadowing impacts are identified.</w:t>
            </w:r>
          </w:p>
          <w:p w14:paraId="6A395963" w14:textId="77777777" w:rsidR="00511D02" w:rsidRDefault="00511D02" w:rsidP="00512411">
            <w:pPr>
              <w:jc w:val="both"/>
              <w:rPr>
                <w:rFonts w:ascii="Calibri" w:hAnsi="Calibri"/>
                <w:bCs/>
              </w:rPr>
            </w:pPr>
          </w:p>
          <w:p w14:paraId="48B49382" w14:textId="160CEEA2" w:rsidR="007D3DB5" w:rsidRDefault="006E1DB4" w:rsidP="00512411">
            <w:pPr>
              <w:jc w:val="both"/>
              <w:rPr>
                <w:rFonts w:ascii="Calibri" w:hAnsi="Calibri"/>
                <w:bCs/>
              </w:rPr>
            </w:pPr>
            <w:r>
              <w:rPr>
                <w:rFonts w:ascii="Calibri" w:hAnsi="Calibri"/>
                <w:bCs/>
              </w:rPr>
              <w:t xml:space="preserve">In respect of overlooking, </w:t>
            </w:r>
            <w:r w:rsidR="00802D82">
              <w:rPr>
                <w:rFonts w:ascii="Calibri" w:hAnsi="Calibri"/>
                <w:bCs/>
              </w:rPr>
              <w:t>the proposed development clearly acknowledges the privacy issues which currently exist in the form of overlooking opportunities westward from the conservatory and patio area of the application property. As such</w:t>
            </w:r>
            <w:r w:rsidR="002E4B1F">
              <w:rPr>
                <w:rFonts w:ascii="Calibri" w:hAnsi="Calibri"/>
                <w:bCs/>
              </w:rPr>
              <w:t>,</w:t>
            </w:r>
            <w:r w:rsidR="00802D82">
              <w:rPr>
                <w:rFonts w:ascii="Calibri" w:hAnsi="Calibri"/>
                <w:bCs/>
              </w:rPr>
              <w:t xml:space="preserve"> a full height wall and </w:t>
            </w:r>
            <w:r w:rsidR="002E4B1F">
              <w:rPr>
                <w:rFonts w:ascii="Calibri" w:hAnsi="Calibri"/>
                <w:bCs/>
              </w:rPr>
              <w:t>additional screening on this elevation are proposed in mitigation which would reduce the impacts of the scheme in respect of residential amenity should the application be approved.</w:t>
            </w:r>
          </w:p>
          <w:p w14:paraId="4792A47C" w14:textId="77777777" w:rsidR="00E72253" w:rsidRPr="00527BF7" w:rsidRDefault="00E72253" w:rsidP="006E1DB4">
            <w:pPr>
              <w:jc w:val="both"/>
              <w:rPr>
                <w:rFonts w:ascii="Calibri" w:hAnsi="Calibri"/>
                <w:highlight w:val="red"/>
              </w:rPr>
            </w:pPr>
          </w:p>
        </w:tc>
      </w:tr>
      <w:tr w:rsidR="00E72253" w:rsidRPr="0020077A" w14:paraId="02AD9CEB" w14:textId="77777777" w:rsidTr="00DC460C">
        <w:trPr>
          <w:trHeight w:val="75"/>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31B9980" w14:textId="77777777" w:rsidR="00E72253" w:rsidRDefault="00E72253" w:rsidP="00512411">
            <w:pPr>
              <w:jc w:val="both"/>
              <w:rPr>
                <w:rFonts w:ascii="Calibri" w:hAnsi="Calibri"/>
                <w:b/>
              </w:rPr>
            </w:pPr>
            <w:r w:rsidRPr="004B04D2">
              <w:rPr>
                <w:rFonts w:ascii="Calibri" w:hAnsi="Calibri"/>
                <w:b/>
              </w:rPr>
              <w:t>Visual Amenity</w:t>
            </w:r>
            <w:r w:rsidRPr="00540733">
              <w:rPr>
                <w:rFonts w:ascii="Calibri" w:hAnsi="Calibri"/>
                <w:b/>
                <w:szCs w:val="22"/>
              </w:rPr>
              <w:t>/External Appearance</w:t>
            </w:r>
            <w:r w:rsidRPr="004B04D2">
              <w:rPr>
                <w:rFonts w:ascii="Calibri" w:hAnsi="Calibri"/>
                <w:b/>
              </w:rPr>
              <w:t>:</w:t>
            </w:r>
          </w:p>
          <w:p w14:paraId="73A03898" w14:textId="7F87E5C8" w:rsidR="00E72253" w:rsidRDefault="00E72253" w:rsidP="00512411">
            <w:pPr>
              <w:jc w:val="both"/>
              <w:rPr>
                <w:rFonts w:ascii="Calibri" w:hAnsi="Calibri"/>
                <w:szCs w:val="22"/>
              </w:rPr>
            </w:pPr>
          </w:p>
          <w:p w14:paraId="6F680206" w14:textId="77777777" w:rsidR="00B40E4B" w:rsidRDefault="00B40E4B" w:rsidP="00B40E4B">
            <w:pPr>
              <w:contextualSpacing/>
              <w:jc w:val="both"/>
              <w:rPr>
                <w:rFonts w:ascii="Calibri" w:hAnsi="Calibri"/>
                <w:szCs w:val="22"/>
              </w:rPr>
            </w:pPr>
            <w:r>
              <w:rPr>
                <w:rFonts w:ascii="Calibri" w:hAnsi="Calibri"/>
                <w:szCs w:val="22"/>
              </w:rPr>
              <w:t>Policy DMG1 of the Ribble Valley Core Strategy states that all development must:</w:t>
            </w:r>
          </w:p>
          <w:p w14:paraId="042293B9" w14:textId="77777777" w:rsidR="00B40E4B" w:rsidRDefault="00B40E4B" w:rsidP="00B40E4B">
            <w:pPr>
              <w:contextualSpacing/>
              <w:jc w:val="both"/>
              <w:rPr>
                <w:rFonts w:ascii="Calibri" w:hAnsi="Calibri"/>
                <w:szCs w:val="22"/>
              </w:rPr>
            </w:pPr>
          </w:p>
          <w:p w14:paraId="3D89D748" w14:textId="77777777" w:rsidR="00B40E4B" w:rsidRPr="005F359B" w:rsidRDefault="00B40E4B" w:rsidP="00B40E4B">
            <w:pPr>
              <w:ind w:left="602" w:right="904"/>
              <w:contextualSpacing/>
              <w:jc w:val="both"/>
              <w:rPr>
                <w:rFonts w:ascii="Calibri" w:hAnsi="Calibri"/>
                <w:i/>
                <w:iCs/>
                <w:szCs w:val="22"/>
              </w:rPr>
            </w:pPr>
            <w:r w:rsidRPr="005F359B">
              <w:rPr>
                <w:rFonts w:ascii="Calibri" w:hAnsi="Calibri"/>
                <w:i/>
                <w:iCs/>
                <w:szCs w:val="22"/>
              </w:rPr>
              <w:t>“2. Be sympathetic to existing and proposed land uses in terms of its size, intensity and nature as well as scale, massing, style, features and building materials.</w:t>
            </w:r>
          </w:p>
          <w:p w14:paraId="6C14AC09" w14:textId="77777777" w:rsidR="00B40E4B" w:rsidRPr="005F359B" w:rsidRDefault="00B40E4B" w:rsidP="00B40E4B">
            <w:pPr>
              <w:ind w:left="602" w:right="904"/>
              <w:contextualSpacing/>
              <w:jc w:val="both"/>
              <w:rPr>
                <w:rFonts w:ascii="Calibri" w:hAnsi="Calibri"/>
                <w:i/>
                <w:iCs/>
                <w:szCs w:val="22"/>
              </w:rPr>
            </w:pPr>
          </w:p>
          <w:p w14:paraId="7018CF07" w14:textId="77777777" w:rsidR="00B40E4B" w:rsidRPr="005F359B" w:rsidRDefault="00B40E4B" w:rsidP="00B40E4B">
            <w:pPr>
              <w:ind w:left="602" w:right="904"/>
              <w:contextualSpacing/>
              <w:jc w:val="both"/>
              <w:rPr>
                <w:rFonts w:ascii="Calibri" w:hAnsi="Calibri"/>
                <w:i/>
                <w:iCs/>
                <w:szCs w:val="22"/>
              </w:rPr>
            </w:pPr>
            <w:r w:rsidRPr="005F359B">
              <w:rPr>
                <w:rFonts w:ascii="Calibri" w:hAnsi="Calibri"/>
                <w:i/>
                <w:iCs/>
                <w:szCs w:val="22"/>
              </w:rPr>
              <w:t>3. Consider the density, layout and relationship between buildings, which is of major importance. Particular</w:t>
            </w:r>
            <w:r>
              <w:rPr>
                <w:rFonts w:ascii="Calibri" w:hAnsi="Calibri"/>
                <w:i/>
                <w:iCs/>
                <w:szCs w:val="22"/>
              </w:rPr>
              <w:t xml:space="preserve"> </w:t>
            </w:r>
            <w:r w:rsidRPr="005F359B">
              <w:rPr>
                <w:rFonts w:ascii="Calibri" w:hAnsi="Calibri"/>
                <w:i/>
                <w:iCs/>
                <w:szCs w:val="22"/>
              </w:rPr>
              <w:t>emphasis will be placed on visual appearance and the relationship to surroundings, including impact on landscape character, as well as the effects of development on existing amenities</w:t>
            </w:r>
            <w:r>
              <w:rPr>
                <w:rFonts w:ascii="Calibri" w:hAnsi="Calibri"/>
                <w:i/>
                <w:iCs/>
                <w:szCs w:val="22"/>
              </w:rPr>
              <w:t>.</w:t>
            </w:r>
            <w:r w:rsidRPr="005F359B">
              <w:rPr>
                <w:rFonts w:ascii="Calibri" w:hAnsi="Calibri"/>
                <w:i/>
                <w:iCs/>
                <w:szCs w:val="22"/>
              </w:rPr>
              <w:t>”</w:t>
            </w:r>
          </w:p>
          <w:p w14:paraId="0B4F62BE" w14:textId="77777777" w:rsidR="00B40E4B" w:rsidRDefault="00B40E4B" w:rsidP="00B40E4B">
            <w:pPr>
              <w:jc w:val="both"/>
              <w:rPr>
                <w:rFonts w:ascii="Calibri" w:hAnsi="Calibri"/>
                <w:szCs w:val="22"/>
              </w:rPr>
            </w:pPr>
          </w:p>
          <w:p w14:paraId="3D58567D" w14:textId="77777777" w:rsidR="00090EE3" w:rsidRDefault="00B40E4B" w:rsidP="00B40E4B">
            <w:pPr>
              <w:jc w:val="both"/>
              <w:rPr>
                <w:rFonts w:ascii="Calibri" w:hAnsi="Calibri"/>
                <w:szCs w:val="22"/>
              </w:rPr>
            </w:pPr>
            <w:r>
              <w:rPr>
                <w:rFonts w:ascii="Calibri" w:hAnsi="Calibri"/>
                <w:szCs w:val="22"/>
              </w:rPr>
              <w:t xml:space="preserve">The proposed orangery will be sited on the rear elevation of Nethergill Barn which is set back considerably from the main road through the village. As a result, the impact of this development upon the character or visual </w:t>
            </w:r>
            <w:r w:rsidR="0009396C">
              <w:rPr>
                <w:rFonts w:ascii="Calibri" w:hAnsi="Calibri"/>
                <w:szCs w:val="22"/>
              </w:rPr>
              <w:t xml:space="preserve">amenities of that existing </w:t>
            </w:r>
            <w:r>
              <w:rPr>
                <w:rFonts w:ascii="Calibri" w:hAnsi="Calibri"/>
                <w:szCs w:val="22"/>
              </w:rPr>
              <w:t xml:space="preserve">street scene </w:t>
            </w:r>
            <w:r w:rsidR="006A3E97">
              <w:rPr>
                <w:rFonts w:ascii="Calibri" w:hAnsi="Calibri"/>
                <w:szCs w:val="22"/>
              </w:rPr>
              <w:t>is</w:t>
            </w:r>
            <w:r w:rsidR="0009396C">
              <w:rPr>
                <w:rFonts w:ascii="Calibri" w:hAnsi="Calibri"/>
                <w:szCs w:val="22"/>
              </w:rPr>
              <w:t xml:space="preserve"> negligible. This notwithstanding, the rear elevation of the application property is afforded with great openness to the north, </w:t>
            </w:r>
            <w:r w:rsidR="006A3E97">
              <w:rPr>
                <w:rFonts w:ascii="Calibri" w:hAnsi="Calibri"/>
                <w:szCs w:val="22"/>
              </w:rPr>
              <w:t>east and west</w:t>
            </w:r>
            <w:r w:rsidR="0009396C">
              <w:rPr>
                <w:rFonts w:ascii="Calibri" w:hAnsi="Calibri"/>
                <w:szCs w:val="22"/>
              </w:rPr>
              <w:t xml:space="preserve">, meaning </w:t>
            </w:r>
            <w:r w:rsidR="006A3E97">
              <w:rPr>
                <w:rFonts w:ascii="Calibri" w:hAnsi="Calibri"/>
                <w:szCs w:val="22"/>
              </w:rPr>
              <w:t xml:space="preserve">the proposed development would be visible </w:t>
            </w:r>
            <w:r w:rsidR="00090EE3">
              <w:rPr>
                <w:rFonts w:ascii="Calibri" w:hAnsi="Calibri"/>
                <w:szCs w:val="22"/>
              </w:rPr>
              <w:t>when viewed from these directions.</w:t>
            </w:r>
          </w:p>
          <w:p w14:paraId="388809E4" w14:textId="234499EA" w:rsidR="003D5C45" w:rsidRDefault="003D5C45" w:rsidP="00B40E4B">
            <w:pPr>
              <w:jc w:val="both"/>
              <w:rPr>
                <w:rFonts w:ascii="Calibri" w:hAnsi="Calibri"/>
                <w:szCs w:val="22"/>
              </w:rPr>
            </w:pPr>
            <w:r>
              <w:rPr>
                <w:rFonts w:ascii="Calibri" w:hAnsi="Calibri"/>
                <w:szCs w:val="22"/>
              </w:rPr>
              <w:lastRenderedPageBreak/>
              <w:t xml:space="preserve">The proposed orangery will replace an existing uPVC conservatory and whilst sited in the same place, will </w:t>
            </w:r>
            <w:r w:rsidR="009229BB">
              <w:rPr>
                <w:rFonts w:ascii="Calibri" w:hAnsi="Calibri"/>
                <w:szCs w:val="22"/>
              </w:rPr>
              <w:t>project</w:t>
            </w:r>
            <w:r>
              <w:rPr>
                <w:rFonts w:ascii="Calibri" w:hAnsi="Calibri"/>
                <w:szCs w:val="22"/>
              </w:rPr>
              <w:t xml:space="preserve"> beyond the </w:t>
            </w:r>
            <w:r w:rsidR="009229BB">
              <w:rPr>
                <w:rFonts w:ascii="Calibri" w:hAnsi="Calibri"/>
                <w:szCs w:val="22"/>
              </w:rPr>
              <w:t xml:space="preserve">rear elevation of the </w:t>
            </w:r>
            <w:r>
              <w:rPr>
                <w:rFonts w:ascii="Calibri" w:hAnsi="Calibri"/>
                <w:szCs w:val="22"/>
              </w:rPr>
              <w:t>property</w:t>
            </w:r>
            <w:r w:rsidR="009229BB">
              <w:rPr>
                <w:rFonts w:ascii="Calibri" w:hAnsi="Calibri"/>
                <w:szCs w:val="22"/>
              </w:rPr>
              <w:t xml:space="preserve"> by 4.5 metres, in excess of a metre beyond the existing conservatory. Notwithstanding the existing conservatory, the proposed orangery will read as a disproportionate addition relative to the footprint of the host property. Barn conversions are commonly modest in footprint such is their original construction for non-residential uses and from this they obtain an element of character. Relative to this, </w:t>
            </w:r>
            <w:r w:rsidR="00B41461">
              <w:rPr>
                <w:rFonts w:ascii="Calibri" w:hAnsi="Calibri"/>
                <w:szCs w:val="22"/>
              </w:rPr>
              <w:t>the proposed development will</w:t>
            </w:r>
            <w:r w:rsidR="001D3BFD">
              <w:rPr>
                <w:rFonts w:ascii="Calibri" w:hAnsi="Calibri"/>
                <w:szCs w:val="22"/>
              </w:rPr>
              <w:t xml:space="preserve"> increase the footprint and built form of the host property in an unsympathetic manner to the extent that its character is unduly compromised, in conflict with policy DMG1 of the Ribble Valley Core Strategy.</w:t>
            </w:r>
          </w:p>
          <w:p w14:paraId="0BE6B56B" w14:textId="77777777" w:rsidR="003D5C45" w:rsidRDefault="003D5C45" w:rsidP="00B40E4B">
            <w:pPr>
              <w:jc w:val="both"/>
              <w:rPr>
                <w:rFonts w:ascii="Calibri" w:hAnsi="Calibri"/>
                <w:szCs w:val="22"/>
              </w:rPr>
            </w:pPr>
          </w:p>
          <w:p w14:paraId="18DC8DBB" w14:textId="7AE5FFA2" w:rsidR="002D083C" w:rsidRDefault="00053610" w:rsidP="002D083C">
            <w:pPr>
              <w:jc w:val="both"/>
              <w:rPr>
                <w:rFonts w:ascii="Calibri" w:hAnsi="Calibri"/>
                <w:bCs/>
              </w:rPr>
            </w:pPr>
            <w:r>
              <w:rPr>
                <w:rFonts w:ascii="Calibri" w:hAnsi="Calibri"/>
                <w:bCs/>
              </w:rPr>
              <w:t>Whilst it is accepted this scheme may present a lower impact in comparison with the existing conservatory in respect of its roof pitch</w:t>
            </w:r>
            <w:r w:rsidR="00D5539D">
              <w:rPr>
                <w:rFonts w:ascii="Calibri" w:hAnsi="Calibri"/>
                <w:bCs/>
              </w:rPr>
              <w:t xml:space="preserve"> and </w:t>
            </w:r>
            <w:r w:rsidR="00E06ACD">
              <w:rPr>
                <w:rFonts w:ascii="Calibri" w:hAnsi="Calibri"/>
                <w:bCs/>
              </w:rPr>
              <w:t xml:space="preserve">amount of </w:t>
            </w:r>
            <w:r>
              <w:rPr>
                <w:rFonts w:ascii="Calibri" w:hAnsi="Calibri"/>
                <w:bCs/>
              </w:rPr>
              <w:t xml:space="preserve">glazing, the </w:t>
            </w:r>
            <w:r w:rsidR="00971763">
              <w:rPr>
                <w:rFonts w:ascii="Calibri" w:hAnsi="Calibri"/>
                <w:bCs/>
              </w:rPr>
              <w:t xml:space="preserve">remaining </w:t>
            </w:r>
            <w:r>
              <w:rPr>
                <w:rFonts w:ascii="Calibri" w:hAnsi="Calibri"/>
                <w:bCs/>
              </w:rPr>
              <w:t>visual impact</w:t>
            </w:r>
            <w:r w:rsidR="00971763">
              <w:rPr>
                <w:rFonts w:ascii="Calibri" w:hAnsi="Calibri"/>
                <w:bCs/>
              </w:rPr>
              <w:t xml:space="preserve"> </w:t>
            </w:r>
            <w:r>
              <w:rPr>
                <w:rFonts w:ascii="Calibri" w:hAnsi="Calibri"/>
                <w:bCs/>
              </w:rPr>
              <w:t>still exceeds that which would otherwise be deemed acceptable.</w:t>
            </w:r>
            <w:r w:rsidR="001D3BFD">
              <w:rPr>
                <w:rFonts w:ascii="Calibri" w:hAnsi="Calibri"/>
                <w:bCs/>
              </w:rPr>
              <w:t xml:space="preserve"> T</w:t>
            </w:r>
            <w:r w:rsidR="00886F1D">
              <w:rPr>
                <w:rFonts w:ascii="Calibri" w:hAnsi="Calibri"/>
                <w:bCs/>
              </w:rPr>
              <w:t xml:space="preserve">he </w:t>
            </w:r>
            <w:r w:rsidR="00D5539D">
              <w:rPr>
                <w:rFonts w:ascii="Calibri" w:hAnsi="Calibri"/>
                <w:bCs/>
              </w:rPr>
              <w:t xml:space="preserve">visual prominence of the </w:t>
            </w:r>
            <w:r w:rsidR="001D3BFD">
              <w:rPr>
                <w:rFonts w:ascii="Calibri" w:hAnsi="Calibri"/>
                <w:bCs/>
              </w:rPr>
              <w:t xml:space="preserve">orangery </w:t>
            </w:r>
            <w:r w:rsidR="00D5539D">
              <w:rPr>
                <w:rFonts w:ascii="Calibri" w:hAnsi="Calibri"/>
                <w:bCs/>
              </w:rPr>
              <w:t xml:space="preserve">structure on this elevation will appear far greater such is the extent of glazing proposed, </w:t>
            </w:r>
            <w:r w:rsidR="00E06ACD">
              <w:rPr>
                <w:rFonts w:ascii="Calibri" w:hAnsi="Calibri"/>
                <w:bCs/>
              </w:rPr>
              <w:t xml:space="preserve">which though arguably reduced, remains </w:t>
            </w:r>
            <w:r w:rsidR="00971763">
              <w:rPr>
                <w:rFonts w:ascii="Calibri" w:hAnsi="Calibri"/>
                <w:bCs/>
              </w:rPr>
              <w:t>at such a level</w:t>
            </w:r>
            <w:r w:rsidR="0064678A">
              <w:rPr>
                <w:rFonts w:ascii="Calibri" w:hAnsi="Calibri"/>
                <w:bCs/>
              </w:rPr>
              <w:t xml:space="preserve"> to the extent</w:t>
            </w:r>
            <w:r w:rsidR="00E06ACD">
              <w:rPr>
                <w:rFonts w:ascii="Calibri" w:hAnsi="Calibri"/>
                <w:bCs/>
              </w:rPr>
              <w:t xml:space="preserve"> that the orangery will detract </w:t>
            </w:r>
            <w:r w:rsidR="00D5539D">
              <w:rPr>
                <w:rFonts w:ascii="Calibri" w:hAnsi="Calibri"/>
                <w:bCs/>
              </w:rPr>
              <w:t xml:space="preserve">from the </w:t>
            </w:r>
            <w:r w:rsidR="00A54D5D">
              <w:rPr>
                <w:rFonts w:ascii="Calibri" w:hAnsi="Calibri"/>
                <w:bCs/>
              </w:rPr>
              <w:t>modest</w:t>
            </w:r>
            <w:r w:rsidR="00D5539D">
              <w:rPr>
                <w:rFonts w:ascii="Calibri" w:hAnsi="Calibri"/>
                <w:bCs/>
              </w:rPr>
              <w:t xml:space="preserve"> character of the host propert</w:t>
            </w:r>
            <w:r w:rsidR="00A54D5D">
              <w:rPr>
                <w:rFonts w:ascii="Calibri" w:hAnsi="Calibri"/>
                <w:bCs/>
              </w:rPr>
              <w:t xml:space="preserve">y which arises through the unamended and unmodified nature of </w:t>
            </w:r>
            <w:r w:rsidR="002D083C">
              <w:rPr>
                <w:rFonts w:ascii="Calibri" w:hAnsi="Calibri"/>
                <w:bCs/>
              </w:rPr>
              <w:t xml:space="preserve">its original </w:t>
            </w:r>
            <w:r w:rsidR="00A54D5D">
              <w:rPr>
                <w:rFonts w:ascii="Calibri" w:hAnsi="Calibri"/>
                <w:bCs/>
              </w:rPr>
              <w:t>conversion</w:t>
            </w:r>
            <w:r w:rsidR="00E06ACD">
              <w:rPr>
                <w:rFonts w:ascii="Calibri" w:hAnsi="Calibri"/>
                <w:bCs/>
              </w:rPr>
              <w:t xml:space="preserve">. </w:t>
            </w:r>
            <w:r w:rsidR="002D083C">
              <w:rPr>
                <w:rFonts w:ascii="Calibri" w:hAnsi="Calibri"/>
                <w:bCs/>
              </w:rPr>
              <w:t>Whilst the introduction of timber to match the existing fenestration is welcomed, its positive contribution is limited such is the full height wall on the western elevation and continued dominance of glazing throughout.</w:t>
            </w:r>
          </w:p>
          <w:p w14:paraId="0FCCC164" w14:textId="77777777" w:rsidR="002D083C" w:rsidRDefault="002D083C" w:rsidP="002D083C">
            <w:pPr>
              <w:jc w:val="both"/>
              <w:rPr>
                <w:rFonts w:ascii="Calibri" w:hAnsi="Calibri"/>
                <w:bCs/>
              </w:rPr>
            </w:pPr>
          </w:p>
          <w:p w14:paraId="3E051426" w14:textId="6035ECDD" w:rsidR="00053610" w:rsidRPr="002A1F6D" w:rsidRDefault="002D083C" w:rsidP="002D083C">
            <w:pPr>
              <w:jc w:val="both"/>
              <w:rPr>
                <w:rFonts w:ascii="Calibri" w:hAnsi="Calibri"/>
                <w:bCs/>
              </w:rPr>
            </w:pPr>
            <w:r>
              <w:rPr>
                <w:rFonts w:ascii="Calibri" w:hAnsi="Calibri"/>
                <w:bCs/>
              </w:rPr>
              <w:t>On this basis</w:t>
            </w:r>
            <w:r w:rsidR="00D90E8B">
              <w:rPr>
                <w:rFonts w:ascii="Calibri" w:hAnsi="Calibri"/>
                <w:bCs/>
              </w:rPr>
              <w:t xml:space="preserve">, </w:t>
            </w:r>
            <w:r w:rsidR="00053610">
              <w:rPr>
                <w:rFonts w:ascii="Calibri" w:hAnsi="Calibri"/>
                <w:bCs/>
              </w:rPr>
              <w:t>the development is considered to be in conflict with policies DMG1 of the Ribble Valley Core Strategy insofar as that the scheme fails to adequately consider its impact upon the host property and surrounding landscape character, a</w:t>
            </w:r>
            <w:r w:rsidR="002A1F6D">
              <w:rPr>
                <w:rFonts w:ascii="Calibri" w:hAnsi="Calibri"/>
                <w:bCs/>
              </w:rPr>
              <w:t>nd as such, is discordant and inharmonious relative to its surroundings.</w:t>
            </w:r>
          </w:p>
          <w:p w14:paraId="320B9DB3" w14:textId="2F251E38" w:rsidR="00053610" w:rsidRPr="0020077A" w:rsidRDefault="00053610" w:rsidP="00B40E4B">
            <w:pPr>
              <w:jc w:val="both"/>
              <w:rPr>
                <w:rFonts w:ascii="Calibri" w:hAnsi="Calibri"/>
                <w:szCs w:val="22"/>
              </w:rPr>
            </w:pPr>
          </w:p>
        </w:tc>
      </w:tr>
      <w:tr w:rsidR="00DD2EE4" w:rsidRPr="0020077A" w14:paraId="2E8CC799" w14:textId="77777777" w:rsidTr="00DC460C">
        <w:trPr>
          <w:trHeight w:val="75"/>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C12FC9D" w14:textId="77777777" w:rsidR="00DD2EE4" w:rsidRDefault="00DD2EE4" w:rsidP="00DD2EE4">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Character/appearance of Conservations Area:</w:t>
            </w:r>
          </w:p>
          <w:p w14:paraId="1F71DD24" w14:textId="77777777" w:rsidR="00DD2EE4" w:rsidRDefault="00DD2EE4" w:rsidP="00DD2EE4">
            <w:pPr>
              <w:pStyle w:val="Header"/>
              <w:tabs>
                <w:tab w:val="clear" w:pos="4153"/>
                <w:tab w:val="clear" w:pos="8306"/>
              </w:tabs>
              <w:contextualSpacing/>
              <w:jc w:val="both"/>
              <w:rPr>
                <w:rFonts w:ascii="Calibri" w:hAnsi="Calibri"/>
                <w:b/>
                <w:szCs w:val="22"/>
              </w:rPr>
            </w:pPr>
          </w:p>
          <w:p w14:paraId="6E3D7A34" w14:textId="30310A41" w:rsidR="00DD2EE4" w:rsidRDefault="00DD2EE4" w:rsidP="00DD2EE4">
            <w:pPr>
              <w:jc w:val="both"/>
              <w:rPr>
                <w:rFonts w:ascii="Calibri" w:hAnsi="Calibri"/>
                <w:bCs/>
                <w:szCs w:val="22"/>
              </w:rPr>
            </w:pPr>
            <w:r>
              <w:rPr>
                <w:rFonts w:ascii="Calibri" w:hAnsi="Calibri"/>
                <w:szCs w:val="22"/>
              </w:rPr>
              <w:t xml:space="preserve">The LPA must </w:t>
            </w:r>
            <w:r w:rsidR="00090EE3">
              <w:rPr>
                <w:rFonts w:ascii="Calibri" w:hAnsi="Calibri"/>
                <w:szCs w:val="22"/>
              </w:rPr>
              <w:t>also</w:t>
            </w:r>
            <w:r>
              <w:rPr>
                <w:rFonts w:ascii="Calibri" w:hAnsi="Calibri"/>
                <w:szCs w:val="22"/>
              </w:rPr>
              <w:t xml:space="preserve"> accord with its duty at section 72 of the </w:t>
            </w:r>
            <w:r>
              <w:rPr>
                <w:rFonts w:ascii="Calibri" w:hAnsi="Calibri"/>
                <w:bCs/>
                <w:szCs w:val="22"/>
              </w:rPr>
              <w:t>Planning (Listed Buildings and Conservation Areas) Act 1990. This states:</w:t>
            </w:r>
          </w:p>
          <w:p w14:paraId="47860BB6" w14:textId="77777777" w:rsidR="00DD2EE4" w:rsidRDefault="00DD2EE4" w:rsidP="00DD2EE4">
            <w:pPr>
              <w:jc w:val="both"/>
              <w:rPr>
                <w:rFonts w:ascii="Calibri" w:hAnsi="Calibri"/>
                <w:bCs/>
                <w:szCs w:val="22"/>
              </w:rPr>
            </w:pPr>
          </w:p>
          <w:p w14:paraId="7C7C1177" w14:textId="77777777" w:rsidR="00DD2EE4" w:rsidRDefault="00DD2EE4" w:rsidP="00DD2EE4">
            <w:pPr>
              <w:ind w:left="602" w:right="904"/>
              <w:contextualSpacing/>
              <w:jc w:val="both"/>
              <w:rPr>
                <w:rFonts w:ascii="Calibri" w:hAnsi="Calibri"/>
                <w:szCs w:val="22"/>
              </w:rPr>
            </w:pPr>
            <w:r>
              <w:rPr>
                <w:rFonts w:ascii="Calibri" w:hAnsi="Calibri"/>
                <w:bCs/>
                <w:szCs w:val="22"/>
              </w:rPr>
              <w:t xml:space="preserve">‘with respect to any buildings or other land in a conservation area, of any functions under or </w:t>
            </w:r>
            <w:r>
              <w:rPr>
                <w:rFonts w:ascii="Calibri" w:hAnsi="Calibri"/>
                <w:i/>
                <w:iCs/>
                <w:szCs w:val="22"/>
              </w:rPr>
              <w:t>by virtue of any of the provisions mentioned in subsection (2), special attention shall be paid to the desirability of preserving or enhancing the character or appearance of that area.’</w:t>
            </w:r>
          </w:p>
          <w:p w14:paraId="35198124" w14:textId="77777777" w:rsidR="00DD2EE4" w:rsidRDefault="00DD2EE4" w:rsidP="00512411">
            <w:pPr>
              <w:jc w:val="both"/>
              <w:rPr>
                <w:rFonts w:ascii="Calibri" w:hAnsi="Calibri"/>
                <w:b/>
              </w:rPr>
            </w:pPr>
          </w:p>
          <w:p w14:paraId="6B02AFA2" w14:textId="1A7D1A9B" w:rsidR="00DD2EE4" w:rsidRDefault="006F2917" w:rsidP="00512411">
            <w:pPr>
              <w:jc w:val="both"/>
              <w:rPr>
                <w:rFonts w:ascii="Calibri" w:hAnsi="Calibri"/>
                <w:bCs/>
              </w:rPr>
            </w:pPr>
            <w:r>
              <w:rPr>
                <w:rFonts w:ascii="Calibri" w:hAnsi="Calibri"/>
                <w:bCs/>
              </w:rPr>
              <w:t>The site location</w:t>
            </w:r>
            <w:r w:rsidR="00DD2EE4">
              <w:rPr>
                <w:rFonts w:ascii="Calibri" w:hAnsi="Calibri"/>
                <w:bCs/>
              </w:rPr>
              <w:t xml:space="preserve"> within the designated Bolton-by-Bowland Conservation Area, </w:t>
            </w:r>
            <w:r w:rsidR="000556F2">
              <w:rPr>
                <w:rFonts w:ascii="Calibri" w:hAnsi="Calibri"/>
                <w:bCs/>
              </w:rPr>
              <w:t>characterised by historic cottages and barns built in the rural vernacular tradition of the 18</w:t>
            </w:r>
            <w:r w:rsidR="000556F2" w:rsidRPr="000556F2">
              <w:rPr>
                <w:rFonts w:ascii="Calibri" w:hAnsi="Calibri"/>
                <w:bCs/>
                <w:vertAlign w:val="superscript"/>
              </w:rPr>
              <w:t>th</w:t>
            </w:r>
            <w:r w:rsidR="000556F2">
              <w:rPr>
                <w:rFonts w:ascii="Calibri" w:hAnsi="Calibri"/>
                <w:bCs/>
              </w:rPr>
              <w:t xml:space="preserve"> and 19</w:t>
            </w:r>
            <w:r w:rsidR="000556F2" w:rsidRPr="000556F2">
              <w:rPr>
                <w:rFonts w:ascii="Calibri" w:hAnsi="Calibri"/>
                <w:bCs/>
                <w:vertAlign w:val="superscript"/>
              </w:rPr>
              <w:t>th</w:t>
            </w:r>
            <w:r w:rsidR="000556F2">
              <w:rPr>
                <w:rFonts w:ascii="Calibri" w:hAnsi="Calibri"/>
                <w:bCs/>
              </w:rPr>
              <w:t xml:space="preserve"> century. The conservation area features more than 20 listed buildings </w:t>
            </w:r>
            <w:r w:rsidR="00262179">
              <w:rPr>
                <w:rFonts w:ascii="Calibri" w:hAnsi="Calibri"/>
                <w:bCs/>
              </w:rPr>
              <w:t>and, in its entirety,</w:t>
            </w:r>
            <w:r w:rsidR="000556F2">
              <w:rPr>
                <w:rFonts w:ascii="Calibri" w:hAnsi="Calibri"/>
                <w:bCs/>
              </w:rPr>
              <w:t xml:space="preserve"> contains </w:t>
            </w:r>
            <w:r w:rsidR="00262179">
              <w:rPr>
                <w:rFonts w:ascii="Calibri" w:hAnsi="Calibri"/>
                <w:bCs/>
              </w:rPr>
              <w:t xml:space="preserve">a high concentration of buildings which offer special and intrinsic historic interest. Whilst not listed, the application property has been judged as offering a positive contribution to the character and appearance of the conservation area and as such </w:t>
            </w:r>
            <w:r w:rsidR="00176B05">
              <w:rPr>
                <w:rFonts w:ascii="Calibri" w:hAnsi="Calibri"/>
                <w:bCs/>
              </w:rPr>
              <w:t xml:space="preserve">is </w:t>
            </w:r>
            <w:r w:rsidR="00262179">
              <w:rPr>
                <w:rFonts w:ascii="Calibri" w:hAnsi="Calibri"/>
                <w:bCs/>
              </w:rPr>
              <w:t>designated a building of townscape merit.</w:t>
            </w:r>
            <w:r w:rsidR="002E4B1F">
              <w:rPr>
                <w:rFonts w:ascii="Calibri" w:hAnsi="Calibri"/>
                <w:bCs/>
              </w:rPr>
              <w:t xml:space="preserve"> Moreover, the </w:t>
            </w:r>
            <w:r w:rsidR="00090EE3">
              <w:rPr>
                <w:rFonts w:ascii="Calibri" w:hAnsi="Calibri"/>
                <w:bCs/>
              </w:rPr>
              <w:t xml:space="preserve">open </w:t>
            </w:r>
            <w:r w:rsidR="002E4B1F">
              <w:rPr>
                <w:rFonts w:ascii="Calibri" w:hAnsi="Calibri"/>
                <w:bCs/>
              </w:rPr>
              <w:t>curtilage of the property at the rear adjoins grassland which is identified as an 'important view’ from the conservation area as indicated on the Bolton-by-Bowland Townscape Appraisal Map.</w:t>
            </w:r>
          </w:p>
          <w:p w14:paraId="7C6ADE56" w14:textId="2AE08147" w:rsidR="00262179" w:rsidRDefault="00262179" w:rsidP="00512411">
            <w:pPr>
              <w:jc w:val="both"/>
              <w:rPr>
                <w:rFonts w:ascii="Calibri" w:hAnsi="Calibri"/>
                <w:bCs/>
              </w:rPr>
            </w:pPr>
          </w:p>
          <w:p w14:paraId="01CC5A56" w14:textId="01DCAD03" w:rsidR="00262179" w:rsidRDefault="006F2917" w:rsidP="00512411">
            <w:pPr>
              <w:jc w:val="both"/>
              <w:rPr>
                <w:rFonts w:ascii="Calibri" w:hAnsi="Calibri"/>
                <w:bCs/>
              </w:rPr>
            </w:pPr>
            <w:r>
              <w:rPr>
                <w:rFonts w:ascii="Calibri" w:hAnsi="Calibri"/>
                <w:bCs/>
              </w:rPr>
              <w:t xml:space="preserve">Nethergill Barn </w:t>
            </w:r>
            <w:r w:rsidR="00090EE3">
              <w:rPr>
                <w:rFonts w:ascii="Calibri" w:hAnsi="Calibri"/>
                <w:bCs/>
              </w:rPr>
              <w:t xml:space="preserve">currently features an existing conservatory at the rear of the property which it is assumed has been constructed under permitted development, rights which were not removed by condition at the time of the barn’s conversion and therefore remain intact. Whilst </w:t>
            </w:r>
            <w:r w:rsidR="0099526F">
              <w:rPr>
                <w:rFonts w:ascii="Calibri" w:hAnsi="Calibri"/>
                <w:bCs/>
              </w:rPr>
              <w:t>the</w:t>
            </w:r>
            <w:r w:rsidR="00090EE3">
              <w:rPr>
                <w:rFonts w:ascii="Calibri" w:hAnsi="Calibri"/>
                <w:bCs/>
              </w:rPr>
              <w:t xml:space="preserve"> lawfulness</w:t>
            </w:r>
            <w:r w:rsidR="0099526F">
              <w:rPr>
                <w:rFonts w:ascii="Calibri" w:hAnsi="Calibri"/>
                <w:bCs/>
              </w:rPr>
              <w:t xml:space="preserve"> of this conservatory</w:t>
            </w:r>
            <w:r w:rsidR="00090EE3">
              <w:rPr>
                <w:rFonts w:ascii="Calibri" w:hAnsi="Calibri"/>
                <w:bCs/>
              </w:rPr>
              <w:t xml:space="preserve"> is therefore accepted,</w:t>
            </w:r>
            <w:r w:rsidR="0099526F">
              <w:rPr>
                <w:rFonts w:ascii="Calibri" w:hAnsi="Calibri"/>
                <w:bCs/>
              </w:rPr>
              <w:t xml:space="preserve"> </w:t>
            </w:r>
            <w:r w:rsidR="007709AE">
              <w:rPr>
                <w:rFonts w:ascii="Calibri" w:hAnsi="Calibri"/>
                <w:bCs/>
              </w:rPr>
              <w:t>the structure</w:t>
            </w:r>
            <w:r w:rsidR="0099526F">
              <w:rPr>
                <w:rFonts w:ascii="Calibri" w:hAnsi="Calibri"/>
                <w:bCs/>
              </w:rPr>
              <w:t xml:space="preserve"> has a damaging impact upon the character and visual amenity of the application property and </w:t>
            </w:r>
            <w:r w:rsidR="007709AE">
              <w:rPr>
                <w:rFonts w:ascii="Calibri" w:hAnsi="Calibri"/>
                <w:bCs/>
              </w:rPr>
              <w:t xml:space="preserve">as such </w:t>
            </w:r>
            <w:r w:rsidR="0099526F">
              <w:rPr>
                <w:rFonts w:ascii="Calibri" w:hAnsi="Calibri"/>
                <w:bCs/>
              </w:rPr>
              <w:t>it is not considered</w:t>
            </w:r>
            <w:r w:rsidR="007709AE">
              <w:rPr>
                <w:rFonts w:ascii="Calibri" w:hAnsi="Calibri"/>
                <w:bCs/>
              </w:rPr>
              <w:t xml:space="preserve"> the conservatory </w:t>
            </w:r>
            <w:r w:rsidR="0099526F">
              <w:rPr>
                <w:rFonts w:ascii="Calibri" w:hAnsi="Calibri"/>
                <w:bCs/>
              </w:rPr>
              <w:t xml:space="preserve">would have been acceptable </w:t>
            </w:r>
            <w:r w:rsidR="007709AE">
              <w:rPr>
                <w:rFonts w:ascii="Calibri" w:hAnsi="Calibri"/>
                <w:bCs/>
              </w:rPr>
              <w:t>should have</w:t>
            </w:r>
            <w:r w:rsidR="0099526F">
              <w:rPr>
                <w:rFonts w:ascii="Calibri" w:hAnsi="Calibri"/>
                <w:bCs/>
              </w:rPr>
              <w:t xml:space="preserve"> </w:t>
            </w:r>
            <w:r w:rsidR="007709AE">
              <w:rPr>
                <w:rFonts w:ascii="Calibri" w:hAnsi="Calibri"/>
                <w:bCs/>
              </w:rPr>
              <w:t>full planning permission been sought</w:t>
            </w:r>
            <w:r w:rsidR="0099526F">
              <w:rPr>
                <w:rFonts w:ascii="Calibri" w:hAnsi="Calibri"/>
                <w:bCs/>
              </w:rPr>
              <w:t>.</w:t>
            </w:r>
          </w:p>
          <w:p w14:paraId="11FF1867" w14:textId="0257E829" w:rsidR="0099526F" w:rsidRDefault="0099526F" w:rsidP="00512411">
            <w:pPr>
              <w:jc w:val="both"/>
              <w:rPr>
                <w:rFonts w:ascii="Calibri" w:hAnsi="Calibri"/>
                <w:bCs/>
              </w:rPr>
            </w:pPr>
          </w:p>
          <w:p w14:paraId="6A7E757A" w14:textId="77777777" w:rsidR="001613DB" w:rsidRDefault="0099526F" w:rsidP="00512411">
            <w:pPr>
              <w:jc w:val="both"/>
              <w:rPr>
                <w:rFonts w:ascii="Calibri" w:hAnsi="Calibri"/>
                <w:bCs/>
              </w:rPr>
            </w:pPr>
            <w:r>
              <w:rPr>
                <w:rFonts w:ascii="Calibri" w:hAnsi="Calibri"/>
                <w:bCs/>
              </w:rPr>
              <w:lastRenderedPageBreak/>
              <w:t xml:space="preserve">Relative to this, the proposed orangery would continue to possess features which would exacerbate and </w:t>
            </w:r>
            <w:r w:rsidR="00D90E8B">
              <w:rPr>
                <w:rFonts w:ascii="Calibri" w:hAnsi="Calibri"/>
                <w:bCs/>
              </w:rPr>
              <w:t>further</w:t>
            </w:r>
            <w:r>
              <w:rPr>
                <w:rFonts w:ascii="Calibri" w:hAnsi="Calibri"/>
                <w:bCs/>
              </w:rPr>
              <w:t xml:space="preserve"> consolidate the </w:t>
            </w:r>
            <w:r w:rsidR="007709AE">
              <w:rPr>
                <w:rFonts w:ascii="Calibri" w:hAnsi="Calibri"/>
                <w:bCs/>
              </w:rPr>
              <w:t>unacceptable</w:t>
            </w:r>
            <w:r>
              <w:rPr>
                <w:rFonts w:ascii="Calibri" w:hAnsi="Calibri"/>
                <w:bCs/>
              </w:rPr>
              <w:t xml:space="preserve"> harm </w:t>
            </w:r>
            <w:r w:rsidR="007709AE">
              <w:rPr>
                <w:rFonts w:ascii="Calibri" w:hAnsi="Calibri"/>
                <w:bCs/>
              </w:rPr>
              <w:t xml:space="preserve">inflicted upon </w:t>
            </w:r>
            <w:r w:rsidR="00C92976">
              <w:rPr>
                <w:rFonts w:ascii="Calibri" w:hAnsi="Calibri"/>
                <w:bCs/>
              </w:rPr>
              <w:t>the host dwelling and wider conservation area</w:t>
            </w:r>
            <w:r w:rsidR="007709AE">
              <w:rPr>
                <w:rFonts w:ascii="Calibri" w:hAnsi="Calibri"/>
                <w:bCs/>
              </w:rPr>
              <w:t>. The character of the existing property</w:t>
            </w:r>
            <w:r w:rsidR="003C6D36">
              <w:rPr>
                <w:rFonts w:ascii="Calibri" w:hAnsi="Calibri"/>
                <w:bCs/>
              </w:rPr>
              <w:t xml:space="preserve">, </w:t>
            </w:r>
            <w:r w:rsidR="007709AE">
              <w:rPr>
                <w:rFonts w:ascii="Calibri" w:hAnsi="Calibri"/>
                <w:bCs/>
              </w:rPr>
              <w:t xml:space="preserve">derived through its </w:t>
            </w:r>
            <w:r w:rsidR="00C92976">
              <w:rPr>
                <w:rFonts w:ascii="Calibri" w:hAnsi="Calibri"/>
                <w:bCs/>
              </w:rPr>
              <w:t xml:space="preserve">modest footprint, </w:t>
            </w:r>
            <w:r w:rsidR="007709AE">
              <w:rPr>
                <w:rFonts w:ascii="Calibri" w:hAnsi="Calibri"/>
                <w:bCs/>
              </w:rPr>
              <w:t xml:space="preserve">largely un-altered </w:t>
            </w:r>
            <w:r w:rsidR="003C6D36">
              <w:rPr>
                <w:rFonts w:ascii="Calibri" w:hAnsi="Calibri"/>
                <w:bCs/>
              </w:rPr>
              <w:t xml:space="preserve">form </w:t>
            </w:r>
            <w:r w:rsidR="007709AE">
              <w:rPr>
                <w:rFonts w:ascii="Calibri" w:hAnsi="Calibri"/>
                <w:bCs/>
              </w:rPr>
              <w:t xml:space="preserve">and </w:t>
            </w:r>
            <w:r w:rsidR="003C6D36">
              <w:rPr>
                <w:rFonts w:ascii="Calibri" w:hAnsi="Calibri"/>
                <w:bCs/>
              </w:rPr>
              <w:t>extent to which original detailing has been retained</w:t>
            </w:r>
            <w:r w:rsidR="000B5638">
              <w:rPr>
                <w:rFonts w:ascii="Calibri" w:hAnsi="Calibri"/>
                <w:bCs/>
              </w:rPr>
              <w:t>,</w:t>
            </w:r>
            <w:r w:rsidR="007709AE">
              <w:rPr>
                <w:rFonts w:ascii="Calibri" w:hAnsi="Calibri"/>
                <w:bCs/>
              </w:rPr>
              <w:t xml:space="preserve"> </w:t>
            </w:r>
            <w:r w:rsidR="003C6D36">
              <w:rPr>
                <w:rFonts w:ascii="Calibri" w:hAnsi="Calibri"/>
                <w:bCs/>
              </w:rPr>
              <w:t>would continue to be degraded through the siting of a</w:t>
            </w:r>
            <w:r w:rsidR="00490B19">
              <w:rPr>
                <w:rFonts w:ascii="Calibri" w:hAnsi="Calibri"/>
                <w:bCs/>
              </w:rPr>
              <w:t xml:space="preserve"> rear extension with a level of glazing which juxtapose</w:t>
            </w:r>
            <w:r w:rsidR="000B5638">
              <w:rPr>
                <w:rFonts w:ascii="Calibri" w:hAnsi="Calibri"/>
                <w:bCs/>
              </w:rPr>
              <w:t>s</w:t>
            </w:r>
            <w:r w:rsidR="00490B19">
              <w:rPr>
                <w:rFonts w:ascii="Calibri" w:hAnsi="Calibri"/>
                <w:bCs/>
              </w:rPr>
              <w:t xml:space="preserve"> with the conservative scale of the existing fenestration</w:t>
            </w:r>
            <w:r w:rsidR="00C92976">
              <w:rPr>
                <w:rFonts w:ascii="Calibri" w:hAnsi="Calibri"/>
                <w:bCs/>
              </w:rPr>
              <w:t xml:space="preserve">, also found to be </w:t>
            </w:r>
            <w:r w:rsidR="00490B19">
              <w:rPr>
                <w:rFonts w:ascii="Calibri" w:hAnsi="Calibri"/>
                <w:bCs/>
              </w:rPr>
              <w:t>largely anomalous relative to the surrounding area.</w:t>
            </w:r>
          </w:p>
          <w:p w14:paraId="5A4CBFBA" w14:textId="77777777" w:rsidR="001613DB" w:rsidRDefault="001613DB" w:rsidP="00512411">
            <w:pPr>
              <w:jc w:val="both"/>
              <w:rPr>
                <w:rFonts w:ascii="Calibri" w:hAnsi="Calibri"/>
                <w:bCs/>
              </w:rPr>
            </w:pPr>
          </w:p>
          <w:p w14:paraId="04C166A7" w14:textId="25C415C6" w:rsidR="00E213FA" w:rsidRDefault="006734C4" w:rsidP="00512411">
            <w:pPr>
              <w:jc w:val="both"/>
              <w:rPr>
                <w:rFonts w:ascii="Calibri" w:hAnsi="Calibri"/>
                <w:bCs/>
              </w:rPr>
            </w:pPr>
            <w:r>
              <w:rPr>
                <w:rFonts w:ascii="Calibri" w:hAnsi="Calibri"/>
                <w:bCs/>
              </w:rPr>
              <w:t>F</w:t>
            </w:r>
            <w:r w:rsidR="001C0A71">
              <w:rPr>
                <w:rFonts w:ascii="Calibri" w:hAnsi="Calibri"/>
                <w:bCs/>
              </w:rPr>
              <w:t>urthermore,</w:t>
            </w:r>
            <w:r>
              <w:rPr>
                <w:rFonts w:ascii="Calibri" w:hAnsi="Calibri"/>
                <w:bCs/>
              </w:rPr>
              <w:t xml:space="preserve"> the rear elevation of Nethergill Barn frames an important view out of the conservation area from east to west to the north of the property</w:t>
            </w:r>
            <w:r w:rsidR="001613DB">
              <w:rPr>
                <w:rFonts w:ascii="Calibri" w:hAnsi="Calibri"/>
                <w:bCs/>
              </w:rPr>
              <w:t xml:space="preserve"> towards Beacon Hill. T</w:t>
            </w:r>
            <w:r w:rsidR="00DB496E">
              <w:rPr>
                <w:rFonts w:ascii="Calibri" w:hAnsi="Calibri"/>
                <w:bCs/>
              </w:rPr>
              <w:t xml:space="preserve">he </w:t>
            </w:r>
            <w:r>
              <w:rPr>
                <w:rFonts w:ascii="Calibri" w:hAnsi="Calibri"/>
                <w:bCs/>
              </w:rPr>
              <w:t>proposed orangery</w:t>
            </w:r>
            <w:r w:rsidR="001613DB">
              <w:rPr>
                <w:rFonts w:ascii="Calibri" w:hAnsi="Calibri"/>
                <w:bCs/>
              </w:rPr>
              <w:t xml:space="preserve">, due to its </w:t>
            </w:r>
            <w:r w:rsidR="004C626E">
              <w:rPr>
                <w:rFonts w:ascii="Calibri" w:hAnsi="Calibri"/>
                <w:bCs/>
              </w:rPr>
              <w:t xml:space="preserve">scale, </w:t>
            </w:r>
            <w:r w:rsidR="001613DB">
              <w:rPr>
                <w:rFonts w:ascii="Calibri" w:hAnsi="Calibri"/>
                <w:bCs/>
              </w:rPr>
              <w:t>siting</w:t>
            </w:r>
            <w:r w:rsidR="004C626E">
              <w:rPr>
                <w:rFonts w:ascii="Calibri" w:hAnsi="Calibri"/>
                <w:bCs/>
              </w:rPr>
              <w:t xml:space="preserve"> and glazing, </w:t>
            </w:r>
            <w:r>
              <w:rPr>
                <w:rFonts w:ascii="Calibri" w:hAnsi="Calibri"/>
                <w:bCs/>
              </w:rPr>
              <w:t xml:space="preserve">would </w:t>
            </w:r>
            <w:r w:rsidR="00DB496E">
              <w:rPr>
                <w:rFonts w:ascii="Calibri" w:hAnsi="Calibri"/>
                <w:bCs/>
              </w:rPr>
              <w:t>be clearly visible and</w:t>
            </w:r>
            <w:r w:rsidR="004C626E">
              <w:rPr>
                <w:rFonts w:ascii="Calibri" w:hAnsi="Calibri"/>
                <w:bCs/>
              </w:rPr>
              <w:t xml:space="preserve"> as a result, unduly</w:t>
            </w:r>
            <w:r w:rsidR="00DB496E">
              <w:rPr>
                <w:rFonts w:ascii="Calibri" w:hAnsi="Calibri"/>
                <w:bCs/>
              </w:rPr>
              <w:t xml:space="preserve"> impact upon the nature of this </w:t>
            </w:r>
            <w:r w:rsidR="004C626E">
              <w:rPr>
                <w:rFonts w:ascii="Calibri" w:hAnsi="Calibri"/>
                <w:bCs/>
              </w:rPr>
              <w:t xml:space="preserve">view into, and out of, the </w:t>
            </w:r>
            <w:r w:rsidR="00DB496E">
              <w:rPr>
                <w:rFonts w:ascii="Calibri" w:hAnsi="Calibri"/>
                <w:bCs/>
              </w:rPr>
              <w:t xml:space="preserve">conservation area. </w:t>
            </w:r>
          </w:p>
          <w:p w14:paraId="1D5B27D9" w14:textId="4D14634F" w:rsidR="00DB496E" w:rsidRDefault="00DB496E" w:rsidP="00512411">
            <w:pPr>
              <w:jc w:val="both"/>
              <w:rPr>
                <w:rFonts w:ascii="Calibri" w:hAnsi="Calibri"/>
                <w:bCs/>
              </w:rPr>
            </w:pPr>
          </w:p>
          <w:p w14:paraId="4B529F38" w14:textId="77777777" w:rsidR="00DD2EE4" w:rsidRDefault="00DB496E" w:rsidP="001C0A71">
            <w:pPr>
              <w:jc w:val="both"/>
              <w:rPr>
                <w:rFonts w:ascii="Calibri" w:hAnsi="Calibri"/>
                <w:bCs/>
              </w:rPr>
            </w:pPr>
            <w:r>
              <w:rPr>
                <w:rFonts w:ascii="Calibri" w:hAnsi="Calibri"/>
                <w:bCs/>
              </w:rPr>
              <w:t xml:space="preserve">Overall, the proposed development fails to conserve the inherent character of the host barn as a building of townscape merit which </w:t>
            </w:r>
            <w:r w:rsidR="00064542">
              <w:rPr>
                <w:rFonts w:ascii="Calibri" w:hAnsi="Calibri"/>
                <w:bCs/>
              </w:rPr>
              <w:t>makes a positive and important contribution</w:t>
            </w:r>
            <w:r>
              <w:rPr>
                <w:rFonts w:ascii="Calibri" w:hAnsi="Calibri"/>
                <w:bCs/>
              </w:rPr>
              <w:t xml:space="preserve"> to the special architectural and historic character of Bolton-by-Bowland conservation area. </w:t>
            </w:r>
            <w:r w:rsidR="00064542">
              <w:rPr>
                <w:rFonts w:ascii="Calibri" w:hAnsi="Calibri"/>
                <w:bCs/>
              </w:rPr>
              <w:t xml:space="preserve">The resultant </w:t>
            </w:r>
            <w:r w:rsidR="0065425C">
              <w:rPr>
                <w:rFonts w:ascii="Calibri" w:hAnsi="Calibri"/>
                <w:bCs/>
              </w:rPr>
              <w:t>harm to</w:t>
            </w:r>
            <w:r w:rsidR="00064542">
              <w:rPr>
                <w:rFonts w:ascii="Calibri" w:hAnsi="Calibri"/>
                <w:bCs/>
              </w:rPr>
              <w:t xml:space="preserve"> this area as </w:t>
            </w:r>
            <w:r>
              <w:rPr>
                <w:rFonts w:ascii="Calibri" w:hAnsi="Calibri"/>
                <w:bCs/>
              </w:rPr>
              <w:t xml:space="preserve">a designated heritage asset </w:t>
            </w:r>
            <w:r w:rsidR="00064542">
              <w:rPr>
                <w:rFonts w:ascii="Calibri" w:hAnsi="Calibri"/>
                <w:bCs/>
              </w:rPr>
              <w:t>conflicts with policy DME4 of the RVCS and para</w:t>
            </w:r>
            <w:r w:rsidR="00C92976">
              <w:rPr>
                <w:rFonts w:ascii="Calibri" w:hAnsi="Calibri"/>
                <w:bCs/>
              </w:rPr>
              <w:t>s</w:t>
            </w:r>
            <w:r w:rsidR="00064542">
              <w:rPr>
                <w:rFonts w:ascii="Calibri" w:hAnsi="Calibri"/>
                <w:bCs/>
              </w:rPr>
              <w:t>. 201</w:t>
            </w:r>
            <w:r w:rsidR="00C92976">
              <w:rPr>
                <w:rFonts w:ascii="Calibri" w:hAnsi="Calibri"/>
                <w:bCs/>
              </w:rPr>
              <w:t>, 202</w:t>
            </w:r>
            <w:r w:rsidR="00064542">
              <w:rPr>
                <w:rFonts w:ascii="Calibri" w:hAnsi="Calibri"/>
                <w:bCs/>
              </w:rPr>
              <w:t xml:space="preserve"> of the National Planning Policy Framework insofar as that the development would inflict unreasonable harm without </w:t>
            </w:r>
            <w:r w:rsidR="00176B05">
              <w:rPr>
                <w:rFonts w:ascii="Calibri" w:hAnsi="Calibri"/>
                <w:bCs/>
              </w:rPr>
              <w:t>justification or significant public benefit.</w:t>
            </w:r>
          </w:p>
          <w:p w14:paraId="7719A99C" w14:textId="328FA250" w:rsidR="00C92976" w:rsidRPr="0065425C" w:rsidRDefault="00C92976" w:rsidP="001C0A71">
            <w:pPr>
              <w:jc w:val="both"/>
              <w:rPr>
                <w:rFonts w:ascii="Calibri" w:hAnsi="Calibri"/>
                <w:bCs/>
              </w:rPr>
            </w:pPr>
          </w:p>
        </w:tc>
      </w:tr>
      <w:tr w:rsidR="00E72253" w:rsidRPr="00B06B71" w14:paraId="7CB766F4" w14:textId="77777777" w:rsidTr="00DC460C">
        <w:trPr>
          <w:trHeight w:val="75"/>
          <w:jc w:val="center"/>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275CEBE" w14:textId="77777777" w:rsidR="00E72253" w:rsidRDefault="00E72253" w:rsidP="00512411">
            <w:pPr>
              <w:jc w:val="both"/>
              <w:rPr>
                <w:rFonts w:ascii="Calibri" w:hAnsi="Calibri"/>
                <w:b/>
                <w:bCs/>
              </w:rPr>
            </w:pPr>
            <w:r w:rsidRPr="00B06B71">
              <w:rPr>
                <w:rFonts w:ascii="Calibri" w:hAnsi="Calibri"/>
                <w:b/>
                <w:bCs/>
              </w:rPr>
              <w:lastRenderedPageBreak/>
              <w:t>Observations/Consideration of Matters Raised/Conclusion:</w:t>
            </w:r>
          </w:p>
          <w:p w14:paraId="1C8919BB" w14:textId="26082943" w:rsidR="00E72253" w:rsidRDefault="00E72253" w:rsidP="00512411">
            <w:pPr>
              <w:jc w:val="both"/>
              <w:rPr>
                <w:rFonts w:ascii="Calibri" w:hAnsi="Calibri"/>
                <w:b/>
                <w:bCs/>
              </w:rPr>
            </w:pPr>
          </w:p>
          <w:p w14:paraId="2223BF24" w14:textId="6617EB52" w:rsidR="001453C8" w:rsidRPr="007301EE" w:rsidRDefault="007301EE" w:rsidP="00512411">
            <w:pPr>
              <w:jc w:val="both"/>
              <w:rPr>
                <w:rFonts w:ascii="Calibri" w:hAnsi="Calibri"/>
              </w:rPr>
            </w:pPr>
            <w:r w:rsidRPr="007301EE">
              <w:rPr>
                <w:rFonts w:ascii="Calibri" w:hAnsi="Calibri"/>
              </w:rPr>
              <w:t>It is for the above reasons and having regard to all material considerations and matters raised that the application is recommended for refusal.</w:t>
            </w:r>
          </w:p>
          <w:p w14:paraId="4B043D7B" w14:textId="77777777" w:rsidR="00E72253" w:rsidRPr="00B06B71" w:rsidRDefault="00E72253" w:rsidP="00512411">
            <w:pPr>
              <w:pStyle w:val="Header"/>
              <w:tabs>
                <w:tab w:val="left" w:pos="720"/>
              </w:tabs>
              <w:jc w:val="both"/>
              <w:rPr>
                <w:rFonts w:ascii="Calibri" w:hAnsi="Calibri"/>
              </w:rPr>
            </w:pPr>
          </w:p>
        </w:tc>
      </w:tr>
      <w:tr w:rsidR="00E72253" w:rsidRPr="00B06B71" w14:paraId="1EDFD680" w14:textId="77777777" w:rsidTr="00DC460C">
        <w:trPr>
          <w:jc w:val="center"/>
        </w:trPr>
        <w:tc>
          <w:tcPr>
            <w:tcW w:w="27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2F5A597" w14:textId="77777777" w:rsidR="00E72253" w:rsidRPr="00B06B71" w:rsidRDefault="00E72253" w:rsidP="00512411">
            <w:pPr>
              <w:jc w:val="both"/>
              <w:rPr>
                <w:rFonts w:ascii="Calibri" w:hAnsi="Calibri"/>
                <w:b/>
                <w:bCs/>
              </w:rPr>
            </w:pPr>
            <w:r w:rsidRPr="00B06B71">
              <w:rPr>
                <w:rFonts w:ascii="Calibri" w:hAnsi="Calibri"/>
                <w:b/>
              </w:rPr>
              <w:t>RECOMMENDATION</w:t>
            </w:r>
            <w:r w:rsidRPr="00B06B71">
              <w:rPr>
                <w:rFonts w:ascii="Calibri" w:hAnsi="Calibri"/>
              </w:rPr>
              <w:t>:</w:t>
            </w:r>
          </w:p>
        </w:tc>
        <w:tc>
          <w:tcPr>
            <w:tcW w:w="67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DE4A94" w14:textId="0979F851" w:rsidR="00E72253" w:rsidRPr="00B06B71" w:rsidRDefault="00E72253" w:rsidP="00512411">
            <w:pPr>
              <w:jc w:val="both"/>
              <w:rPr>
                <w:rFonts w:ascii="Calibri" w:hAnsi="Calibri"/>
                <w:bCs/>
              </w:rPr>
            </w:pPr>
            <w:r w:rsidRPr="00B06B71">
              <w:rPr>
                <w:rFonts w:ascii="Calibri" w:hAnsi="Calibri"/>
                <w:bCs/>
              </w:rPr>
              <w:t xml:space="preserve">That planning </w:t>
            </w:r>
            <w:r w:rsidR="00897515">
              <w:rPr>
                <w:rFonts w:ascii="Calibri" w:hAnsi="Calibri"/>
                <w:bCs/>
              </w:rPr>
              <w:t>permission be refused for the following reason(s):</w:t>
            </w:r>
            <w:r w:rsidRPr="00B06B71">
              <w:rPr>
                <w:rFonts w:ascii="Calibri" w:hAnsi="Calibri"/>
                <w:bCs/>
              </w:rPr>
              <w:t xml:space="preserve"> </w:t>
            </w:r>
          </w:p>
        </w:tc>
      </w:tr>
      <w:tr w:rsidR="00897515" w:rsidRPr="00B06B71" w14:paraId="1E0C7EE3" w14:textId="77777777" w:rsidTr="00C92976">
        <w:trPr>
          <w:trHeight w:val="1440"/>
          <w:jc w:val="center"/>
        </w:trPr>
        <w:tc>
          <w:tcPr>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184AD96" w14:textId="4AA7CFE5" w:rsidR="00897515" w:rsidRPr="00B06B71" w:rsidRDefault="00897515" w:rsidP="00897515">
            <w:pPr>
              <w:jc w:val="both"/>
              <w:rPr>
                <w:rFonts w:ascii="Calibri" w:hAnsi="Calibri"/>
                <w:b/>
              </w:rPr>
            </w:pPr>
            <w:r>
              <w:rPr>
                <w:rFonts w:ascii="Calibri" w:hAnsi="Calibri"/>
                <w:b/>
              </w:rPr>
              <w:t>01</w:t>
            </w:r>
          </w:p>
        </w:tc>
        <w:tc>
          <w:tcPr>
            <w:tcW w:w="905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04325A" w14:textId="735197FE" w:rsidR="00897515" w:rsidRPr="00B06B71" w:rsidRDefault="00897515" w:rsidP="006920FD">
            <w:pPr>
              <w:jc w:val="both"/>
              <w:rPr>
                <w:rFonts w:ascii="Calibri" w:hAnsi="Calibri"/>
                <w:bCs/>
              </w:rPr>
            </w:pPr>
            <w:r>
              <w:rPr>
                <w:rFonts w:ascii="Calibri" w:hAnsi="Calibri"/>
                <w:bCs/>
              </w:rPr>
              <w:t>The propos</w:t>
            </w:r>
            <w:r w:rsidR="006920FD">
              <w:rPr>
                <w:rFonts w:ascii="Calibri" w:hAnsi="Calibri"/>
                <w:bCs/>
              </w:rPr>
              <w:t>al</w:t>
            </w:r>
            <w:r>
              <w:rPr>
                <w:rFonts w:ascii="Calibri" w:hAnsi="Calibri"/>
                <w:bCs/>
              </w:rPr>
              <w:t>,</w:t>
            </w:r>
            <w:r w:rsidR="006920FD">
              <w:rPr>
                <w:rFonts w:ascii="Calibri" w:hAnsi="Calibri"/>
                <w:bCs/>
              </w:rPr>
              <w:t xml:space="preserve"> by virtue </w:t>
            </w:r>
            <w:r>
              <w:rPr>
                <w:rFonts w:ascii="Calibri" w:hAnsi="Calibri"/>
                <w:bCs/>
              </w:rPr>
              <w:t xml:space="preserve">of its </w:t>
            </w:r>
            <w:r w:rsidR="00C27705">
              <w:rPr>
                <w:rFonts w:ascii="Calibri" w:hAnsi="Calibri"/>
                <w:bCs/>
              </w:rPr>
              <w:t>glazing</w:t>
            </w:r>
            <w:r w:rsidR="00823620">
              <w:rPr>
                <w:rFonts w:ascii="Calibri" w:hAnsi="Calibri"/>
                <w:bCs/>
              </w:rPr>
              <w:t>,</w:t>
            </w:r>
            <w:r w:rsidR="00F21D71">
              <w:rPr>
                <w:rFonts w:ascii="Calibri" w:hAnsi="Calibri"/>
                <w:bCs/>
              </w:rPr>
              <w:t xml:space="preserve"> </w:t>
            </w:r>
            <w:r w:rsidR="006920FD">
              <w:rPr>
                <w:rFonts w:ascii="Calibri" w:hAnsi="Calibri"/>
                <w:bCs/>
              </w:rPr>
              <w:t>scale</w:t>
            </w:r>
            <w:r w:rsidR="00823620">
              <w:rPr>
                <w:rFonts w:ascii="Calibri" w:hAnsi="Calibri"/>
                <w:bCs/>
              </w:rPr>
              <w:t xml:space="preserve"> and </w:t>
            </w:r>
            <w:r w:rsidR="00A213E1">
              <w:rPr>
                <w:rFonts w:ascii="Calibri" w:hAnsi="Calibri"/>
                <w:bCs/>
              </w:rPr>
              <w:t>proportioning,</w:t>
            </w:r>
            <w:r>
              <w:rPr>
                <w:rFonts w:ascii="Calibri" w:hAnsi="Calibri"/>
                <w:bCs/>
              </w:rPr>
              <w:t xml:space="preserve"> would </w:t>
            </w:r>
            <w:r w:rsidR="00823620">
              <w:rPr>
                <w:rFonts w:ascii="Calibri" w:hAnsi="Calibri"/>
                <w:bCs/>
              </w:rPr>
              <w:t>result in the introduction of</w:t>
            </w:r>
            <w:r>
              <w:rPr>
                <w:rFonts w:ascii="Calibri" w:hAnsi="Calibri"/>
                <w:bCs/>
              </w:rPr>
              <w:t xml:space="preserve"> an unsympathetic</w:t>
            </w:r>
            <w:r w:rsidR="006920FD">
              <w:rPr>
                <w:rFonts w:ascii="Calibri" w:hAnsi="Calibri"/>
                <w:bCs/>
              </w:rPr>
              <w:t xml:space="preserve">, </w:t>
            </w:r>
            <w:r>
              <w:rPr>
                <w:rFonts w:ascii="Calibri" w:hAnsi="Calibri"/>
                <w:bCs/>
              </w:rPr>
              <w:t>incongruous</w:t>
            </w:r>
            <w:r w:rsidR="006920FD">
              <w:rPr>
                <w:rFonts w:ascii="Calibri" w:hAnsi="Calibri"/>
                <w:bCs/>
              </w:rPr>
              <w:t xml:space="preserve"> and discordant form of</w:t>
            </w:r>
            <w:r>
              <w:rPr>
                <w:rFonts w:ascii="Calibri" w:hAnsi="Calibri"/>
                <w:bCs/>
              </w:rPr>
              <w:t xml:space="preserve"> </w:t>
            </w:r>
            <w:r w:rsidR="006920FD">
              <w:rPr>
                <w:rFonts w:ascii="Calibri" w:hAnsi="Calibri"/>
                <w:bCs/>
              </w:rPr>
              <w:t xml:space="preserve">development which fails to </w:t>
            </w:r>
            <w:r w:rsidR="00823620">
              <w:rPr>
                <w:rFonts w:ascii="Calibri" w:hAnsi="Calibri"/>
                <w:bCs/>
              </w:rPr>
              <w:t xml:space="preserve">positively </w:t>
            </w:r>
            <w:r w:rsidR="006920FD">
              <w:rPr>
                <w:rFonts w:ascii="Calibri" w:hAnsi="Calibri"/>
                <w:bCs/>
              </w:rPr>
              <w:t xml:space="preserve">reflect </w:t>
            </w:r>
            <w:r w:rsidR="00823620">
              <w:rPr>
                <w:rFonts w:ascii="Calibri" w:hAnsi="Calibri"/>
                <w:bCs/>
              </w:rPr>
              <w:t xml:space="preserve">or respond to </w:t>
            </w:r>
            <w:r w:rsidR="006920FD">
              <w:rPr>
                <w:rFonts w:ascii="Calibri" w:hAnsi="Calibri"/>
                <w:bCs/>
              </w:rPr>
              <w:t>the inherent character of the host property,</w:t>
            </w:r>
            <w:r w:rsidR="006920FD">
              <w:t xml:space="preserve"> </w:t>
            </w:r>
            <w:r w:rsidR="006920FD" w:rsidRPr="006920FD">
              <w:rPr>
                <w:rFonts w:ascii="Calibri" w:hAnsi="Calibri"/>
                <w:bCs/>
              </w:rPr>
              <w:t xml:space="preserve">being of significant detriment to the character and visual amenities of the area. As such the proposal is considered to be in direct conflict with Policy DMG1 of the Ribble Valley Core Strategy. </w:t>
            </w:r>
          </w:p>
        </w:tc>
      </w:tr>
      <w:tr w:rsidR="00C27705" w:rsidRPr="00B06B71" w14:paraId="5E4261A6" w14:textId="77777777" w:rsidTr="000F48EC">
        <w:trPr>
          <w:trHeight w:val="1579"/>
          <w:jc w:val="center"/>
        </w:trPr>
        <w:tc>
          <w:tcPr>
            <w:tcW w:w="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10028BA" w14:textId="7F56930C" w:rsidR="00C27705" w:rsidRDefault="00E84CD1" w:rsidP="00897515">
            <w:pPr>
              <w:jc w:val="both"/>
              <w:rPr>
                <w:rFonts w:ascii="Calibri" w:hAnsi="Calibri"/>
                <w:b/>
              </w:rPr>
            </w:pPr>
            <w:r>
              <w:rPr>
                <w:rFonts w:ascii="Calibri" w:hAnsi="Calibri"/>
                <w:b/>
              </w:rPr>
              <w:t>02</w:t>
            </w:r>
          </w:p>
        </w:tc>
        <w:tc>
          <w:tcPr>
            <w:tcW w:w="905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2721A4" w14:textId="7E72CD32" w:rsidR="00C27705" w:rsidRDefault="00176B05" w:rsidP="006920FD">
            <w:pPr>
              <w:jc w:val="both"/>
              <w:rPr>
                <w:rFonts w:ascii="Calibri" w:hAnsi="Calibri"/>
                <w:bCs/>
              </w:rPr>
            </w:pPr>
            <w:r>
              <w:rPr>
                <w:rFonts w:ascii="Calibri" w:hAnsi="Calibri"/>
                <w:bCs/>
              </w:rPr>
              <w:t>The proposal, by virtue of its design</w:t>
            </w:r>
            <w:r w:rsidR="004150D6">
              <w:rPr>
                <w:rFonts w:ascii="Calibri" w:hAnsi="Calibri"/>
                <w:bCs/>
              </w:rPr>
              <w:t xml:space="preserve">, scale and </w:t>
            </w:r>
            <w:r>
              <w:rPr>
                <w:rFonts w:ascii="Calibri" w:hAnsi="Calibri"/>
                <w:bCs/>
              </w:rPr>
              <w:t xml:space="preserve">visual prominence, </w:t>
            </w:r>
            <w:r w:rsidR="008C2C73">
              <w:rPr>
                <w:rFonts w:ascii="Calibri" w:hAnsi="Calibri"/>
                <w:bCs/>
              </w:rPr>
              <w:t xml:space="preserve">would result in unjustifiable </w:t>
            </w:r>
            <w:r w:rsidR="004150D6">
              <w:rPr>
                <w:rFonts w:ascii="Calibri" w:hAnsi="Calibri"/>
                <w:bCs/>
              </w:rPr>
              <w:t>harm to a designated heritage asset insofar as that the development would degrade the architectural qualities, character and historic interest of a building identified as offering special contribution toward a conservation area</w:t>
            </w:r>
            <w:r w:rsidR="000F48EC">
              <w:rPr>
                <w:rFonts w:ascii="Calibri" w:hAnsi="Calibri"/>
                <w:bCs/>
              </w:rPr>
              <w:t xml:space="preserve">, </w:t>
            </w:r>
            <w:r w:rsidR="004150D6">
              <w:rPr>
                <w:rFonts w:ascii="Calibri" w:hAnsi="Calibri"/>
                <w:bCs/>
              </w:rPr>
              <w:t xml:space="preserve">in direct conflict with Policy DME4 </w:t>
            </w:r>
            <w:r w:rsidR="000F48EC">
              <w:rPr>
                <w:rFonts w:ascii="Calibri" w:hAnsi="Calibri"/>
                <w:bCs/>
              </w:rPr>
              <w:t>and EN5 of the Ribble Valley Core Strategy</w:t>
            </w:r>
            <w:r w:rsidR="000F4D02">
              <w:rPr>
                <w:rFonts w:ascii="Calibri" w:hAnsi="Calibri"/>
                <w:bCs/>
              </w:rPr>
              <w:t xml:space="preserve"> and paragraph</w:t>
            </w:r>
            <w:r w:rsidR="00A96502">
              <w:rPr>
                <w:rFonts w:ascii="Calibri" w:hAnsi="Calibri"/>
                <w:bCs/>
              </w:rPr>
              <w:t>s</w:t>
            </w:r>
            <w:r w:rsidR="000F4D02">
              <w:rPr>
                <w:rFonts w:ascii="Calibri" w:hAnsi="Calibri"/>
                <w:bCs/>
              </w:rPr>
              <w:t xml:space="preserve"> 201 </w:t>
            </w:r>
            <w:r w:rsidR="00A96502">
              <w:rPr>
                <w:rFonts w:ascii="Calibri" w:hAnsi="Calibri"/>
                <w:bCs/>
              </w:rPr>
              <w:t xml:space="preserve">and 202 </w:t>
            </w:r>
            <w:r w:rsidR="000F4D02">
              <w:rPr>
                <w:rFonts w:ascii="Calibri" w:hAnsi="Calibri"/>
                <w:bCs/>
              </w:rPr>
              <w:t>of the National Planning Policy Framework.</w:t>
            </w:r>
          </w:p>
        </w:tc>
      </w:tr>
    </w:tbl>
    <w:p w14:paraId="04685AAD" w14:textId="77777777" w:rsidR="00E72253" w:rsidRDefault="00E72253"/>
    <w:sectPr w:rsidR="00E722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28D4" w14:textId="77777777" w:rsidR="00DC460C" w:rsidRDefault="00DC460C" w:rsidP="00DC460C">
      <w:r>
        <w:separator/>
      </w:r>
    </w:p>
  </w:endnote>
  <w:endnote w:type="continuationSeparator" w:id="0">
    <w:p w14:paraId="1FADE137" w14:textId="77777777" w:rsidR="00DC460C" w:rsidRDefault="00DC460C" w:rsidP="00DC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A5E4" w14:textId="77777777" w:rsidR="00DC460C" w:rsidRDefault="00DC460C" w:rsidP="00DC460C">
      <w:r>
        <w:separator/>
      </w:r>
    </w:p>
  </w:footnote>
  <w:footnote w:type="continuationSeparator" w:id="0">
    <w:p w14:paraId="2E463E02" w14:textId="77777777" w:rsidR="00DC460C" w:rsidRDefault="00DC460C" w:rsidP="00DC4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6F41"/>
    <w:multiLevelType w:val="hybridMultilevel"/>
    <w:tmpl w:val="B4E6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89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53"/>
    <w:rsid w:val="0000203C"/>
    <w:rsid w:val="000031C9"/>
    <w:rsid w:val="0001249B"/>
    <w:rsid w:val="000145A7"/>
    <w:rsid w:val="00025FB6"/>
    <w:rsid w:val="0002741B"/>
    <w:rsid w:val="000278A0"/>
    <w:rsid w:val="00030BA1"/>
    <w:rsid w:val="0004058E"/>
    <w:rsid w:val="0004402F"/>
    <w:rsid w:val="00053610"/>
    <w:rsid w:val="000556F2"/>
    <w:rsid w:val="00064542"/>
    <w:rsid w:val="0007166A"/>
    <w:rsid w:val="000808F1"/>
    <w:rsid w:val="0008528B"/>
    <w:rsid w:val="00090EE3"/>
    <w:rsid w:val="0009396C"/>
    <w:rsid w:val="00096153"/>
    <w:rsid w:val="0009708F"/>
    <w:rsid w:val="0009788A"/>
    <w:rsid w:val="000A35D8"/>
    <w:rsid w:val="000A6A0F"/>
    <w:rsid w:val="000B5638"/>
    <w:rsid w:val="000E00E6"/>
    <w:rsid w:val="000F1D87"/>
    <w:rsid w:val="000F2595"/>
    <w:rsid w:val="000F48EC"/>
    <w:rsid w:val="000F4D02"/>
    <w:rsid w:val="000F53E6"/>
    <w:rsid w:val="001040C4"/>
    <w:rsid w:val="00120237"/>
    <w:rsid w:val="001413EA"/>
    <w:rsid w:val="00144189"/>
    <w:rsid w:val="001453C8"/>
    <w:rsid w:val="00145960"/>
    <w:rsid w:val="00156349"/>
    <w:rsid w:val="001613DB"/>
    <w:rsid w:val="00176B05"/>
    <w:rsid w:val="00180D6D"/>
    <w:rsid w:val="00183AA3"/>
    <w:rsid w:val="00185DAC"/>
    <w:rsid w:val="001958B3"/>
    <w:rsid w:val="001969DD"/>
    <w:rsid w:val="001A1503"/>
    <w:rsid w:val="001A3E12"/>
    <w:rsid w:val="001A7AF4"/>
    <w:rsid w:val="001B08A9"/>
    <w:rsid w:val="001C0A71"/>
    <w:rsid w:val="001C1683"/>
    <w:rsid w:val="001C66A8"/>
    <w:rsid w:val="001C7CAB"/>
    <w:rsid w:val="001D1FCC"/>
    <w:rsid w:val="001D3BFD"/>
    <w:rsid w:val="001E1BC2"/>
    <w:rsid w:val="001E5D6C"/>
    <w:rsid w:val="001F76D2"/>
    <w:rsid w:val="00212D91"/>
    <w:rsid w:val="002173EC"/>
    <w:rsid w:val="00232357"/>
    <w:rsid w:val="00240550"/>
    <w:rsid w:val="00261A74"/>
    <w:rsid w:val="00262179"/>
    <w:rsid w:val="002916A6"/>
    <w:rsid w:val="002A0426"/>
    <w:rsid w:val="002A1F6D"/>
    <w:rsid w:val="002A2A22"/>
    <w:rsid w:val="002C3C60"/>
    <w:rsid w:val="002C68F1"/>
    <w:rsid w:val="002D083C"/>
    <w:rsid w:val="002E4B1F"/>
    <w:rsid w:val="002E64C6"/>
    <w:rsid w:val="00331759"/>
    <w:rsid w:val="0034271B"/>
    <w:rsid w:val="00354EA4"/>
    <w:rsid w:val="003568B4"/>
    <w:rsid w:val="00360F55"/>
    <w:rsid w:val="003630F2"/>
    <w:rsid w:val="00367472"/>
    <w:rsid w:val="00385558"/>
    <w:rsid w:val="00387C0B"/>
    <w:rsid w:val="00392E8D"/>
    <w:rsid w:val="003C3476"/>
    <w:rsid w:val="003C6D36"/>
    <w:rsid w:val="003D2BD8"/>
    <w:rsid w:val="003D5C45"/>
    <w:rsid w:val="003D7CB9"/>
    <w:rsid w:val="003E4BE0"/>
    <w:rsid w:val="00412C6E"/>
    <w:rsid w:val="004150D6"/>
    <w:rsid w:val="004321DA"/>
    <w:rsid w:val="00440DF3"/>
    <w:rsid w:val="00444627"/>
    <w:rsid w:val="0044506D"/>
    <w:rsid w:val="00445AFD"/>
    <w:rsid w:val="00461EFA"/>
    <w:rsid w:val="00481355"/>
    <w:rsid w:val="004868F6"/>
    <w:rsid w:val="00490B19"/>
    <w:rsid w:val="004979E9"/>
    <w:rsid w:val="004A15E9"/>
    <w:rsid w:val="004C4859"/>
    <w:rsid w:val="004C626E"/>
    <w:rsid w:val="004F0E4D"/>
    <w:rsid w:val="00505995"/>
    <w:rsid w:val="00511D02"/>
    <w:rsid w:val="00514DED"/>
    <w:rsid w:val="00521053"/>
    <w:rsid w:val="00527BF7"/>
    <w:rsid w:val="0055329F"/>
    <w:rsid w:val="00557E13"/>
    <w:rsid w:val="00561D63"/>
    <w:rsid w:val="00564D34"/>
    <w:rsid w:val="005777EB"/>
    <w:rsid w:val="00584E3B"/>
    <w:rsid w:val="005A0B85"/>
    <w:rsid w:val="005C1EB8"/>
    <w:rsid w:val="005F18A8"/>
    <w:rsid w:val="005F4C8C"/>
    <w:rsid w:val="0060707B"/>
    <w:rsid w:val="00621887"/>
    <w:rsid w:val="00623616"/>
    <w:rsid w:val="006314B4"/>
    <w:rsid w:val="00642A86"/>
    <w:rsid w:val="0064678A"/>
    <w:rsid w:val="00651E9F"/>
    <w:rsid w:val="0065425C"/>
    <w:rsid w:val="006730DE"/>
    <w:rsid w:val="006734C4"/>
    <w:rsid w:val="006920FD"/>
    <w:rsid w:val="006A3E97"/>
    <w:rsid w:val="006B64EE"/>
    <w:rsid w:val="006C0D3C"/>
    <w:rsid w:val="006C1D0A"/>
    <w:rsid w:val="006C5193"/>
    <w:rsid w:val="006C7DC7"/>
    <w:rsid w:val="006E1633"/>
    <w:rsid w:val="006E1DB4"/>
    <w:rsid w:val="006E1F60"/>
    <w:rsid w:val="006F123D"/>
    <w:rsid w:val="006F2917"/>
    <w:rsid w:val="006F463D"/>
    <w:rsid w:val="006F61DB"/>
    <w:rsid w:val="00712022"/>
    <w:rsid w:val="007301EE"/>
    <w:rsid w:val="00746B87"/>
    <w:rsid w:val="00753051"/>
    <w:rsid w:val="00756033"/>
    <w:rsid w:val="0075634E"/>
    <w:rsid w:val="007709AE"/>
    <w:rsid w:val="00770D80"/>
    <w:rsid w:val="007710DA"/>
    <w:rsid w:val="00771AA9"/>
    <w:rsid w:val="007932B6"/>
    <w:rsid w:val="007A0ADA"/>
    <w:rsid w:val="007A34AE"/>
    <w:rsid w:val="007B0B52"/>
    <w:rsid w:val="007C2BC3"/>
    <w:rsid w:val="007C5CD4"/>
    <w:rsid w:val="007D2A22"/>
    <w:rsid w:val="007D3DB5"/>
    <w:rsid w:val="007E2646"/>
    <w:rsid w:val="00802D82"/>
    <w:rsid w:val="00810920"/>
    <w:rsid w:val="00820320"/>
    <w:rsid w:val="00823620"/>
    <w:rsid w:val="00824506"/>
    <w:rsid w:val="0085064F"/>
    <w:rsid w:val="00856F82"/>
    <w:rsid w:val="00886F1D"/>
    <w:rsid w:val="00890265"/>
    <w:rsid w:val="00897515"/>
    <w:rsid w:val="008A085D"/>
    <w:rsid w:val="008B7CBB"/>
    <w:rsid w:val="008C2C73"/>
    <w:rsid w:val="008F3830"/>
    <w:rsid w:val="008F707D"/>
    <w:rsid w:val="008F73FD"/>
    <w:rsid w:val="008F7EE8"/>
    <w:rsid w:val="00913981"/>
    <w:rsid w:val="009229BB"/>
    <w:rsid w:val="00937A19"/>
    <w:rsid w:val="0094549D"/>
    <w:rsid w:val="00946D0D"/>
    <w:rsid w:val="00953334"/>
    <w:rsid w:val="00960057"/>
    <w:rsid w:val="00971763"/>
    <w:rsid w:val="009852AB"/>
    <w:rsid w:val="0099526F"/>
    <w:rsid w:val="009A6BFB"/>
    <w:rsid w:val="009B167C"/>
    <w:rsid w:val="009D7981"/>
    <w:rsid w:val="009E4224"/>
    <w:rsid w:val="009E4E8E"/>
    <w:rsid w:val="009F4854"/>
    <w:rsid w:val="00A00CCA"/>
    <w:rsid w:val="00A04CB8"/>
    <w:rsid w:val="00A14B17"/>
    <w:rsid w:val="00A213E1"/>
    <w:rsid w:val="00A3307B"/>
    <w:rsid w:val="00A368E9"/>
    <w:rsid w:val="00A45412"/>
    <w:rsid w:val="00A5490C"/>
    <w:rsid w:val="00A54D5D"/>
    <w:rsid w:val="00A62EFE"/>
    <w:rsid w:val="00A96502"/>
    <w:rsid w:val="00AA5729"/>
    <w:rsid w:val="00AD2F41"/>
    <w:rsid w:val="00AD4C24"/>
    <w:rsid w:val="00AD5E07"/>
    <w:rsid w:val="00AE399B"/>
    <w:rsid w:val="00AF46F9"/>
    <w:rsid w:val="00AF7964"/>
    <w:rsid w:val="00B10238"/>
    <w:rsid w:val="00B178F9"/>
    <w:rsid w:val="00B23369"/>
    <w:rsid w:val="00B40E4B"/>
    <w:rsid w:val="00B41461"/>
    <w:rsid w:val="00B43C67"/>
    <w:rsid w:val="00B56E93"/>
    <w:rsid w:val="00B6501C"/>
    <w:rsid w:val="00B75BB0"/>
    <w:rsid w:val="00B85B8E"/>
    <w:rsid w:val="00B906B9"/>
    <w:rsid w:val="00B91DAD"/>
    <w:rsid w:val="00BA25A0"/>
    <w:rsid w:val="00BC5671"/>
    <w:rsid w:val="00BD710E"/>
    <w:rsid w:val="00BE7CBB"/>
    <w:rsid w:val="00C00B4E"/>
    <w:rsid w:val="00C04A20"/>
    <w:rsid w:val="00C0742B"/>
    <w:rsid w:val="00C16003"/>
    <w:rsid w:val="00C24BD9"/>
    <w:rsid w:val="00C27367"/>
    <w:rsid w:val="00C27705"/>
    <w:rsid w:val="00C36539"/>
    <w:rsid w:val="00C426C9"/>
    <w:rsid w:val="00C4714B"/>
    <w:rsid w:val="00C57F6F"/>
    <w:rsid w:val="00C6233F"/>
    <w:rsid w:val="00C625F2"/>
    <w:rsid w:val="00C715D5"/>
    <w:rsid w:val="00C848D6"/>
    <w:rsid w:val="00C84C1A"/>
    <w:rsid w:val="00C92976"/>
    <w:rsid w:val="00C967DA"/>
    <w:rsid w:val="00C96836"/>
    <w:rsid w:val="00C96909"/>
    <w:rsid w:val="00CA6574"/>
    <w:rsid w:val="00CA7466"/>
    <w:rsid w:val="00CB6470"/>
    <w:rsid w:val="00CD5C4A"/>
    <w:rsid w:val="00CE3F1C"/>
    <w:rsid w:val="00CE666F"/>
    <w:rsid w:val="00CF24BF"/>
    <w:rsid w:val="00CF6CEE"/>
    <w:rsid w:val="00D00643"/>
    <w:rsid w:val="00D17325"/>
    <w:rsid w:val="00D31EF2"/>
    <w:rsid w:val="00D5539D"/>
    <w:rsid w:val="00D564BB"/>
    <w:rsid w:val="00D61E09"/>
    <w:rsid w:val="00D832C8"/>
    <w:rsid w:val="00D90E8B"/>
    <w:rsid w:val="00D91B03"/>
    <w:rsid w:val="00DB496E"/>
    <w:rsid w:val="00DC07C4"/>
    <w:rsid w:val="00DC29B5"/>
    <w:rsid w:val="00DC460C"/>
    <w:rsid w:val="00DC47BF"/>
    <w:rsid w:val="00DC748B"/>
    <w:rsid w:val="00DD2EE4"/>
    <w:rsid w:val="00E02DD1"/>
    <w:rsid w:val="00E06ACD"/>
    <w:rsid w:val="00E07B99"/>
    <w:rsid w:val="00E213FA"/>
    <w:rsid w:val="00E27917"/>
    <w:rsid w:val="00E4477B"/>
    <w:rsid w:val="00E45193"/>
    <w:rsid w:val="00E5180E"/>
    <w:rsid w:val="00E72253"/>
    <w:rsid w:val="00E725C9"/>
    <w:rsid w:val="00E82D51"/>
    <w:rsid w:val="00E83FB4"/>
    <w:rsid w:val="00E84CD1"/>
    <w:rsid w:val="00EB0301"/>
    <w:rsid w:val="00ED05C2"/>
    <w:rsid w:val="00EE54B3"/>
    <w:rsid w:val="00EF0BD7"/>
    <w:rsid w:val="00F0017F"/>
    <w:rsid w:val="00F03F8C"/>
    <w:rsid w:val="00F21D71"/>
    <w:rsid w:val="00F22C49"/>
    <w:rsid w:val="00F30127"/>
    <w:rsid w:val="00F51E10"/>
    <w:rsid w:val="00F64E48"/>
    <w:rsid w:val="00F743D2"/>
    <w:rsid w:val="00F75349"/>
    <w:rsid w:val="00F8156C"/>
    <w:rsid w:val="00F852A7"/>
    <w:rsid w:val="00F94FE9"/>
    <w:rsid w:val="00FA4D38"/>
    <w:rsid w:val="00FE3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B3C5"/>
  <w15:chartTrackingRefBased/>
  <w15:docId w15:val="{29B2B31F-25F2-4E73-B834-A361F92F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53"/>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2253"/>
    <w:pPr>
      <w:tabs>
        <w:tab w:val="center" w:pos="4153"/>
        <w:tab w:val="right" w:pos="8306"/>
      </w:tabs>
    </w:pPr>
  </w:style>
  <w:style w:type="character" w:customStyle="1" w:styleId="HeaderChar">
    <w:name w:val="Header Char"/>
    <w:basedOn w:val="DefaultParagraphFont"/>
    <w:link w:val="Header"/>
    <w:rsid w:val="00E72253"/>
    <w:rPr>
      <w:rFonts w:ascii="Arial" w:eastAsia="Times New Roman" w:hAnsi="Arial" w:cs="Times New Roman"/>
      <w:szCs w:val="20"/>
    </w:rPr>
  </w:style>
  <w:style w:type="paragraph" w:customStyle="1" w:styleId="PLANNING">
    <w:name w:val="PLANNING"/>
    <w:basedOn w:val="Normal"/>
    <w:rsid w:val="00E72253"/>
    <w:pPr>
      <w:jc w:val="both"/>
    </w:pPr>
  </w:style>
  <w:style w:type="table" w:styleId="TableGrid">
    <w:name w:val="Table Grid"/>
    <w:basedOn w:val="TableNormal"/>
    <w:uiPriority w:val="59"/>
    <w:rsid w:val="00E722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253"/>
    <w:pPr>
      <w:ind w:left="720"/>
      <w:contextualSpacing/>
    </w:pPr>
  </w:style>
  <w:style w:type="paragraph" w:styleId="Revision">
    <w:name w:val="Revision"/>
    <w:hidden/>
    <w:uiPriority w:val="99"/>
    <w:semiHidden/>
    <w:rsid w:val="000031C9"/>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DC460C"/>
    <w:pPr>
      <w:tabs>
        <w:tab w:val="center" w:pos="4513"/>
        <w:tab w:val="right" w:pos="9026"/>
      </w:tabs>
    </w:pPr>
  </w:style>
  <w:style w:type="character" w:customStyle="1" w:styleId="FooterChar">
    <w:name w:val="Footer Char"/>
    <w:basedOn w:val="DefaultParagraphFont"/>
    <w:link w:val="Footer"/>
    <w:uiPriority w:val="99"/>
    <w:rsid w:val="00DC460C"/>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95338">
      <w:bodyDiv w:val="1"/>
      <w:marLeft w:val="0"/>
      <w:marRight w:val="0"/>
      <w:marTop w:val="0"/>
      <w:marBottom w:val="0"/>
      <w:divBdr>
        <w:top w:val="none" w:sz="0" w:space="0" w:color="auto"/>
        <w:left w:val="none" w:sz="0" w:space="0" w:color="auto"/>
        <w:bottom w:val="none" w:sz="0" w:space="0" w:color="auto"/>
        <w:right w:val="none" w:sz="0" w:space="0" w:color="auto"/>
      </w:divBdr>
    </w:div>
    <w:div w:id="779565456">
      <w:bodyDiv w:val="1"/>
      <w:marLeft w:val="0"/>
      <w:marRight w:val="0"/>
      <w:marTop w:val="0"/>
      <w:marBottom w:val="0"/>
      <w:divBdr>
        <w:top w:val="none" w:sz="0" w:space="0" w:color="auto"/>
        <w:left w:val="none" w:sz="0" w:space="0" w:color="auto"/>
        <w:bottom w:val="none" w:sz="0" w:space="0" w:color="auto"/>
        <w:right w:val="none" w:sz="0" w:space="0" w:color="auto"/>
      </w:divBdr>
    </w:div>
    <w:div w:id="847327600">
      <w:bodyDiv w:val="1"/>
      <w:marLeft w:val="0"/>
      <w:marRight w:val="0"/>
      <w:marTop w:val="0"/>
      <w:marBottom w:val="0"/>
      <w:divBdr>
        <w:top w:val="none" w:sz="0" w:space="0" w:color="auto"/>
        <w:left w:val="none" w:sz="0" w:space="0" w:color="auto"/>
        <w:bottom w:val="none" w:sz="0" w:space="0" w:color="auto"/>
        <w:right w:val="none" w:sz="0" w:space="0" w:color="auto"/>
      </w:divBdr>
    </w:div>
    <w:div w:id="1193764227">
      <w:bodyDiv w:val="1"/>
      <w:marLeft w:val="0"/>
      <w:marRight w:val="0"/>
      <w:marTop w:val="0"/>
      <w:marBottom w:val="0"/>
      <w:divBdr>
        <w:top w:val="none" w:sz="0" w:space="0" w:color="auto"/>
        <w:left w:val="none" w:sz="0" w:space="0" w:color="auto"/>
        <w:bottom w:val="none" w:sz="0" w:space="0" w:color="auto"/>
        <w:right w:val="none" w:sz="0" w:space="0" w:color="auto"/>
      </w:divBdr>
    </w:div>
    <w:div w:id="18695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Waleczek</dc:creator>
  <cp:keywords/>
  <dc:description/>
  <cp:lastModifiedBy>Lesley Lund</cp:lastModifiedBy>
  <cp:revision>2</cp:revision>
  <dcterms:created xsi:type="dcterms:W3CDTF">2022-09-13T13:50:00Z</dcterms:created>
  <dcterms:modified xsi:type="dcterms:W3CDTF">2022-09-13T13:50:00Z</dcterms:modified>
</cp:coreProperties>
</file>