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75"/>
        <w:gridCol w:w="519"/>
        <w:gridCol w:w="579"/>
        <w:gridCol w:w="1030"/>
        <w:gridCol w:w="1030"/>
        <w:gridCol w:w="1031"/>
      </w:tblGrid>
      <w:tr w:rsidR="004A5EA9" w:rsidRPr="00D2449B" w14:paraId="230E00AF"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9A6F9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0717F3CE" w:rsidR="00B1590F" w:rsidRPr="00D2449B" w:rsidRDefault="0094215D" w:rsidP="00D2449B">
            <w:pPr>
              <w:jc w:val="center"/>
              <w:rPr>
                <w:rFonts w:ascii="Calibri" w:hAnsi="Calibri"/>
                <w:b/>
                <w:szCs w:val="22"/>
              </w:rPr>
            </w:pPr>
            <w:r>
              <w:rPr>
                <w:rFonts w:ascii="Calibri" w:hAnsi="Calibri"/>
                <w:b/>
                <w:szCs w:val="22"/>
              </w:rPr>
              <w:t>MW</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B033290" w:rsidR="00B1590F" w:rsidRPr="00D2449B" w:rsidRDefault="0094215D" w:rsidP="00D2449B">
            <w:pPr>
              <w:jc w:val="center"/>
              <w:rPr>
                <w:rFonts w:ascii="Calibri" w:hAnsi="Calibri"/>
                <w:b/>
                <w:szCs w:val="22"/>
              </w:rPr>
            </w:pPr>
            <w:r>
              <w:rPr>
                <w:rFonts w:ascii="Calibri" w:hAnsi="Calibri"/>
                <w:b/>
                <w:szCs w:val="22"/>
              </w:rPr>
              <w:t>25/10/22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6AF8960" w:rsidR="00B1590F" w:rsidRPr="00D2449B" w:rsidRDefault="00437000"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AB36BF1" w:rsidR="00B1590F" w:rsidRPr="00D2449B" w:rsidRDefault="00437000" w:rsidP="00D2449B">
            <w:pPr>
              <w:jc w:val="center"/>
              <w:rPr>
                <w:rFonts w:ascii="Calibri" w:hAnsi="Calibri"/>
                <w:b/>
                <w:szCs w:val="22"/>
              </w:rPr>
            </w:pPr>
            <w:r>
              <w:rPr>
                <w:rFonts w:ascii="Calibri" w:hAnsi="Calibri"/>
                <w:b/>
                <w:szCs w:val="22"/>
              </w:rPr>
              <w:t>27.10.22</w:t>
            </w:r>
          </w:p>
        </w:tc>
      </w:tr>
      <w:tr w:rsidR="004A5EA9" w:rsidRPr="00D2449B" w14:paraId="2094A164" w14:textId="77777777" w:rsidTr="009A6F96">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A6F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74F9205" w:rsidR="004A5EA9" w:rsidRPr="00250879" w:rsidRDefault="009A6F96" w:rsidP="008542DE">
            <w:pPr>
              <w:rPr>
                <w:rFonts w:ascii="Calibri" w:hAnsi="Calibri"/>
                <w:color w:val="548DD4" w:themeColor="text2" w:themeTint="99"/>
                <w:szCs w:val="22"/>
              </w:rPr>
            </w:pPr>
            <w:r>
              <w:rPr>
                <w:rFonts w:ascii="Calibri" w:hAnsi="Calibri"/>
                <w:szCs w:val="22"/>
              </w:rPr>
              <w:t>3/2022/0707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9A6F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CF8DA47" w:rsidR="004A5EA9" w:rsidRPr="009A6F96" w:rsidRDefault="009A6F96" w:rsidP="002C6277">
            <w:pPr>
              <w:rPr>
                <w:rFonts w:ascii="Calibri" w:hAnsi="Calibri"/>
                <w:szCs w:val="22"/>
              </w:rPr>
            </w:pPr>
            <w:r w:rsidRPr="009A6F96">
              <w:rPr>
                <w:rFonts w:ascii="Calibri" w:hAnsi="Calibri"/>
                <w:szCs w:val="22"/>
              </w:rPr>
              <w:t>22/08/2022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9A6F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85BD40C" w:rsidR="004A5EA9" w:rsidRPr="009A6F96" w:rsidRDefault="009A6F96" w:rsidP="00811771">
            <w:pPr>
              <w:rPr>
                <w:rFonts w:ascii="Calibri" w:hAnsi="Calibri"/>
                <w:szCs w:val="22"/>
              </w:rPr>
            </w:pPr>
            <w:r w:rsidRPr="009A6F96">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A6F96">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9A6F9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A6F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766DBDB" w:rsidR="004A5EA9" w:rsidRPr="009A6F96" w:rsidRDefault="00601D73">
            <w:pPr>
              <w:rPr>
                <w:rFonts w:asciiTheme="minorHAnsi" w:hAnsiTheme="minorHAnsi" w:cstheme="minorHAnsi"/>
                <w:szCs w:val="22"/>
              </w:rPr>
            </w:pPr>
            <w:r w:rsidRPr="00601D73">
              <w:rPr>
                <w:rFonts w:asciiTheme="minorHAnsi" w:hAnsiTheme="minorHAnsi" w:cstheme="minorHAnsi"/>
                <w:szCs w:val="22"/>
              </w:rPr>
              <w:t>Extension of residential curtilage to accommodate a proposed detached garag</w:t>
            </w:r>
            <w:r>
              <w:rPr>
                <w:rFonts w:asciiTheme="minorHAnsi" w:hAnsiTheme="minorHAnsi" w:cstheme="minorHAnsi"/>
                <w:szCs w:val="22"/>
              </w:rPr>
              <w:t>e</w:t>
            </w:r>
          </w:p>
        </w:tc>
      </w:tr>
      <w:tr w:rsidR="002A01CF" w:rsidRPr="00D2449B" w14:paraId="52988241" w14:textId="77777777" w:rsidTr="009A6F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C2D57C3" w:rsidR="002A01CF" w:rsidRPr="002C6277" w:rsidRDefault="009A6F96" w:rsidP="00A42E82">
            <w:pPr>
              <w:rPr>
                <w:rFonts w:ascii="Calibri" w:hAnsi="Calibri"/>
                <w:szCs w:val="22"/>
              </w:rPr>
            </w:pPr>
            <w:r w:rsidRPr="009A6F96">
              <w:rPr>
                <w:rFonts w:ascii="Calibri" w:hAnsi="Calibri"/>
                <w:szCs w:val="22"/>
              </w:rPr>
              <w:t>Burnridge House Grunsagill Road Bolton by Bowland BD23 4SL</w:t>
            </w:r>
          </w:p>
        </w:tc>
      </w:tr>
      <w:tr w:rsidR="00A95D89" w:rsidRPr="00D2449B" w14:paraId="3FB99B2E" w14:textId="77777777" w:rsidTr="009A6F9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A6F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15CFA19" w:rsidR="002A01CF" w:rsidRPr="009A6F96" w:rsidRDefault="009A6F96">
            <w:pPr>
              <w:rPr>
                <w:rFonts w:ascii="Calibri" w:hAnsi="Calibri"/>
                <w:bCs/>
                <w:szCs w:val="22"/>
              </w:rPr>
            </w:pPr>
            <w:r>
              <w:rPr>
                <w:rFonts w:ascii="Calibri" w:hAnsi="Calibri"/>
                <w:bCs/>
                <w:szCs w:val="22"/>
              </w:rPr>
              <w:t>No response prior to determination.</w:t>
            </w:r>
          </w:p>
        </w:tc>
      </w:tr>
      <w:tr w:rsidR="00C618DB" w:rsidRPr="00D2449B" w14:paraId="639E958B" w14:textId="77777777" w:rsidTr="009A6F9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A6F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A6F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37ECD42" w:rsidR="002A01CF" w:rsidRPr="009A6F96" w:rsidRDefault="009A6F96">
            <w:pPr>
              <w:rPr>
                <w:rFonts w:ascii="Calibri" w:hAnsi="Calibri"/>
                <w:bCs/>
                <w:szCs w:val="22"/>
              </w:rPr>
            </w:pPr>
            <w:r>
              <w:rPr>
                <w:rFonts w:ascii="Calibri" w:hAnsi="Calibri"/>
                <w:bCs/>
                <w:szCs w:val="22"/>
              </w:rPr>
              <w:t>No objection.</w:t>
            </w:r>
          </w:p>
        </w:tc>
      </w:tr>
      <w:tr w:rsidR="00C0704D" w:rsidRPr="00D2449B" w14:paraId="62663AAF" w14:textId="77777777" w:rsidTr="009A6F96">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A6F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AE759B1" w:rsidR="00C0704D" w:rsidRPr="00C0704D" w:rsidRDefault="009A6F96" w:rsidP="00692B60">
            <w:pPr>
              <w:rPr>
                <w:rFonts w:ascii="Calibri" w:hAnsi="Calibri"/>
                <w:szCs w:val="22"/>
              </w:rPr>
            </w:pPr>
            <w:r>
              <w:rPr>
                <w:rFonts w:ascii="Calibri" w:hAnsi="Calibri"/>
                <w:szCs w:val="22"/>
              </w:rPr>
              <w:t>None.</w:t>
            </w:r>
          </w:p>
        </w:tc>
      </w:tr>
      <w:tr w:rsidR="00C0704D" w:rsidRPr="00D2449B" w14:paraId="1CDFA4C3" w14:textId="77777777" w:rsidTr="009A6F9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0561C8CC" w14:textId="6531C905"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360EE56" w14:textId="77777777" w:rsidR="008542DE" w:rsidRPr="007140FF" w:rsidRDefault="008542DE" w:rsidP="008542DE">
            <w:pPr>
              <w:pStyle w:val="PLANNING"/>
              <w:rPr>
                <w:rFonts w:ascii="Calibri" w:hAnsi="Calibri"/>
                <w:b/>
                <w:bCs/>
                <w:szCs w:val="22"/>
              </w:rPr>
            </w:pPr>
          </w:p>
          <w:p w14:paraId="1C00F88E" w14:textId="77777777" w:rsidR="008542DE" w:rsidRPr="007140FF" w:rsidRDefault="008542DE" w:rsidP="008542DE">
            <w:pPr>
              <w:rPr>
                <w:rFonts w:ascii="Calibri" w:hAnsi="Calibri"/>
                <w:b/>
                <w:bCs/>
                <w:szCs w:val="22"/>
              </w:rPr>
            </w:pPr>
            <w:r w:rsidRPr="007140FF">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7140FF" w:rsidRDefault="00C0704D" w:rsidP="00C0704D">
            <w:pPr>
              <w:pStyle w:val="PLANNING"/>
              <w:rPr>
                <w:rFonts w:ascii="Calibri" w:hAnsi="Calibri"/>
                <w:b/>
                <w:bCs/>
                <w:szCs w:val="22"/>
              </w:rPr>
            </w:pPr>
          </w:p>
          <w:p w14:paraId="5F1D3B82" w14:textId="58BB89C8" w:rsidR="007140FF" w:rsidRPr="007140FF" w:rsidRDefault="007140FF" w:rsidP="00C0704D">
            <w:pPr>
              <w:pStyle w:val="PLANNING"/>
              <w:rPr>
                <w:rFonts w:ascii="Calibri" w:hAnsi="Calibri"/>
                <w:szCs w:val="22"/>
              </w:rPr>
            </w:pPr>
            <w:r>
              <w:rPr>
                <w:rFonts w:ascii="Calibri" w:hAnsi="Calibri"/>
                <w:b/>
                <w:bCs/>
                <w:szCs w:val="22"/>
              </w:rPr>
              <w:t xml:space="preserve">3/2019/0931 - </w:t>
            </w:r>
            <w:r w:rsidRPr="007140FF">
              <w:rPr>
                <w:rFonts w:ascii="Calibri" w:hAnsi="Calibri"/>
                <w:szCs w:val="22"/>
              </w:rPr>
              <w:t>Non-material amendment to planning permission 3/2018/0583 to allow a change of window colour from grey to cream.</w:t>
            </w:r>
            <w:r>
              <w:rPr>
                <w:rFonts w:ascii="Calibri" w:hAnsi="Calibri"/>
                <w:szCs w:val="22"/>
              </w:rPr>
              <w:t xml:space="preserve"> </w:t>
            </w:r>
            <w:r w:rsidRPr="007140FF">
              <w:rPr>
                <w:rFonts w:ascii="Calibri" w:hAnsi="Calibri"/>
                <w:b/>
                <w:bCs/>
                <w:szCs w:val="22"/>
              </w:rPr>
              <w:t>AC.</w:t>
            </w:r>
          </w:p>
          <w:p w14:paraId="0D192D62" w14:textId="77777777" w:rsidR="007140FF" w:rsidRDefault="007140FF" w:rsidP="00C0704D">
            <w:pPr>
              <w:pStyle w:val="PLANNING"/>
              <w:rPr>
                <w:rFonts w:ascii="Calibri" w:hAnsi="Calibri"/>
                <w:b/>
                <w:bCs/>
                <w:szCs w:val="22"/>
              </w:rPr>
            </w:pPr>
          </w:p>
          <w:p w14:paraId="21B0EA50" w14:textId="7F80D931" w:rsidR="0046548C" w:rsidRPr="007140FF" w:rsidRDefault="007140FF" w:rsidP="00C0704D">
            <w:pPr>
              <w:pStyle w:val="PLANNING"/>
              <w:rPr>
                <w:rFonts w:ascii="Calibri" w:hAnsi="Calibri"/>
                <w:b/>
                <w:bCs/>
                <w:szCs w:val="22"/>
              </w:rPr>
            </w:pPr>
            <w:r w:rsidRPr="007140FF">
              <w:rPr>
                <w:rFonts w:ascii="Calibri" w:hAnsi="Calibri"/>
                <w:b/>
                <w:bCs/>
                <w:szCs w:val="22"/>
              </w:rPr>
              <w:t xml:space="preserve">3/2018/0583 - </w:t>
            </w:r>
            <w:r w:rsidRPr="007140FF">
              <w:rPr>
                <w:rFonts w:ascii="Calibri" w:hAnsi="Calibri"/>
                <w:szCs w:val="22"/>
              </w:rPr>
              <w:t xml:space="preserve">Two-storey extension to side and alterations to provide additional accommodation. </w:t>
            </w:r>
            <w:r w:rsidRPr="007140FF">
              <w:rPr>
                <w:rFonts w:ascii="Calibri" w:hAnsi="Calibri"/>
                <w:b/>
                <w:bCs/>
                <w:szCs w:val="22"/>
              </w:rPr>
              <w:t>AC.</w:t>
            </w:r>
          </w:p>
          <w:p w14:paraId="0E12E4A3" w14:textId="77777777" w:rsidR="0046548C" w:rsidRDefault="0046548C" w:rsidP="00C0704D">
            <w:pPr>
              <w:pStyle w:val="PLANNING"/>
              <w:rPr>
                <w:rFonts w:ascii="Calibri" w:hAnsi="Calibri"/>
                <w:b/>
                <w:bCs/>
                <w:szCs w:val="22"/>
              </w:rPr>
            </w:pPr>
          </w:p>
          <w:p w14:paraId="17147D50" w14:textId="30BC5D67" w:rsidR="007140FF" w:rsidRPr="007140FF" w:rsidRDefault="007140FF" w:rsidP="00C0704D">
            <w:pPr>
              <w:pStyle w:val="PLANNING"/>
              <w:rPr>
                <w:rFonts w:ascii="Calibri" w:hAnsi="Calibri"/>
                <w:b/>
                <w:bCs/>
                <w:szCs w:val="22"/>
              </w:rPr>
            </w:pPr>
            <w:r>
              <w:rPr>
                <w:rFonts w:ascii="Calibri" w:hAnsi="Calibri"/>
                <w:b/>
                <w:bCs/>
                <w:szCs w:val="22"/>
              </w:rPr>
              <w:t xml:space="preserve">3/2018/0074 - </w:t>
            </w:r>
            <w:r w:rsidRPr="007140FF">
              <w:rPr>
                <w:rFonts w:ascii="Calibri" w:hAnsi="Calibri"/>
                <w:szCs w:val="22"/>
              </w:rPr>
              <w:t xml:space="preserve">Two-storey extension to side and alterations to provide additional accommodation. </w:t>
            </w:r>
            <w:r w:rsidRPr="007140FF">
              <w:rPr>
                <w:rFonts w:ascii="Calibri" w:hAnsi="Calibri"/>
                <w:b/>
                <w:bCs/>
                <w:szCs w:val="22"/>
              </w:rPr>
              <w:t>Refused.</w:t>
            </w:r>
          </w:p>
        </w:tc>
      </w:tr>
      <w:tr w:rsidR="00C0704D" w:rsidRPr="00D2449B" w14:paraId="6AAC3B0A" w14:textId="77777777" w:rsidTr="009A6F96">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534112A3" w:rsidR="00C0704D" w:rsidRDefault="00C0704D" w:rsidP="00811771">
            <w:pPr>
              <w:pStyle w:val="Header"/>
              <w:tabs>
                <w:tab w:val="clear" w:pos="4153"/>
                <w:tab w:val="clear" w:pos="8306"/>
              </w:tabs>
              <w:contextualSpacing/>
              <w:jc w:val="both"/>
              <w:rPr>
                <w:rFonts w:ascii="Calibri" w:hAnsi="Calibri"/>
                <w:bCs/>
                <w:szCs w:val="22"/>
              </w:rPr>
            </w:pPr>
          </w:p>
          <w:p w14:paraId="6CD94492" w14:textId="450F22A8" w:rsidR="006716CC" w:rsidRDefault="006716CC" w:rsidP="006716CC">
            <w:pPr>
              <w:pStyle w:val="Header"/>
              <w:tabs>
                <w:tab w:val="left" w:pos="720"/>
              </w:tabs>
              <w:jc w:val="both"/>
              <w:rPr>
                <w:rFonts w:ascii="Calibri" w:hAnsi="Calibri"/>
                <w:bCs/>
                <w:szCs w:val="22"/>
              </w:rPr>
            </w:pPr>
            <w:r>
              <w:rPr>
                <w:rFonts w:ascii="Calibri" w:hAnsi="Calibri"/>
                <w:bCs/>
                <w:szCs w:val="22"/>
              </w:rPr>
              <w:t>The application property is a detached two storey dwelling located approximately 1km east of Grunsagill and just less than 4.5km north of Bolton-by-Bowland. The surrounding area is predominantly agricultural in use, with the house falling within the Forest of Bowland AONB. However, its curtilage, and the location of the proposed development, is outwith such designation and lies within defined open countryside.</w:t>
            </w:r>
          </w:p>
          <w:p w14:paraId="62370E9F" w14:textId="70B167B0" w:rsidR="00C0704D" w:rsidRPr="006C2BFA" w:rsidRDefault="00C0704D" w:rsidP="006716CC">
            <w:pPr>
              <w:pStyle w:val="Header"/>
              <w:tabs>
                <w:tab w:val="clear" w:pos="4153"/>
                <w:tab w:val="clear" w:pos="8306"/>
              </w:tabs>
              <w:contextualSpacing/>
              <w:jc w:val="both"/>
              <w:rPr>
                <w:rFonts w:ascii="Calibri" w:hAnsi="Calibri"/>
                <w:bCs/>
                <w:szCs w:val="22"/>
              </w:rPr>
            </w:pPr>
          </w:p>
        </w:tc>
      </w:tr>
      <w:tr w:rsidR="00C0704D" w:rsidRPr="00D2449B" w14:paraId="408C6380"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43A7FA89" w:rsidR="00C0704D" w:rsidRDefault="00C0704D" w:rsidP="00440CB6">
            <w:pPr>
              <w:pStyle w:val="Header"/>
              <w:tabs>
                <w:tab w:val="clear" w:pos="4153"/>
                <w:tab w:val="clear" w:pos="8306"/>
              </w:tabs>
              <w:jc w:val="both"/>
              <w:rPr>
                <w:rFonts w:ascii="Calibri" w:hAnsi="Calibri"/>
                <w:b/>
                <w:szCs w:val="22"/>
              </w:rPr>
            </w:pPr>
          </w:p>
          <w:p w14:paraId="7B1B74ED" w14:textId="6FA5B7DB" w:rsidR="00C0704D" w:rsidRDefault="00DA32E5" w:rsidP="00427C7A">
            <w:pPr>
              <w:pStyle w:val="Header"/>
              <w:tabs>
                <w:tab w:val="clear" w:pos="4153"/>
                <w:tab w:val="clear" w:pos="8306"/>
              </w:tabs>
              <w:jc w:val="both"/>
              <w:rPr>
                <w:rFonts w:ascii="Calibri" w:hAnsi="Calibri"/>
                <w:bCs/>
                <w:szCs w:val="22"/>
              </w:rPr>
            </w:pPr>
            <w:r>
              <w:rPr>
                <w:rFonts w:ascii="Calibri" w:hAnsi="Calibri"/>
                <w:bCs/>
                <w:szCs w:val="22"/>
              </w:rPr>
              <w:t>Consent is sought for the erection of a detached garage to supplement the residential conversion of Burnridge House. The proposed garage will be duo-pitched in nature, featuring three parking bays with cream coated aluminium panel doors and stone surrounds. Elsewhere, exterior walls will feature textured render to match the host property with a natural slate roof. The overall dimensions of the garage will be approximately 9.5 metres in length, 6 metres in depth with an overall ridge height of the roof standing at 4.7 metres</w:t>
            </w:r>
            <w:r w:rsidR="00427C7A">
              <w:rPr>
                <w:rFonts w:ascii="Calibri" w:hAnsi="Calibri"/>
                <w:bCs/>
                <w:szCs w:val="22"/>
              </w:rPr>
              <w:t>, sited to the west of the existing site entrance.</w:t>
            </w:r>
            <w:r w:rsidR="006716CC">
              <w:rPr>
                <w:rFonts w:ascii="Calibri" w:hAnsi="Calibri"/>
                <w:bCs/>
                <w:szCs w:val="22"/>
              </w:rPr>
              <w:t xml:space="preserve"> </w:t>
            </w:r>
            <w:r w:rsidR="00601D73">
              <w:rPr>
                <w:rFonts w:ascii="Calibri" w:hAnsi="Calibri"/>
                <w:bCs/>
                <w:szCs w:val="22"/>
              </w:rPr>
              <w:t>The proposed siting of the garage, although within close proximity to the parent dwelling, lies outside of the defined residential curtilage and therefore the application also includes the extension of this curtilage so that the proposed garage can be included.</w:t>
            </w:r>
          </w:p>
          <w:p w14:paraId="1B20488F" w14:textId="49BD3808" w:rsidR="00427C7A" w:rsidRPr="00427C7A" w:rsidRDefault="00427C7A" w:rsidP="00427C7A">
            <w:pPr>
              <w:pStyle w:val="Header"/>
              <w:tabs>
                <w:tab w:val="clear" w:pos="4153"/>
                <w:tab w:val="clear" w:pos="8306"/>
              </w:tabs>
              <w:jc w:val="both"/>
              <w:rPr>
                <w:rFonts w:ascii="Calibri" w:hAnsi="Calibri"/>
                <w:bCs/>
                <w:szCs w:val="22"/>
              </w:rPr>
            </w:pPr>
          </w:p>
        </w:tc>
      </w:tr>
      <w:tr w:rsidR="00C0704D" w:rsidRPr="00D2449B" w14:paraId="617768FF"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6BF71AA0" w:rsidR="00C0704D" w:rsidRDefault="00C0704D" w:rsidP="00EA09F9">
            <w:pPr>
              <w:pStyle w:val="Header"/>
              <w:tabs>
                <w:tab w:val="clear" w:pos="4153"/>
                <w:tab w:val="clear" w:pos="8306"/>
              </w:tabs>
              <w:contextualSpacing/>
              <w:jc w:val="both"/>
              <w:rPr>
                <w:rFonts w:ascii="Calibri" w:hAnsi="Calibri"/>
                <w:b/>
                <w:szCs w:val="22"/>
              </w:rPr>
            </w:pPr>
          </w:p>
          <w:p w14:paraId="01C56849" w14:textId="39235FFF" w:rsidR="009A6F96" w:rsidRPr="009A6F96" w:rsidRDefault="00E658A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will not impact upon surrounding residential amenities such is the 200 metre </w:t>
            </w:r>
            <w:r w:rsidR="00494E79">
              <w:rPr>
                <w:rFonts w:ascii="Calibri" w:hAnsi="Calibri"/>
                <w:bCs/>
                <w:szCs w:val="22"/>
              </w:rPr>
              <w:t>separation</w:t>
            </w:r>
            <w:r>
              <w:rPr>
                <w:rFonts w:ascii="Calibri" w:hAnsi="Calibri"/>
                <w:bCs/>
                <w:szCs w:val="22"/>
              </w:rPr>
              <w:t xml:space="preserve"> distance between the site and the nearest dwelling.</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C5637D3" w14:textId="438B33BC" w:rsidR="00C0704D" w:rsidRDefault="00427C7A" w:rsidP="009E3D01">
            <w:pPr>
              <w:contextualSpacing/>
              <w:jc w:val="both"/>
              <w:rPr>
                <w:rFonts w:ascii="Calibri" w:hAnsi="Calibri"/>
                <w:bCs/>
                <w:szCs w:val="22"/>
              </w:rPr>
            </w:pPr>
            <w:r>
              <w:rPr>
                <w:rFonts w:ascii="Calibri" w:hAnsi="Calibri"/>
                <w:bCs/>
                <w:szCs w:val="22"/>
              </w:rPr>
              <w:t>The proposed dimensions of the garage are the result of a series of amendments which ensure that the development remains</w:t>
            </w:r>
            <w:r w:rsidR="006716CC">
              <w:rPr>
                <w:rFonts w:ascii="Calibri" w:hAnsi="Calibri"/>
                <w:bCs/>
                <w:szCs w:val="22"/>
              </w:rPr>
              <w:t xml:space="preserve"> both</w:t>
            </w:r>
            <w:r>
              <w:rPr>
                <w:rFonts w:ascii="Calibri" w:hAnsi="Calibri"/>
                <w:bCs/>
                <w:szCs w:val="22"/>
              </w:rPr>
              <w:t xml:space="preserve"> proportionate and subservient to the existing dwelling</w:t>
            </w:r>
            <w:r w:rsidR="00B328CD">
              <w:rPr>
                <w:rFonts w:ascii="Calibri" w:hAnsi="Calibri"/>
                <w:bCs/>
                <w:szCs w:val="22"/>
              </w:rPr>
              <w:t xml:space="preserve"> by virtue of its scale and massing. With a ridge height of </w:t>
            </w:r>
            <w:r w:rsidR="006716CC">
              <w:rPr>
                <w:rFonts w:ascii="Calibri" w:hAnsi="Calibri"/>
                <w:bCs/>
                <w:szCs w:val="22"/>
              </w:rPr>
              <w:t>just 4.7 metres the development will be read as a minor and ancillary form of development accompanying the main household</w:t>
            </w:r>
            <w:r w:rsidR="003755D2">
              <w:rPr>
                <w:rFonts w:ascii="Calibri" w:hAnsi="Calibri"/>
                <w:bCs/>
                <w:szCs w:val="22"/>
              </w:rPr>
              <w:t>, with other dimensions achieving an overall footprint in balance with the footprint of the application property</w:t>
            </w:r>
            <w:r w:rsidR="009E3D01">
              <w:rPr>
                <w:rFonts w:ascii="Calibri" w:hAnsi="Calibri"/>
                <w:bCs/>
                <w:szCs w:val="22"/>
              </w:rPr>
              <w:t xml:space="preserve">. This accords </w:t>
            </w:r>
            <w:r w:rsidR="003755D2">
              <w:rPr>
                <w:rFonts w:ascii="Calibri" w:hAnsi="Calibri"/>
                <w:bCs/>
                <w:szCs w:val="22"/>
              </w:rPr>
              <w:t xml:space="preserve">with policy DMG1 which states </w:t>
            </w:r>
            <w:r w:rsidR="009E3D01">
              <w:rPr>
                <w:rFonts w:ascii="Calibri" w:hAnsi="Calibri"/>
                <w:bCs/>
                <w:szCs w:val="22"/>
              </w:rPr>
              <w:t xml:space="preserve">that </w:t>
            </w:r>
            <w:r w:rsidR="003755D2">
              <w:rPr>
                <w:rFonts w:ascii="Calibri" w:hAnsi="Calibri"/>
                <w:bCs/>
                <w:szCs w:val="22"/>
              </w:rPr>
              <w:t>all development must ‘Consider the density, layout and relationship between buildings, which is of major importance’.</w:t>
            </w:r>
          </w:p>
          <w:p w14:paraId="339FD7BB" w14:textId="77777777" w:rsidR="00E658AD" w:rsidRDefault="00E658AD" w:rsidP="009E3D01">
            <w:pPr>
              <w:contextualSpacing/>
              <w:jc w:val="both"/>
              <w:rPr>
                <w:rFonts w:ascii="Calibri" w:hAnsi="Calibri"/>
                <w:b/>
                <w:szCs w:val="22"/>
              </w:rPr>
            </w:pPr>
          </w:p>
          <w:p w14:paraId="7BCE8151" w14:textId="2EC0D20D" w:rsidR="00E658AD" w:rsidRPr="003755D2" w:rsidRDefault="006716CC" w:rsidP="009E3D01">
            <w:pPr>
              <w:contextualSpacing/>
              <w:jc w:val="both"/>
              <w:rPr>
                <w:rFonts w:ascii="Calibri" w:hAnsi="Calibri"/>
                <w:bCs/>
                <w:szCs w:val="22"/>
              </w:rPr>
            </w:pPr>
            <w:r>
              <w:rPr>
                <w:rFonts w:ascii="Calibri" w:hAnsi="Calibri"/>
                <w:bCs/>
                <w:szCs w:val="22"/>
              </w:rPr>
              <w:t xml:space="preserve">In the past Burnridge School House was an Inghamite Chapel and is noted within the Lancashire </w:t>
            </w:r>
            <w:r w:rsidR="003755D2">
              <w:rPr>
                <w:rFonts w:ascii="Calibri" w:hAnsi="Calibri"/>
                <w:bCs/>
                <w:szCs w:val="22"/>
              </w:rPr>
              <w:t>H</w:t>
            </w:r>
            <w:r>
              <w:rPr>
                <w:rFonts w:ascii="Calibri" w:hAnsi="Calibri"/>
                <w:bCs/>
                <w:szCs w:val="22"/>
              </w:rPr>
              <w:t>istoric Environment Record dating back to the 19</w:t>
            </w:r>
            <w:r w:rsidRPr="006716CC">
              <w:rPr>
                <w:rFonts w:ascii="Calibri" w:hAnsi="Calibri"/>
                <w:bCs/>
                <w:szCs w:val="22"/>
                <w:vertAlign w:val="superscript"/>
              </w:rPr>
              <w:t>th</w:t>
            </w:r>
            <w:r>
              <w:rPr>
                <w:rFonts w:ascii="Calibri" w:hAnsi="Calibri"/>
                <w:bCs/>
                <w:szCs w:val="22"/>
              </w:rPr>
              <w:t xml:space="preserve"> century at least</w:t>
            </w:r>
            <w:r w:rsidR="003755D2">
              <w:rPr>
                <w:rFonts w:ascii="Calibri" w:hAnsi="Calibri"/>
                <w:bCs/>
                <w:szCs w:val="22"/>
              </w:rPr>
              <w:t>. H</w:t>
            </w:r>
            <w:r>
              <w:rPr>
                <w:rFonts w:ascii="Calibri" w:hAnsi="Calibri"/>
                <w:bCs/>
                <w:szCs w:val="22"/>
              </w:rPr>
              <w:t>owever,</w:t>
            </w:r>
            <w:r w:rsidR="003755D2">
              <w:rPr>
                <w:rFonts w:ascii="Calibri" w:hAnsi="Calibri"/>
                <w:bCs/>
                <w:szCs w:val="22"/>
              </w:rPr>
              <w:t xml:space="preserve"> the building has not been in use as a dwellinghouse for some time and recent alterations (including 3/2018/0583) mean the characteristics of the host property are reflective of its residential use as opposed to its </w:t>
            </w:r>
            <w:r w:rsidR="009E3D01">
              <w:rPr>
                <w:rFonts w:ascii="Calibri" w:hAnsi="Calibri"/>
                <w:bCs/>
                <w:szCs w:val="22"/>
              </w:rPr>
              <w:t>previous</w:t>
            </w:r>
            <w:r w:rsidR="003755D2">
              <w:rPr>
                <w:rFonts w:ascii="Calibri" w:hAnsi="Calibri"/>
                <w:bCs/>
                <w:szCs w:val="22"/>
              </w:rPr>
              <w:t xml:space="preserve"> historical significance. On the basis that there is little outstanding historic significance (cultural or architectural) at this site</w:t>
            </w:r>
            <w:r w:rsidR="009E3D01">
              <w:rPr>
                <w:rFonts w:ascii="Calibri" w:hAnsi="Calibri"/>
                <w:bCs/>
                <w:szCs w:val="22"/>
              </w:rPr>
              <w:t>,</w:t>
            </w:r>
            <w:r w:rsidR="003755D2">
              <w:rPr>
                <w:rFonts w:ascii="Calibri" w:hAnsi="Calibri"/>
                <w:bCs/>
                <w:szCs w:val="22"/>
              </w:rPr>
              <w:t xml:space="preserve"> the proposed garage is acceptable</w:t>
            </w:r>
            <w:r w:rsidR="009E3D01">
              <w:rPr>
                <w:rFonts w:ascii="Calibri" w:hAnsi="Calibri"/>
                <w:bCs/>
                <w:szCs w:val="22"/>
              </w:rPr>
              <w:t xml:space="preserve"> insofar as that it is of modest scale and uses a material palette akin to that which was proposed and accepted in a previous scheme relating to the host property (under construction).</w:t>
            </w:r>
          </w:p>
          <w:p w14:paraId="69E513C1" w14:textId="77777777" w:rsidR="00E658AD" w:rsidRDefault="00E658AD" w:rsidP="005E1C6C">
            <w:pPr>
              <w:contextualSpacing/>
              <w:rPr>
                <w:rFonts w:ascii="Calibri" w:hAnsi="Calibri"/>
                <w:b/>
                <w:szCs w:val="22"/>
              </w:rPr>
            </w:pPr>
          </w:p>
          <w:p w14:paraId="336FBA18" w14:textId="6EBFD7F3" w:rsidR="00986A16" w:rsidRDefault="00986A16" w:rsidP="00986A16">
            <w:pPr>
              <w:contextualSpacing/>
              <w:jc w:val="both"/>
              <w:rPr>
                <w:rFonts w:ascii="Calibri" w:hAnsi="Calibri"/>
                <w:bCs/>
                <w:szCs w:val="22"/>
              </w:rPr>
            </w:pPr>
            <w:r>
              <w:rPr>
                <w:rFonts w:ascii="Calibri" w:hAnsi="Calibri"/>
                <w:bCs/>
                <w:szCs w:val="22"/>
              </w:rPr>
              <w:t xml:space="preserve">It is noted that the garage falls partially outside of the residential curtilage of the host property. The proposed curtilage increase will extend to exclusively include the footprint of the garage and will offer no additional curtilage other than that which is absolutely necessary to accommodate the development. This will limit the impacts of the </w:t>
            </w:r>
            <w:r w:rsidR="00AC5BEE">
              <w:rPr>
                <w:rFonts w:ascii="Calibri" w:hAnsi="Calibri"/>
                <w:bCs/>
                <w:szCs w:val="22"/>
              </w:rPr>
              <w:t xml:space="preserve">additional curtilage proposed, and on balance this extension of curtilage is considered acceptable such are its modest proportions which ensure it shall not result in </w:t>
            </w:r>
            <w:r w:rsidR="00754401">
              <w:rPr>
                <w:rFonts w:ascii="Calibri" w:hAnsi="Calibri"/>
                <w:bCs/>
                <w:szCs w:val="22"/>
              </w:rPr>
              <w:t>an</w:t>
            </w:r>
            <w:r w:rsidR="00AC5BEE">
              <w:rPr>
                <w:rFonts w:ascii="Calibri" w:hAnsi="Calibri"/>
                <w:bCs/>
                <w:szCs w:val="22"/>
              </w:rPr>
              <w:t xml:space="preserve"> inappropriate or easily identifiable expansion of domesticated land use.</w:t>
            </w:r>
          </w:p>
          <w:p w14:paraId="10A3648A" w14:textId="7A769CF1" w:rsidR="00986A16" w:rsidRPr="00986A16" w:rsidRDefault="00986A16" w:rsidP="00986A16">
            <w:pPr>
              <w:contextualSpacing/>
              <w:jc w:val="both"/>
              <w:rPr>
                <w:rFonts w:ascii="Calibri" w:hAnsi="Calibri"/>
                <w:bCs/>
                <w:szCs w:val="22"/>
              </w:rPr>
            </w:pPr>
          </w:p>
        </w:tc>
      </w:tr>
      <w:tr w:rsidR="00C0704D" w:rsidRPr="00D2449B" w14:paraId="0A9D02B4" w14:textId="77777777" w:rsidTr="009A6F96">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DA32E5" w:rsidRDefault="0046548C" w:rsidP="00DD62F6">
            <w:pPr>
              <w:pStyle w:val="Header"/>
              <w:tabs>
                <w:tab w:val="clear" w:pos="4153"/>
                <w:tab w:val="clear" w:pos="8306"/>
              </w:tabs>
              <w:contextualSpacing/>
              <w:jc w:val="both"/>
              <w:rPr>
                <w:rFonts w:ascii="Calibri" w:hAnsi="Calibri"/>
                <w:bCs/>
                <w:szCs w:val="22"/>
              </w:rPr>
            </w:pPr>
            <w:r w:rsidRPr="00DA32E5">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A6F9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A30E9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9334A"/>
    <w:rsid w:val="002A01CF"/>
    <w:rsid w:val="002C6277"/>
    <w:rsid w:val="002F2580"/>
    <w:rsid w:val="00321B6E"/>
    <w:rsid w:val="003755D2"/>
    <w:rsid w:val="00427C7A"/>
    <w:rsid w:val="00437000"/>
    <w:rsid w:val="00440CB6"/>
    <w:rsid w:val="0046548C"/>
    <w:rsid w:val="004947BB"/>
    <w:rsid w:val="00494E79"/>
    <w:rsid w:val="004A5EA9"/>
    <w:rsid w:val="004C2434"/>
    <w:rsid w:val="004F0649"/>
    <w:rsid w:val="00510FA2"/>
    <w:rsid w:val="00556ECD"/>
    <w:rsid w:val="005E1C6C"/>
    <w:rsid w:val="005E65DF"/>
    <w:rsid w:val="00601D73"/>
    <w:rsid w:val="00622E43"/>
    <w:rsid w:val="006716CC"/>
    <w:rsid w:val="00692B60"/>
    <w:rsid w:val="006A71AD"/>
    <w:rsid w:val="006C2BFA"/>
    <w:rsid w:val="006F6849"/>
    <w:rsid w:val="0070054B"/>
    <w:rsid w:val="007140FF"/>
    <w:rsid w:val="00754401"/>
    <w:rsid w:val="00776AE2"/>
    <w:rsid w:val="007B34C5"/>
    <w:rsid w:val="007C791C"/>
    <w:rsid w:val="007D7DF4"/>
    <w:rsid w:val="007E0D23"/>
    <w:rsid w:val="007F16D6"/>
    <w:rsid w:val="00811771"/>
    <w:rsid w:val="008542DE"/>
    <w:rsid w:val="008A28C8"/>
    <w:rsid w:val="0094215D"/>
    <w:rsid w:val="00986A16"/>
    <w:rsid w:val="009A6F96"/>
    <w:rsid w:val="009E3D01"/>
    <w:rsid w:val="00A30E91"/>
    <w:rsid w:val="00A42E82"/>
    <w:rsid w:val="00A579BB"/>
    <w:rsid w:val="00A63D55"/>
    <w:rsid w:val="00A95D89"/>
    <w:rsid w:val="00AC5BEE"/>
    <w:rsid w:val="00B1590F"/>
    <w:rsid w:val="00B328CD"/>
    <w:rsid w:val="00B93EB5"/>
    <w:rsid w:val="00BD3F03"/>
    <w:rsid w:val="00C0704D"/>
    <w:rsid w:val="00C25722"/>
    <w:rsid w:val="00C618DB"/>
    <w:rsid w:val="00C71306"/>
    <w:rsid w:val="00CB5CBF"/>
    <w:rsid w:val="00D11007"/>
    <w:rsid w:val="00D17EB1"/>
    <w:rsid w:val="00D2449B"/>
    <w:rsid w:val="00D54E67"/>
    <w:rsid w:val="00DA32E5"/>
    <w:rsid w:val="00DD62F6"/>
    <w:rsid w:val="00E46243"/>
    <w:rsid w:val="00E658AD"/>
    <w:rsid w:val="00E66534"/>
    <w:rsid w:val="00E72F6C"/>
    <w:rsid w:val="00E815EB"/>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2022-10-27T11:06:00Z</cp:lastPrinted>
  <dcterms:created xsi:type="dcterms:W3CDTF">2022-10-27T11:12:00Z</dcterms:created>
  <dcterms:modified xsi:type="dcterms:W3CDTF">2022-10-27T11:12:00Z</dcterms:modified>
</cp:coreProperties>
</file>