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846"/>
        <w:gridCol w:w="184"/>
        <w:gridCol w:w="1030"/>
        <w:gridCol w:w="139"/>
        <w:gridCol w:w="36"/>
        <w:gridCol w:w="658"/>
        <w:gridCol w:w="197"/>
        <w:gridCol w:w="1030"/>
        <w:gridCol w:w="1030"/>
        <w:gridCol w:w="519"/>
        <w:gridCol w:w="579"/>
        <w:gridCol w:w="1030"/>
        <w:gridCol w:w="1030"/>
        <w:gridCol w:w="1031"/>
      </w:tblGrid>
      <w:tr w:rsidR="004A5EA9" w:rsidRPr="00D2449B" w14:paraId="230E00AF"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4A3122">
        <w:trPr>
          <w:jc w:val="center"/>
        </w:trPr>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6B54CF15" w:rsidR="00837F4F" w:rsidRPr="007E7E42" w:rsidRDefault="007E7E42" w:rsidP="00D2449B">
            <w:pPr>
              <w:jc w:val="center"/>
              <w:rPr>
                <w:rFonts w:ascii="Calibri" w:hAnsi="Calibri"/>
                <w:bCs/>
                <w:szCs w:val="22"/>
              </w:rPr>
            </w:pPr>
            <w:r w:rsidRPr="007E7E42">
              <w:rPr>
                <w:rFonts w:ascii="Calibri" w:hAnsi="Calibri"/>
                <w:bCs/>
                <w:szCs w:val="22"/>
              </w:rPr>
              <w:t>SK</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0C0B6F0A" w:rsidR="00837F4F" w:rsidRPr="007E7E42" w:rsidRDefault="007E7E42" w:rsidP="00D2449B">
            <w:pPr>
              <w:jc w:val="center"/>
              <w:rPr>
                <w:rFonts w:ascii="Calibri" w:hAnsi="Calibri"/>
                <w:bCs/>
                <w:szCs w:val="22"/>
              </w:rPr>
            </w:pPr>
            <w:r w:rsidRPr="007E7E42">
              <w:rPr>
                <w:rFonts w:ascii="Calibri" w:hAnsi="Calibri"/>
                <w:bCs/>
                <w:szCs w:val="22"/>
              </w:rPr>
              <w:t>2.11.22</w:t>
            </w:r>
          </w:p>
        </w:tc>
        <w:tc>
          <w:tcPr>
            <w:tcW w:w="109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3B042A6C" w:rsidR="00837F4F" w:rsidRPr="00D2449B" w:rsidRDefault="002A256A" w:rsidP="00D2449B">
            <w:pPr>
              <w:jc w:val="center"/>
              <w:rPr>
                <w:rFonts w:ascii="Calibri" w:hAnsi="Calibri"/>
                <w:b/>
                <w:szCs w:val="22"/>
              </w:rPr>
            </w:pPr>
            <w:r>
              <w:rPr>
                <w:rFonts w:ascii="Calibri" w:hAnsi="Calibri"/>
                <w:b/>
                <w:szCs w:val="22"/>
              </w:rPr>
              <w:t>NH</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031"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F25DB71" w:rsidR="00837F4F" w:rsidRPr="00D2449B" w:rsidRDefault="002A256A" w:rsidP="00D2449B">
            <w:pPr>
              <w:jc w:val="center"/>
              <w:rPr>
                <w:rFonts w:ascii="Calibri" w:hAnsi="Calibri"/>
                <w:b/>
                <w:szCs w:val="22"/>
              </w:rPr>
            </w:pPr>
            <w:r>
              <w:rPr>
                <w:rFonts w:ascii="Calibri" w:hAnsi="Calibri"/>
                <w:b/>
                <w:szCs w:val="22"/>
              </w:rPr>
              <w:t>03.11.22</w:t>
            </w:r>
          </w:p>
        </w:tc>
      </w:tr>
      <w:tr w:rsidR="004A5EA9" w:rsidRPr="00D2449B" w14:paraId="2094A164" w14:textId="77777777" w:rsidTr="004A3122">
        <w:trPr>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4A3122">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3ECFB511" w:rsidR="004A5EA9" w:rsidRPr="007E7E42" w:rsidRDefault="004A5EA9" w:rsidP="008542DE">
            <w:pPr>
              <w:rPr>
                <w:rFonts w:ascii="Calibri" w:hAnsi="Calibri"/>
                <w:szCs w:val="22"/>
              </w:rPr>
            </w:pPr>
            <w:r w:rsidRPr="007E7E42">
              <w:rPr>
                <w:rFonts w:ascii="Calibri" w:hAnsi="Calibri"/>
                <w:szCs w:val="22"/>
              </w:rPr>
              <w:t>2</w:t>
            </w:r>
            <w:r w:rsidR="007E7E42" w:rsidRPr="007E7E42">
              <w:rPr>
                <w:rFonts w:ascii="Calibri" w:hAnsi="Calibri"/>
                <w:szCs w:val="22"/>
              </w:rPr>
              <w:t>2</w:t>
            </w:r>
            <w:r w:rsidR="00C0704D" w:rsidRPr="007E7E42">
              <w:rPr>
                <w:rFonts w:ascii="Calibri" w:hAnsi="Calibri"/>
                <w:szCs w:val="22"/>
              </w:rPr>
              <w:t>/</w:t>
            </w:r>
            <w:r w:rsidR="007E7E42" w:rsidRPr="007E7E42">
              <w:rPr>
                <w:rFonts w:ascii="Calibri" w:hAnsi="Calibri"/>
                <w:szCs w:val="22"/>
              </w:rPr>
              <w:t>0829</w:t>
            </w:r>
          </w:p>
        </w:tc>
        <w:tc>
          <w:tcPr>
            <w:tcW w:w="3670"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4A5EA9" w:rsidRPr="00D2449B" w14:paraId="311D78EF" w14:textId="77777777" w:rsidTr="004A3122">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4A5EA9" w:rsidRPr="00C0704D" w:rsidRDefault="004A5EA9">
            <w:pPr>
              <w:rPr>
                <w:rFonts w:ascii="Calibri" w:hAnsi="Calibri"/>
                <w:b/>
                <w:szCs w:val="22"/>
              </w:rPr>
            </w:pPr>
            <w:r w:rsidRPr="00C0704D">
              <w:rPr>
                <w:rFonts w:ascii="Calibri" w:hAnsi="Calibri"/>
                <w:b/>
                <w:szCs w:val="22"/>
              </w:rPr>
              <w:t>Date Inspected:</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5F061468" w:rsidR="004A5EA9" w:rsidRPr="007E7E42" w:rsidRDefault="007E7E42" w:rsidP="002C6277">
            <w:pPr>
              <w:rPr>
                <w:rFonts w:ascii="Calibri" w:hAnsi="Calibri"/>
                <w:szCs w:val="22"/>
              </w:rPr>
            </w:pPr>
            <w:r w:rsidRPr="007E7E42">
              <w:rPr>
                <w:rFonts w:ascii="Calibri" w:hAnsi="Calibri"/>
                <w:szCs w:val="22"/>
              </w:rPr>
              <w:t>N/A</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4A5EA9" w:rsidRPr="00D2449B" w:rsidRDefault="004A5EA9">
            <w:pPr>
              <w:rPr>
                <w:rFonts w:ascii="Calibri" w:hAnsi="Calibri"/>
                <w:szCs w:val="22"/>
              </w:rPr>
            </w:pPr>
          </w:p>
        </w:tc>
      </w:tr>
      <w:tr w:rsidR="004A5EA9" w:rsidRPr="00D2449B" w14:paraId="03FA8232" w14:textId="77777777" w:rsidTr="004A3122">
        <w:trPr>
          <w:jc w:val="center"/>
        </w:trPr>
        <w:tc>
          <w:tcPr>
            <w:tcW w:w="2235"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434"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4F6E0DBE" w:rsidR="004A5EA9" w:rsidRPr="007E7E42" w:rsidRDefault="007E7E42" w:rsidP="00811771">
            <w:pPr>
              <w:rPr>
                <w:rFonts w:ascii="Calibri" w:hAnsi="Calibri"/>
                <w:szCs w:val="22"/>
              </w:rPr>
            </w:pPr>
            <w:r w:rsidRPr="007E7E42">
              <w:rPr>
                <w:rFonts w:ascii="Calibri" w:hAnsi="Calibri"/>
                <w:szCs w:val="22"/>
              </w:rPr>
              <w:t>SK</w:t>
            </w:r>
          </w:p>
        </w:tc>
        <w:tc>
          <w:tcPr>
            <w:tcW w:w="3670"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4A3122">
        <w:trPr>
          <w:jc w:val="center"/>
        </w:trPr>
        <w:tc>
          <w:tcPr>
            <w:tcW w:w="5669"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67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2BBF07A" w:rsidR="004A5EA9" w:rsidRPr="00D2449B" w:rsidRDefault="009F4443" w:rsidP="002A01CF">
            <w:pPr>
              <w:jc w:val="center"/>
              <w:rPr>
                <w:rFonts w:ascii="Calibri" w:hAnsi="Calibri"/>
                <w:b/>
                <w:szCs w:val="22"/>
              </w:rPr>
            </w:pPr>
            <w:r>
              <w:rPr>
                <w:rFonts w:ascii="Calibri" w:hAnsi="Calibri"/>
                <w:b/>
                <w:szCs w:val="22"/>
              </w:rPr>
              <w:t>REFUSAL</w:t>
            </w:r>
          </w:p>
        </w:tc>
      </w:tr>
      <w:tr w:rsidR="004A5EA9" w:rsidRPr="00D2449B" w14:paraId="7813B96A" w14:textId="77777777" w:rsidTr="004A3122">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4A312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6C9E5D63" w:rsidR="004A5EA9" w:rsidRPr="002C6277" w:rsidRDefault="007E7E42">
            <w:pPr>
              <w:rPr>
                <w:rFonts w:ascii="Calibri" w:hAnsi="Calibri"/>
                <w:szCs w:val="22"/>
              </w:rPr>
            </w:pPr>
            <w:r w:rsidRPr="007E7E42">
              <w:rPr>
                <w:rFonts w:ascii="Calibri" w:hAnsi="Calibri"/>
                <w:szCs w:val="22"/>
              </w:rPr>
              <w:t>Change of use from domestic annexe to an independent dwelling.</w:t>
            </w:r>
          </w:p>
        </w:tc>
      </w:tr>
      <w:tr w:rsidR="002A01CF" w:rsidRPr="00D2449B" w14:paraId="52988241" w14:textId="77777777" w:rsidTr="004A312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3D390803" w:rsidR="002A01CF" w:rsidRPr="002C6277" w:rsidRDefault="007E7E42" w:rsidP="00A42E82">
            <w:pPr>
              <w:rPr>
                <w:rFonts w:ascii="Calibri" w:hAnsi="Calibri"/>
                <w:szCs w:val="22"/>
              </w:rPr>
            </w:pPr>
            <w:r w:rsidRPr="007E7E42">
              <w:rPr>
                <w:rFonts w:ascii="Calibri" w:hAnsi="Calibri"/>
                <w:szCs w:val="22"/>
              </w:rPr>
              <w:t>Mount Pleasant Ribchester Road Hothersall PR3 3XA</w:t>
            </w:r>
          </w:p>
        </w:tc>
      </w:tr>
      <w:tr w:rsidR="00A95D89" w:rsidRPr="00D2449B" w14:paraId="3FB99B2E" w14:textId="77777777" w:rsidTr="004A3122">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4A312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2244A945" w:rsidR="002A01CF" w:rsidRPr="007E7E42" w:rsidRDefault="007E7E42">
            <w:pPr>
              <w:rPr>
                <w:rFonts w:ascii="Calibri" w:hAnsi="Calibri"/>
                <w:bCs/>
                <w:szCs w:val="22"/>
              </w:rPr>
            </w:pPr>
            <w:r w:rsidRPr="007E7E42">
              <w:rPr>
                <w:rFonts w:ascii="Calibri" w:hAnsi="Calibri"/>
                <w:bCs/>
                <w:szCs w:val="22"/>
              </w:rPr>
              <w:t>Hothersall parish Council have raised no objection to the proposal.</w:t>
            </w:r>
          </w:p>
        </w:tc>
      </w:tr>
      <w:tr w:rsidR="00C618DB" w:rsidRPr="00D2449B" w14:paraId="639E958B" w14:textId="77777777" w:rsidTr="004A3122">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4A312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4A312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77777777" w:rsidR="002A01CF" w:rsidRPr="00D2449B" w:rsidRDefault="002A01CF">
            <w:pPr>
              <w:rPr>
                <w:rFonts w:ascii="Calibri" w:hAnsi="Calibri"/>
                <w:b/>
                <w:szCs w:val="22"/>
              </w:rPr>
            </w:pPr>
          </w:p>
        </w:tc>
      </w:tr>
      <w:tr w:rsidR="00C0704D" w:rsidRPr="00D2449B" w14:paraId="62663AAF"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BD28B56" w14:textId="774B8BD3" w:rsidR="00C0704D" w:rsidRDefault="007E7E42" w:rsidP="00D74711">
            <w:pPr>
              <w:rPr>
                <w:rFonts w:ascii="Calibri" w:hAnsi="Calibri"/>
                <w:szCs w:val="22"/>
              </w:rPr>
            </w:pPr>
            <w:r>
              <w:rPr>
                <w:rFonts w:ascii="Calibri" w:hAnsi="Calibri"/>
                <w:szCs w:val="22"/>
              </w:rPr>
              <w:t>The Local Highway Authority have offered the following observations:</w:t>
            </w:r>
          </w:p>
          <w:p w14:paraId="28401697" w14:textId="3DAF58ED" w:rsidR="007E7E42" w:rsidRDefault="007E7E42" w:rsidP="00D74711">
            <w:pPr>
              <w:rPr>
                <w:rFonts w:ascii="Calibri" w:hAnsi="Calibri"/>
                <w:szCs w:val="22"/>
              </w:rPr>
            </w:pPr>
          </w:p>
          <w:p w14:paraId="0AF34D2C" w14:textId="78DEA4B3" w:rsidR="007E7E42" w:rsidRDefault="007E7E42" w:rsidP="007E7E42">
            <w:pPr>
              <w:jc w:val="both"/>
              <w:rPr>
                <w:rFonts w:ascii="Calibri" w:hAnsi="Calibri"/>
                <w:i/>
                <w:iCs/>
                <w:szCs w:val="22"/>
              </w:rPr>
            </w:pPr>
            <w:r w:rsidRPr="007E7E42">
              <w:rPr>
                <w:rFonts w:ascii="Calibri" w:hAnsi="Calibri"/>
                <w:i/>
                <w:iCs/>
                <w:szCs w:val="22"/>
              </w:rPr>
              <w:t>Lancashire County Council acting as the Local Highway Authority does not consider that the application as submitted fully assesses the highway impact of the proposed development and further information is required as set out in this response. Without this information the Local Highway Authority is unable to provide final highway advice on this application.</w:t>
            </w:r>
          </w:p>
          <w:p w14:paraId="10616A9B" w14:textId="04437CAD" w:rsidR="007E7E42" w:rsidRDefault="007E7E42" w:rsidP="007E7E42">
            <w:pPr>
              <w:jc w:val="both"/>
              <w:rPr>
                <w:rFonts w:ascii="Calibri" w:hAnsi="Calibri"/>
                <w:i/>
                <w:iCs/>
                <w:szCs w:val="22"/>
              </w:rPr>
            </w:pPr>
          </w:p>
          <w:p w14:paraId="5E3B3628" w14:textId="5A31E9F6" w:rsidR="007E7E42" w:rsidRDefault="007E7E42" w:rsidP="007E7E42">
            <w:pPr>
              <w:jc w:val="both"/>
              <w:rPr>
                <w:rFonts w:ascii="Calibri" w:hAnsi="Calibri"/>
                <w:b/>
                <w:bCs/>
                <w:i/>
                <w:iCs/>
                <w:szCs w:val="22"/>
              </w:rPr>
            </w:pPr>
            <w:r w:rsidRPr="007E7E42">
              <w:rPr>
                <w:rFonts w:ascii="Calibri" w:hAnsi="Calibri"/>
                <w:b/>
                <w:bCs/>
                <w:i/>
                <w:iCs/>
                <w:szCs w:val="22"/>
              </w:rPr>
              <w:t>Site Access</w:t>
            </w:r>
          </w:p>
          <w:p w14:paraId="47E97442" w14:textId="77777777" w:rsidR="007E7E42" w:rsidRPr="007E7E42" w:rsidRDefault="007E7E42" w:rsidP="007E7E42">
            <w:pPr>
              <w:jc w:val="both"/>
              <w:rPr>
                <w:rFonts w:ascii="Calibri" w:hAnsi="Calibri"/>
                <w:b/>
                <w:bCs/>
                <w:i/>
                <w:iCs/>
                <w:szCs w:val="22"/>
              </w:rPr>
            </w:pPr>
          </w:p>
          <w:p w14:paraId="2099764C" w14:textId="77777777" w:rsidR="007E7E42" w:rsidRPr="007E7E42" w:rsidRDefault="007E7E42" w:rsidP="007E7E42">
            <w:pPr>
              <w:jc w:val="both"/>
              <w:rPr>
                <w:rFonts w:ascii="Calibri" w:hAnsi="Calibri"/>
                <w:i/>
                <w:iCs/>
                <w:szCs w:val="22"/>
              </w:rPr>
            </w:pPr>
            <w:r w:rsidRPr="007E7E42">
              <w:rPr>
                <w:rFonts w:ascii="Calibri" w:hAnsi="Calibri"/>
                <w:i/>
                <w:iCs/>
                <w:szCs w:val="22"/>
              </w:rPr>
              <w:t>The LHA are aware that the site will be accessed off Ribchester Road which is a B</w:t>
            </w:r>
          </w:p>
          <w:p w14:paraId="31897143" w14:textId="4F93640B" w:rsidR="007E7E42" w:rsidRDefault="007E7E42" w:rsidP="007E7E42">
            <w:pPr>
              <w:jc w:val="both"/>
              <w:rPr>
                <w:rFonts w:ascii="Calibri" w:hAnsi="Calibri"/>
                <w:i/>
                <w:iCs/>
                <w:szCs w:val="22"/>
              </w:rPr>
            </w:pPr>
            <w:r w:rsidRPr="007E7E42">
              <w:rPr>
                <w:rFonts w:ascii="Calibri" w:hAnsi="Calibri"/>
                <w:i/>
                <w:iCs/>
                <w:szCs w:val="22"/>
              </w:rPr>
              <w:t>classified road subject to a 40mph speed limit.</w:t>
            </w:r>
            <w:r>
              <w:rPr>
                <w:rFonts w:ascii="Calibri" w:hAnsi="Calibri"/>
                <w:i/>
                <w:iCs/>
                <w:szCs w:val="22"/>
              </w:rPr>
              <w:t xml:space="preserve"> </w:t>
            </w:r>
            <w:r w:rsidRPr="007E7E42">
              <w:rPr>
                <w:rFonts w:ascii="Calibri" w:hAnsi="Calibri"/>
                <w:i/>
                <w:iCs/>
                <w:szCs w:val="22"/>
              </w:rPr>
              <w:t>The LHA have reviewed the supporting documents and require a more detailed site</w:t>
            </w:r>
            <w:r>
              <w:rPr>
                <w:rFonts w:ascii="Calibri" w:hAnsi="Calibri"/>
                <w:i/>
                <w:iCs/>
                <w:szCs w:val="22"/>
              </w:rPr>
              <w:t xml:space="preserve"> </w:t>
            </w:r>
            <w:r w:rsidRPr="007E7E42">
              <w:rPr>
                <w:rFonts w:ascii="Calibri" w:hAnsi="Calibri"/>
                <w:i/>
                <w:iCs/>
                <w:szCs w:val="22"/>
              </w:rPr>
              <w:t>access plan to be submitted to supplement the application. This is because the LHA</w:t>
            </w:r>
            <w:r>
              <w:rPr>
                <w:rFonts w:ascii="Calibri" w:hAnsi="Calibri"/>
                <w:i/>
                <w:iCs/>
                <w:szCs w:val="22"/>
              </w:rPr>
              <w:t xml:space="preserve"> </w:t>
            </w:r>
            <w:r w:rsidRPr="007E7E42">
              <w:rPr>
                <w:rFonts w:ascii="Calibri" w:hAnsi="Calibri"/>
                <w:i/>
                <w:iCs/>
                <w:szCs w:val="22"/>
              </w:rPr>
              <w:t>require further information as to whether the access will serve the host dwelling as well as</w:t>
            </w:r>
            <w:r>
              <w:rPr>
                <w:rFonts w:ascii="Calibri" w:hAnsi="Calibri"/>
                <w:i/>
                <w:iCs/>
                <w:szCs w:val="22"/>
              </w:rPr>
              <w:t xml:space="preserve"> </w:t>
            </w:r>
            <w:r w:rsidRPr="007E7E42">
              <w:rPr>
                <w:rFonts w:ascii="Calibri" w:hAnsi="Calibri"/>
                <w:i/>
                <w:iCs/>
                <w:szCs w:val="22"/>
              </w:rPr>
              <w:t>the proposed or whether each dwelling will have their own access with the access being</w:t>
            </w:r>
            <w:r>
              <w:rPr>
                <w:rFonts w:ascii="Calibri" w:hAnsi="Calibri"/>
                <w:i/>
                <w:iCs/>
                <w:szCs w:val="22"/>
              </w:rPr>
              <w:t xml:space="preserve"> </w:t>
            </w:r>
            <w:r w:rsidRPr="007E7E42">
              <w:rPr>
                <w:rFonts w:ascii="Calibri" w:hAnsi="Calibri"/>
                <w:i/>
                <w:iCs/>
                <w:szCs w:val="22"/>
              </w:rPr>
              <w:t>split in half by a wall.</w:t>
            </w:r>
          </w:p>
          <w:p w14:paraId="7A96F4D2" w14:textId="77777777" w:rsidR="007E7E42" w:rsidRPr="007E7E42" w:rsidRDefault="007E7E42" w:rsidP="007E7E42">
            <w:pPr>
              <w:jc w:val="both"/>
              <w:rPr>
                <w:rFonts w:ascii="Calibri" w:hAnsi="Calibri"/>
                <w:i/>
                <w:iCs/>
                <w:szCs w:val="22"/>
              </w:rPr>
            </w:pPr>
          </w:p>
          <w:p w14:paraId="5862D59C" w14:textId="7596D96B" w:rsidR="007E7E42" w:rsidRDefault="007E7E42" w:rsidP="007E7E42">
            <w:pPr>
              <w:jc w:val="both"/>
              <w:rPr>
                <w:rFonts w:ascii="Calibri" w:hAnsi="Calibri"/>
                <w:i/>
                <w:iCs/>
                <w:szCs w:val="22"/>
              </w:rPr>
            </w:pPr>
            <w:r w:rsidRPr="007E7E42">
              <w:rPr>
                <w:rFonts w:ascii="Calibri" w:hAnsi="Calibri"/>
                <w:i/>
                <w:iCs/>
                <w:szCs w:val="22"/>
              </w:rPr>
              <w:t>Should the access be shared, the LHA require the access to be a minimum of 4.25m wide.</w:t>
            </w:r>
            <w:r>
              <w:rPr>
                <w:rFonts w:ascii="Calibri" w:hAnsi="Calibri"/>
                <w:i/>
                <w:iCs/>
                <w:szCs w:val="22"/>
              </w:rPr>
              <w:t xml:space="preserve">  </w:t>
            </w:r>
            <w:r w:rsidRPr="007E7E42">
              <w:rPr>
                <w:rFonts w:ascii="Calibri" w:hAnsi="Calibri"/>
                <w:i/>
                <w:iCs/>
                <w:szCs w:val="22"/>
              </w:rPr>
              <w:t>While should there being an access for each dwelling, the access serving the proposed</w:t>
            </w:r>
            <w:r>
              <w:rPr>
                <w:rFonts w:ascii="Calibri" w:hAnsi="Calibri"/>
                <w:i/>
                <w:iCs/>
                <w:szCs w:val="22"/>
              </w:rPr>
              <w:t xml:space="preserve"> </w:t>
            </w:r>
            <w:r w:rsidRPr="007E7E42">
              <w:rPr>
                <w:rFonts w:ascii="Calibri" w:hAnsi="Calibri"/>
                <w:i/>
                <w:iCs/>
                <w:szCs w:val="22"/>
              </w:rPr>
              <w:t>dwelling should be a minimum of 2.75m wide.</w:t>
            </w:r>
            <w:r>
              <w:rPr>
                <w:rFonts w:ascii="Calibri" w:hAnsi="Calibri"/>
                <w:i/>
                <w:iCs/>
                <w:szCs w:val="22"/>
              </w:rPr>
              <w:t xml:space="preserve"> </w:t>
            </w:r>
            <w:r w:rsidRPr="007E7E42">
              <w:rPr>
                <w:rFonts w:ascii="Calibri" w:hAnsi="Calibri"/>
                <w:i/>
                <w:iCs/>
                <w:szCs w:val="22"/>
              </w:rPr>
              <w:t>The LHA also require on the site access plan, the access to show the sites vehicular</w:t>
            </w:r>
            <w:r>
              <w:rPr>
                <w:rFonts w:ascii="Calibri" w:hAnsi="Calibri"/>
                <w:i/>
                <w:iCs/>
                <w:szCs w:val="22"/>
              </w:rPr>
              <w:t xml:space="preserve"> </w:t>
            </w:r>
            <w:r w:rsidRPr="007E7E42">
              <w:rPr>
                <w:rFonts w:ascii="Calibri" w:hAnsi="Calibri"/>
                <w:i/>
                <w:iCs/>
                <w:szCs w:val="22"/>
              </w:rPr>
              <w:t>visibility splays. The LHA advise the Applicant/ Agent that an access served off a 40mph</w:t>
            </w:r>
            <w:r>
              <w:rPr>
                <w:rFonts w:ascii="Calibri" w:hAnsi="Calibri"/>
                <w:i/>
                <w:iCs/>
                <w:szCs w:val="22"/>
              </w:rPr>
              <w:t xml:space="preserve"> </w:t>
            </w:r>
            <w:r w:rsidRPr="007E7E42">
              <w:rPr>
                <w:rFonts w:ascii="Calibri" w:hAnsi="Calibri"/>
                <w:i/>
                <w:iCs/>
                <w:szCs w:val="22"/>
              </w:rPr>
              <w:t>road is required to provide visibility splays of 2m x 65m in both directions.</w:t>
            </w:r>
          </w:p>
          <w:p w14:paraId="371FDB27" w14:textId="77777777" w:rsidR="007E7E42" w:rsidRPr="007E7E42" w:rsidRDefault="007E7E42" w:rsidP="007E7E42">
            <w:pPr>
              <w:jc w:val="both"/>
              <w:rPr>
                <w:rFonts w:ascii="Calibri" w:hAnsi="Calibri"/>
                <w:i/>
                <w:iCs/>
                <w:szCs w:val="22"/>
              </w:rPr>
            </w:pPr>
          </w:p>
          <w:p w14:paraId="6CBCF171" w14:textId="051171D3" w:rsidR="007E7E42" w:rsidRPr="007E7E42" w:rsidRDefault="007E7E42" w:rsidP="007E7E42">
            <w:pPr>
              <w:jc w:val="both"/>
              <w:rPr>
                <w:rFonts w:ascii="Calibri" w:hAnsi="Calibri"/>
                <w:i/>
                <w:iCs/>
                <w:szCs w:val="22"/>
              </w:rPr>
            </w:pPr>
            <w:r w:rsidRPr="007E7E42">
              <w:rPr>
                <w:rFonts w:ascii="Calibri" w:hAnsi="Calibri"/>
                <w:i/>
                <w:iCs/>
                <w:szCs w:val="22"/>
              </w:rPr>
              <w:t>However, should the access fail to provide the minimum visibility splays, the LHA require</w:t>
            </w:r>
            <w:r>
              <w:rPr>
                <w:rFonts w:ascii="Calibri" w:hAnsi="Calibri"/>
                <w:i/>
                <w:iCs/>
                <w:szCs w:val="22"/>
              </w:rPr>
              <w:t xml:space="preserve"> </w:t>
            </w:r>
            <w:r w:rsidRPr="007E7E42">
              <w:rPr>
                <w:rFonts w:ascii="Calibri" w:hAnsi="Calibri"/>
                <w:i/>
                <w:iCs/>
                <w:szCs w:val="22"/>
              </w:rPr>
              <w:t>the maximum levels to be shown on the drawing. This is because the LHA may accept the</w:t>
            </w:r>
            <w:r>
              <w:rPr>
                <w:rFonts w:ascii="Calibri" w:hAnsi="Calibri"/>
                <w:i/>
                <w:iCs/>
                <w:szCs w:val="22"/>
              </w:rPr>
              <w:t xml:space="preserve"> </w:t>
            </w:r>
            <w:r w:rsidRPr="007E7E42">
              <w:rPr>
                <w:rFonts w:ascii="Calibri" w:hAnsi="Calibri"/>
                <w:i/>
                <w:iCs/>
                <w:szCs w:val="22"/>
              </w:rPr>
              <w:t>shortfall in visibility given the previous use of the building.</w:t>
            </w:r>
          </w:p>
          <w:p w14:paraId="27876554" w14:textId="09484F3F" w:rsidR="007E7E42" w:rsidRDefault="007E7E42" w:rsidP="007E7E42">
            <w:pPr>
              <w:jc w:val="both"/>
              <w:rPr>
                <w:rFonts w:ascii="Calibri" w:hAnsi="Calibri"/>
                <w:b/>
                <w:bCs/>
                <w:i/>
                <w:iCs/>
                <w:szCs w:val="22"/>
              </w:rPr>
            </w:pPr>
            <w:r w:rsidRPr="007E7E42">
              <w:rPr>
                <w:rFonts w:ascii="Calibri" w:hAnsi="Calibri"/>
                <w:b/>
                <w:bCs/>
                <w:i/>
                <w:iCs/>
                <w:szCs w:val="22"/>
              </w:rPr>
              <w:t>Internal Layout</w:t>
            </w:r>
          </w:p>
          <w:p w14:paraId="3614E214" w14:textId="77777777" w:rsidR="007E7E42" w:rsidRPr="007E7E42" w:rsidRDefault="007E7E42" w:rsidP="007E7E42">
            <w:pPr>
              <w:jc w:val="both"/>
              <w:rPr>
                <w:rFonts w:ascii="Calibri" w:hAnsi="Calibri"/>
                <w:b/>
                <w:bCs/>
                <w:i/>
                <w:iCs/>
                <w:szCs w:val="22"/>
              </w:rPr>
            </w:pPr>
          </w:p>
          <w:p w14:paraId="4099C80E" w14:textId="79B0ED11" w:rsidR="007E7E42" w:rsidRDefault="007E7E42" w:rsidP="007E7E42">
            <w:pPr>
              <w:jc w:val="both"/>
              <w:rPr>
                <w:rFonts w:ascii="Calibri" w:hAnsi="Calibri"/>
                <w:i/>
                <w:iCs/>
                <w:szCs w:val="22"/>
              </w:rPr>
            </w:pPr>
            <w:r w:rsidRPr="007E7E42">
              <w:rPr>
                <w:rFonts w:ascii="Calibri" w:hAnsi="Calibri"/>
                <w:i/>
                <w:iCs/>
                <w:szCs w:val="22"/>
              </w:rPr>
              <w:t>The LHA have reviewed the supporting documents and require a parking plan to be</w:t>
            </w:r>
            <w:r>
              <w:rPr>
                <w:rFonts w:ascii="Calibri" w:hAnsi="Calibri"/>
                <w:i/>
                <w:iCs/>
                <w:szCs w:val="22"/>
              </w:rPr>
              <w:t xml:space="preserve"> </w:t>
            </w:r>
            <w:r w:rsidRPr="007E7E42">
              <w:rPr>
                <w:rFonts w:ascii="Calibri" w:hAnsi="Calibri"/>
                <w:i/>
                <w:iCs/>
                <w:szCs w:val="22"/>
              </w:rPr>
              <w:t>submitted showing that the proposed dwelling can provide a minimum of 2 car parking</w:t>
            </w:r>
            <w:r>
              <w:rPr>
                <w:rFonts w:ascii="Calibri" w:hAnsi="Calibri"/>
                <w:i/>
                <w:iCs/>
                <w:szCs w:val="22"/>
              </w:rPr>
              <w:t xml:space="preserve"> </w:t>
            </w:r>
            <w:r w:rsidRPr="007E7E42">
              <w:rPr>
                <w:rFonts w:ascii="Calibri" w:hAnsi="Calibri"/>
                <w:i/>
                <w:iCs/>
                <w:szCs w:val="22"/>
              </w:rPr>
              <w:t>spaces to comply with the parking standards as defined in the Joint Lancashire Structure</w:t>
            </w:r>
            <w:r>
              <w:rPr>
                <w:rFonts w:ascii="Calibri" w:hAnsi="Calibri"/>
                <w:i/>
                <w:iCs/>
                <w:szCs w:val="22"/>
              </w:rPr>
              <w:t xml:space="preserve"> </w:t>
            </w:r>
            <w:r w:rsidRPr="007E7E42">
              <w:rPr>
                <w:rFonts w:ascii="Calibri" w:hAnsi="Calibri"/>
                <w:i/>
                <w:iCs/>
                <w:szCs w:val="22"/>
              </w:rPr>
              <w:t>Plan.</w:t>
            </w:r>
          </w:p>
          <w:p w14:paraId="13839EDD" w14:textId="77777777" w:rsidR="007E7E42" w:rsidRPr="007E7E42" w:rsidRDefault="007E7E42" w:rsidP="007E7E42">
            <w:pPr>
              <w:jc w:val="both"/>
              <w:rPr>
                <w:rFonts w:ascii="Calibri" w:hAnsi="Calibri"/>
                <w:i/>
                <w:iCs/>
                <w:szCs w:val="22"/>
              </w:rPr>
            </w:pPr>
          </w:p>
          <w:p w14:paraId="669C972D" w14:textId="3B723729" w:rsidR="007E7E42" w:rsidRDefault="007E7E42" w:rsidP="007E7E42">
            <w:pPr>
              <w:jc w:val="both"/>
              <w:rPr>
                <w:rFonts w:ascii="Calibri" w:hAnsi="Calibri"/>
                <w:b/>
                <w:bCs/>
                <w:i/>
                <w:iCs/>
                <w:szCs w:val="22"/>
              </w:rPr>
            </w:pPr>
            <w:r w:rsidRPr="007E7E42">
              <w:rPr>
                <w:rFonts w:ascii="Calibri" w:hAnsi="Calibri"/>
                <w:b/>
                <w:bCs/>
                <w:i/>
                <w:iCs/>
                <w:szCs w:val="22"/>
              </w:rPr>
              <w:t>Conclusion</w:t>
            </w:r>
          </w:p>
          <w:p w14:paraId="27BB068C" w14:textId="77777777" w:rsidR="007E7E42" w:rsidRPr="007E7E42" w:rsidRDefault="007E7E42" w:rsidP="007E7E42">
            <w:pPr>
              <w:jc w:val="both"/>
              <w:rPr>
                <w:rFonts w:ascii="Calibri" w:hAnsi="Calibri"/>
                <w:b/>
                <w:bCs/>
                <w:i/>
                <w:iCs/>
                <w:szCs w:val="22"/>
              </w:rPr>
            </w:pPr>
          </w:p>
          <w:p w14:paraId="2C12AD73" w14:textId="3A4F28CA" w:rsidR="007E7E42" w:rsidRPr="007E7E42" w:rsidRDefault="007E7E42" w:rsidP="007E7E42">
            <w:pPr>
              <w:jc w:val="both"/>
              <w:rPr>
                <w:rFonts w:ascii="Calibri" w:hAnsi="Calibri"/>
                <w:i/>
                <w:iCs/>
                <w:szCs w:val="22"/>
              </w:rPr>
            </w:pPr>
            <w:r w:rsidRPr="007E7E42">
              <w:rPr>
                <w:rFonts w:ascii="Calibri" w:hAnsi="Calibri"/>
                <w:i/>
                <w:iCs/>
                <w:szCs w:val="22"/>
              </w:rPr>
              <w:lastRenderedPageBreak/>
              <w:t>The LHA require further information in the guise of a scaled access plan and a parking</w:t>
            </w:r>
            <w:r>
              <w:rPr>
                <w:rFonts w:ascii="Calibri" w:hAnsi="Calibri"/>
                <w:i/>
                <w:iCs/>
                <w:szCs w:val="22"/>
              </w:rPr>
              <w:t xml:space="preserve"> </w:t>
            </w:r>
            <w:r w:rsidRPr="007E7E42">
              <w:rPr>
                <w:rFonts w:ascii="Calibri" w:hAnsi="Calibri"/>
                <w:i/>
                <w:iCs/>
                <w:szCs w:val="22"/>
              </w:rPr>
              <w:t>plan to ensure that the proposed dwelling complies with the LHAs guidance</w:t>
            </w:r>
          </w:p>
          <w:p w14:paraId="6149AC5C" w14:textId="07373400" w:rsidR="007E7E42" w:rsidRPr="00C0704D" w:rsidRDefault="007E7E42" w:rsidP="00D74711">
            <w:pPr>
              <w:rPr>
                <w:rFonts w:ascii="Calibri" w:hAnsi="Calibri"/>
                <w:szCs w:val="22"/>
              </w:rPr>
            </w:pPr>
          </w:p>
        </w:tc>
      </w:tr>
      <w:tr w:rsidR="00C0704D" w:rsidRPr="00D2449B" w14:paraId="29EBDA1F" w14:textId="77777777" w:rsidTr="004A3122">
        <w:trPr>
          <w:jc w:val="center"/>
        </w:trPr>
        <w:tc>
          <w:tcPr>
            <w:tcW w:w="2893" w:type="dxa"/>
            <w:gridSpan w:val="6"/>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lastRenderedPageBreak/>
              <w:t xml:space="preserve">CONSULTATIONS: </w:t>
            </w:r>
          </w:p>
        </w:tc>
        <w:tc>
          <w:tcPr>
            <w:tcW w:w="6446" w:type="dxa"/>
            <w:gridSpan w:val="8"/>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E64E916" w:rsidR="00C0704D" w:rsidRPr="00C0704D" w:rsidRDefault="007E7E42" w:rsidP="00692B60">
            <w:pPr>
              <w:rPr>
                <w:rFonts w:ascii="Calibri" w:hAnsi="Calibri"/>
                <w:szCs w:val="22"/>
              </w:rPr>
            </w:pPr>
            <w:r>
              <w:rPr>
                <w:rFonts w:ascii="Calibri" w:hAnsi="Calibri"/>
                <w:szCs w:val="22"/>
              </w:rPr>
              <w:t>No representations received in respect of the application.</w:t>
            </w:r>
          </w:p>
        </w:tc>
      </w:tr>
      <w:tr w:rsidR="00C0704D" w:rsidRPr="00D2449B" w14:paraId="1CDFA4C3" w14:textId="77777777" w:rsidTr="004A3122">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1DF6E328" w14:textId="77777777" w:rsidR="00C0704D" w:rsidRDefault="00C0704D" w:rsidP="00C0704D">
            <w:pPr>
              <w:rPr>
                <w:rFonts w:ascii="Calibri" w:hAnsi="Calibri"/>
                <w:b/>
                <w:szCs w:val="22"/>
              </w:rPr>
            </w:pPr>
          </w:p>
          <w:p w14:paraId="23753E24" w14:textId="77777777" w:rsidR="008542DE" w:rsidRPr="00C618DB" w:rsidRDefault="008542DE" w:rsidP="008542DE">
            <w:pPr>
              <w:pStyle w:val="PLANNING"/>
              <w:rPr>
                <w:rFonts w:ascii="Calibri" w:hAnsi="Calibri"/>
                <w:szCs w:val="22"/>
              </w:rPr>
            </w:pPr>
            <w:r w:rsidRPr="00C618DB">
              <w:rPr>
                <w:rFonts w:ascii="Calibri" w:hAnsi="Calibri"/>
                <w:szCs w:val="22"/>
              </w:rPr>
              <w:t>Key Statement DS1 – Development Strategy</w:t>
            </w:r>
          </w:p>
          <w:p w14:paraId="63DD9EED" w14:textId="77777777" w:rsidR="008542DE" w:rsidRPr="00C618DB" w:rsidRDefault="008542DE" w:rsidP="008542DE">
            <w:pPr>
              <w:pStyle w:val="PLANNING"/>
              <w:rPr>
                <w:rFonts w:ascii="Calibri" w:hAnsi="Calibri"/>
                <w:szCs w:val="22"/>
              </w:rPr>
            </w:pPr>
            <w:r w:rsidRPr="00C618DB">
              <w:rPr>
                <w:rFonts w:ascii="Calibri" w:hAnsi="Calibri"/>
                <w:szCs w:val="22"/>
              </w:rPr>
              <w:t>Key Statement DS2 – Sustainable Development</w:t>
            </w:r>
          </w:p>
          <w:p w14:paraId="4826DE9C" w14:textId="36754C28" w:rsidR="008542DE" w:rsidRDefault="008542DE" w:rsidP="008542DE">
            <w:pPr>
              <w:pStyle w:val="PLANNING"/>
              <w:rPr>
                <w:rFonts w:ascii="Calibri" w:hAnsi="Calibri"/>
                <w:szCs w:val="22"/>
              </w:rPr>
            </w:pPr>
            <w:r w:rsidRPr="00C618DB">
              <w:rPr>
                <w:rFonts w:ascii="Calibri" w:hAnsi="Calibri"/>
                <w:szCs w:val="22"/>
              </w:rPr>
              <w:t>Key Statement DMI2 – Transport Considerations</w:t>
            </w:r>
          </w:p>
          <w:p w14:paraId="4CF76C47" w14:textId="77777777" w:rsidR="0046548C" w:rsidRPr="00C618DB" w:rsidRDefault="0046548C" w:rsidP="008542DE">
            <w:pPr>
              <w:pStyle w:val="PLANNING"/>
              <w:rPr>
                <w:rFonts w:ascii="Calibri" w:hAnsi="Calibri"/>
                <w:szCs w:val="22"/>
              </w:rPr>
            </w:pPr>
          </w:p>
          <w:p w14:paraId="1636F1D2" w14:textId="77777777" w:rsidR="008542DE" w:rsidRPr="00C618DB" w:rsidRDefault="008542DE" w:rsidP="008542DE">
            <w:pPr>
              <w:pStyle w:val="PLANNING"/>
              <w:rPr>
                <w:rFonts w:ascii="Calibri" w:hAnsi="Calibri"/>
                <w:szCs w:val="22"/>
              </w:rPr>
            </w:pPr>
            <w:r w:rsidRPr="00C618DB">
              <w:rPr>
                <w:rFonts w:ascii="Calibri" w:hAnsi="Calibri"/>
                <w:szCs w:val="22"/>
              </w:rPr>
              <w:t>Policy DMG1 – General Considerations</w:t>
            </w:r>
          </w:p>
          <w:p w14:paraId="54E7D563" w14:textId="77777777" w:rsidR="008542DE" w:rsidRPr="00C618DB" w:rsidRDefault="008542DE" w:rsidP="008542DE">
            <w:pPr>
              <w:pStyle w:val="PLANNING"/>
              <w:rPr>
                <w:rFonts w:ascii="Calibri" w:hAnsi="Calibri"/>
                <w:szCs w:val="22"/>
              </w:rPr>
            </w:pPr>
            <w:r w:rsidRPr="00C618DB">
              <w:rPr>
                <w:rFonts w:ascii="Calibri" w:hAnsi="Calibri"/>
                <w:szCs w:val="22"/>
              </w:rPr>
              <w:t>Policy DMG2 – Strategic Considerations</w:t>
            </w:r>
          </w:p>
          <w:p w14:paraId="5CF21779" w14:textId="77777777" w:rsidR="008542DE" w:rsidRPr="00C618DB" w:rsidRDefault="008542DE" w:rsidP="008542DE">
            <w:pPr>
              <w:pStyle w:val="PLANNING"/>
              <w:rPr>
                <w:rFonts w:ascii="Calibri" w:hAnsi="Calibri"/>
                <w:szCs w:val="22"/>
              </w:rPr>
            </w:pPr>
            <w:r w:rsidRPr="00C618DB">
              <w:rPr>
                <w:rFonts w:ascii="Calibri" w:hAnsi="Calibri"/>
                <w:szCs w:val="22"/>
              </w:rPr>
              <w:t>Policy DMG3 – Transport &amp; Mobility</w:t>
            </w:r>
          </w:p>
          <w:p w14:paraId="1360EE56" w14:textId="4CB65D4C" w:rsidR="008542DE" w:rsidRDefault="008542DE" w:rsidP="008542DE">
            <w:pPr>
              <w:pStyle w:val="PLANNING"/>
              <w:rPr>
                <w:rFonts w:ascii="Calibri" w:hAnsi="Calibri"/>
                <w:szCs w:val="22"/>
              </w:rPr>
            </w:pPr>
            <w:r w:rsidRPr="00C618DB">
              <w:rPr>
                <w:rFonts w:ascii="Calibri" w:hAnsi="Calibri"/>
                <w:szCs w:val="22"/>
              </w:rPr>
              <w:t>Policy DMH3 – Dwellings in the Open Countryside</w:t>
            </w:r>
          </w:p>
          <w:p w14:paraId="0B260494" w14:textId="77777777" w:rsidR="007E7E42" w:rsidRDefault="007E7E42" w:rsidP="008542DE">
            <w:pPr>
              <w:pStyle w:val="PLANNING"/>
              <w:rPr>
                <w:rFonts w:ascii="Calibri" w:hAnsi="Calibri"/>
                <w:szCs w:val="22"/>
              </w:rPr>
            </w:pPr>
          </w:p>
          <w:p w14:paraId="1C00F88E" w14:textId="77777777" w:rsidR="008542DE" w:rsidRDefault="008542DE" w:rsidP="008542DE">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6FD31F6E" w:rsidR="00C0704D" w:rsidRDefault="00C0704D" w:rsidP="00C0704D">
            <w:pPr>
              <w:pStyle w:val="PLANNING"/>
              <w:rPr>
                <w:rFonts w:ascii="Calibri" w:hAnsi="Calibri"/>
                <w:b/>
                <w:bCs/>
                <w:szCs w:val="22"/>
              </w:rPr>
            </w:pPr>
          </w:p>
          <w:p w14:paraId="1169A697" w14:textId="1E0BF2A1" w:rsidR="004A3122" w:rsidRDefault="004A3122" w:rsidP="00C0704D">
            <w:pPr>
              <w:pStyle w:val="PLANNING"/>
              <w:rPr>
                <w:rFonts w:ascii="Calibri" w:hAnsi="Calibri"/>
                <w:b/>
                <w:bCs/>
                <w:szCs w:val="22"/>
              </w:rPr>
            </w:pPr>
            <w:r>
              <w:rPr>
                <w:rFonts w:ascii="Calibri" w:hAnsi="Calibri"/>
                <w:b/>
                <w:bCs/>
                <w:szCs w:val="22"/>
              </w:rPr>
              <w:t>2020/0071:</w:t>
            </w:r>
          </w:p>
          <w:p w14:paraId="4B67BDD0" w14:textId="65386D7A" w:rsidR="004A3122" w:rsidRPr="004A3122" w:rsidRDefault="004A3122" w:rsidP="00C0704D">
            <w:pPr>
              <w:pStyle w:val="PLANNING"/>
              <w:rPr>
                <w:rFonts w:ascii="Calibri" w:hAnsi="Calibri"/>
                <w:szCs w:val="22"/>
              </w:rPr>
            </w:pPr>
            <w:r w:rsidRPr="004A3122">
              <w:rPr>
                <w:rFonts w:ascii="Calibri" w:hAnsi="Calibri"/>
                <w:szCs w:val="22"/>
              </w:rPr>
              <w:t>Change of use of holiday cottage to annexe attached to Mount Pleasant.  (Approved)</w:t>
            </w:r>
          </w:p>
          <w:p w14:paraId="3C1EDA96" w14:textId="77777777" w:rsidR="004A3122" w:rsidRDefault="004A3122" w:rsidP="00C0704D">
            <w:pPr>
              <w:pStyle w:val="PLANNING"/>
              <w:rPr>
                <w:rFonts w:ascii="Calibri" w:hAnsi="Calibri"/>
                <w:b/>
                <w:bCs/>
                <w:szCs w:val="22"/>
              </w:rPr>
            </w:pPr>
          </w:p>
          <w:p w14:paraId="21B0EA50" w14:textId="7E97A807" w:rsidR="0046548C" w:rsidRPr="004A3122" w:rsidRDefault="004A3122" w:rsidP="00C0704D">
            <w:pPr>
              <w:pStyle w:val="PLANNING"/>
              <w:rPr>
                <w:rFonts w:ascii="Calibri" w:hAnsi="Calibri"/>
                <w:b/>
                <w:bCs/>
                <w:szCs w:val="22"/>
              </w:rPr>
            </w:pPr>
            <w:r w:rsidRPr="004A3122">
              <w:rPr>
                <w:rFonts w:ascii="Calibri" w:hAnsi="Calibri"/>
                <w:b/>
                <w:bCs/>
                <w:szCs w:val="22"/>
              </w:rPr>
              <w:t>2008/0168:</w:t>
            </w:r>
          </w:p>
          <w:p w14:paraId="1B160610" w14:textId="77677DBA" w:rsidR="004A3122" w:rsidRPr="004A3122" w:rsidRDefault="004A3122" w:rsidP="00C0704D">
            <w:pPr>
              <w:pStyle w:val="PLANNING"/>
              <w:rPr>
                <w:rFonts w:ascii="Calibri" w:hAnsi="Calibri"/>
                <w:szCs w:val="22"/>
              </w:rPr>
            </w:pPr>
            <w:r w:rsidRPr="004A3122">
              <w:rPr>
                <w:rFonts w:ascii="Calibri" w:hAnsi="Calibri"/>
                <w:szCs w:val="22"/>
              </w:rPr>
              <w:t>Bedroom and lounge extension to holiday cottage in grounds.</w:t>
            </w:r>
            <w:r>
              <w:rPr>
                <w:rFonts w:ascii="Calibri" w:hAnsi="Calibri"/>
                <w:szCs w:val="22"/>
              </w:rPr>
              <w:t xml:space="preserve"> (Approved)</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4A3122">
        <w:trPr>
          <w:trHeight w:hRule="exact" w:val="170"/>
          <w:jc w:val="center"/>
        </w:trPr>
        <w:tc>
          <w:tcPr>
            <w:tcW w:w="9339" w:type="dxa"/>
            <w:gridSpan w:val="14"/>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2CBB566C" w14:textId="77777777" w:rsidR="004A1255" w:rsidRDefault="004A1255" w:rsidP="00B93EB5">
            <w:pPr>
              <w:pStyle w:val="Header"/>
              <w:tabs>
                <w:tab w:val="clear" w:pos="4153"/>
                <w:tab w:val="clear" w:pos="8306"/>
              </w:tabs>
              <w:contextualSpacing/>
              <w:jc w:val="both"/>
              <w:rPr>
                <w:rFonts w:ascii="Calibri" w:hAnsi="Calibri"/>
                <w:bCs/>
                <w:szCs w:val="22"/>
              </w:rPr>
            </w:pPr>
            <w:r>
              <w:rPr>
                <w:rFonts w:ascii="Calibri" w:hAnsi="Calibri"/>
                <w:bCs/>
                <w:szCs w:val="22"/>
              </w:rPr>
              <w:t>The application relates to an existing single storey residential annexe located within the defined residential curtilage of the dwelling known as ‘Mount Pleasant’.  The site is outwith any defined settlement limits being located within the designated Open Countryside.</w:t>
            </w:r>
          </w:p>
          <w:p w14:paraId="62370E9F" w14:textId="3126B28F" w:rsidR="00763EA2" w:rsidRPr="006C2BFA" w:rsidRDefault="00763EA2" w:rsidP="00763EA2">
            <w:pPr>
              <w:pStyle w:val="Header"/>
              <w:contextualSpacing/>
              <w:jc w:val="both"/>
              <w:rPr>
                <w:rFonts w:ascii="Calibri" w:hAnsi="Calibri"/>
                <w:bCs/>
                <w:szCs w:val="22"/>
              </w:rPr>
            </w:pPr>
          </w:p>
        </w:tc>
      </w:tr>
      <w:tr w:rsidR="00C0704D" w:rsidRPr="00D2449B" w14:paraId="408C6380"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440CB6">
            <w:pPr>
              <w:pStyle w:val="Header"/>
              <w:tabs>
                <w:tab w:val="clear" w:pos="4153"/>
                <w:tab w:val="clear" w:pos="8306"/>
              </w:tabs>
              <w:jc w:val="both"/>
              <w:rPr>
                <w:rFonts w:ascii="Calibri" w:hAnsi="Calibri"/>
                <w:b/>
                <w:szCs w:val="22"/>
              </w:rPr>
            </w:pPr>
            <w:r>
              <w:rPr>
                <w:rFonts w:ascii="Calibri" w:hAnsi="Calibri"/>
                <w:b/>
                <w:szCs w:val="22"/>
              </w:rPr>
              <w:t>Proposed Development for which consent is sought</w:t>
            </w:r>
            <w:r w:rsidRPr="00D2449B">
              <w:rPr>
                <w:rFonts w:ascii="Calibri" w:hAnsi="Calibri"/>
                <w:b/>
                <w:szCs w:val="22"/>
              </w:rPr>
              <w:t>:</w:t>
            </w:r>
          </w:p>
          <w:p w14:paraId="7C8F28E1" w14:textId="77777777" w:rsidR="00C0704D" w:rsidRDefault="00C0704D" w:rsidP="00440CB6">
            <w:pPr>
              <w:pStyle w:val="Header"/>
              <w:tabs>
                <w:tab w:val="clear" w:pos="4153"/>
                <w:tab w:val="clear" w:pos="8306"/>
              </w:tabs>
              <w:jc w:val="both"/>
              <w:rPr>
                <w:rFonts w:ascii="Calibri" w:hAnsi="Calibri"/>
                <w:b/>
                <w:szCs w:val="22"/>
              </w:rPr>
            </w:pPr>
          </w:p>
          <w:p w14:paraId="0811E1E9" w14:textId="2A1BC423" w:rsidR="004A1255" w:rsidRDefault="004A1255" w:rsidP="00D821A8">
            <w:pPr>
              <w:jc w:val="both"/>
              <w:rPr>
                <w:rFonts w:ascii="Calibri" w:hAnsi="Calibri"/>
                <w:szCs w:val="22"/>
              </w:rPr>
            </w:pPr>
            <w:r>
              <w:rPr>
                <w:rFonts w:ascii="Calibri" w:hAnsi="Calibri"/>
                <w:szCs w:val="22"/>
              </w:rPr>
              <w:t>The application seeks consent for the change of use of the existing residential annexe to that of a single independent residential dwelling.  The submitted details provide a proposed site plan that indicates that the proposed dwelling will benefit from an extensive curtilage area, however it would appear that areas of the proposed curtilage include a</w:t>
            </w:r>
            <w:r w:rsidR="00D821A8">
              <w:rPr>
                <w:rFonts w:ascii="Calibri" w:hAnsi="Calibri"/>
                <w:szCs w:val="22"/>
              </w:rPr>
              <w:t xml:space="preserve"> </w:t>
            </w:r>
            <w:r>
              <w:rPr>
                <w:rFonts w:ascii="Calibri" w:hAnsi="Calibri"/>
                <w:szCs w:val="22"/>
              </w:rPr>
              <w:t>shared access track that facilitates access to the adjacent agricultural land to the south-west.  The submitted details do not propose any exterior alterations to the existing building.</w:t>
            </w:r>
          </w:p>
          <w:p w14:paraId="1B20488F" w14:textId="431340CD" w:rsidR="004A1255" w:rsidRPr="00D54E67" w:rsidRDefault="004A1255" w:rsidP="002F2580">
            <w:pPr>
              <w:rPr>
                <w:rFonts w:ascii="Calibri" w:hAnsi="Calibri"/>
                <w:szCs w:val="22"/>
              </w:rPr>
            </w:pPr>
          </w:p>
        </w:tc>
      </w:tr>
      <w:tr w:rsidR="0046548C" w:rsidRPr="00D2449B" w14:paraId="06BBE02F"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46548C">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08AE09EF" w:rsidR="0046548C" w:rsidRDefault="0046548C" w:rsidP="008542DE">
            <w:pPr>
              <w:pStyle w:val="Header"/>
              <w:tabs>
                <w:tab w:val="clear" w:pos="4153"/>
                <w:tab w:val="clear" w:pos="8306"/>
              </w:tabs>
              <w:contextualSpacing/>
              <w:jc w:val="both"/>
              <w:rPr>
                <w:rFonts w:ascii="Calibri" w:hAnsi="Calibri"/>
                <w:b/>
                <w:szCs w:val="22"/>
              </w:rPr>
            </w:pPr>
          </w:p>
          <w:p w14:paraId="2985BF16" w14:textId="70F81CE3" w:rsidR="00763EA2" w:rsidRPr="00763EA2" w:rsidRDefault="004A1255" w:rsidP="00763EA2">
            <w:pPr>
              <w:pStyle w:val="Header"/>
              <w:tabs>
                <w:tab w:val="clear" w:pos="4153"/>
                <w:tab w:val="clear" w:pos="8306"/>
              </w:tabs>
              <w:contextualSpacing/>
              <w:jc w:val="both"/>
              <w:rPr>
                <w:rFonts w:ascii="Calibri" w:hAnsi="Calibri"/>
                <w:b/>
                <w:szCs w:val="22"/>
              </w:rPr>
            </w:pPr>
            <w:r w:rsidRPr="00763EA2">
              <w:rPr>
                <w:rFonts w:ascii="Calibri" w:hAnsi="Calibri"/>
                <w:bCs/>
                <w:szCs w:val="22"/>
              </w:rPr>
              <w:t>Given the proposal seeks consent for that of the creation of a new independent residential dwelling outside of defined settlement limits, located within the defined open countryside.</w:t>
            </w:r>
            <w:r>
              <w:rPr>
                <w:rFonts w:ascii="Calibri" w:hAnsi="Calibri"/>
                <w:b/>
                <w:szCs w:val="22"/>
              </w:rPr>
              <w:t xml:space="preserve">  </w:t>
            </w:r>
            <w:r w:rsidR="00763EA2">
              <w:rPr>
                <w:rFonts w:ascii="Calibri" w:hAnsi="Calibri"/>
                <w:bCs/>
                <w:szCs w:val="22"/>
              </w:rPr>
              <w:t>As such, Policies DMG2 and DMH3 of the Ribble Valley Core Strategy are engaged for the purposes of assessing the proposal.</w:t>
            </w:r>
          </w:p>
          <w:p w14:paraId="0B008B15" w14:textId="77777777" w:rsidR="00763EA2" w:rsidRDefault="00763EA2" w:rsidP="00763EA2">
            <w:pPr>
              <w:pStyle w:val="Header"/>
              <w:tabs>
                <w:tab w:val="clear" w:pos="4153"/>
                <w:tab w:val="clear" w:pos="8306"/>
              </w:tabs>
              <w:contextualSpacing/>
              <w:jc w:val="both"/>
              <w:rPr>
                <w:rFonts w:ascii="Calibri" w:hAnsi="Calibri"/>
                <w:bCs/>
                <w:szCs w:val="22"/>
              </w:rPr>
            </w:pPr>
          </w:p>
          <w:p w14:paraId="2EE4612C" w14:textId="77777777" w:rsidR="00763EA2" w:rsidRPr="002C2299" w:rsidRDefault="00763EA2" w:rsidP="00763EA2">
            <w:pPr>
              <w:overflowPunct/>
              <w:jc w:val="both"/>
              <w:textAlignment w:val="auto"/>
              <w:rPr>
                <w:rFonts w:ascii="Calibri" w:eastAsia="Calibri" w:hAnsi="Calibri" w:cs="Calibri"/>
                <w:szCs w:val="22"/>
                <w:lang w:eastAsia="en-GB"/>
              </w:rPr>
            </w:pPr>
            <w:r w:rsidRPr="002C2299">
              <w:rPr>
                <w:rFonts w:ascii="Calibri" w:eastAsia="Calibri" w:hAnsi="Calibri" w:cs="Calibri"/>
                <w:szCs w:val="22"/>
                <w:lang w:eastAsia="en-GB"/>
              </w:rPr>
              <w:t>Policy DMG2 of the Ribble Valley Core Strategy seeks to restrict residential development within the</w:t>
            </w:r>
            <w:r>
              <w:rPr>
                <w:rFonts w:ascii="Calibri" w:eastAsia="Calibri" w:hAnsi="Calibri" w:cs="Calibri"/>
                <w:szCs w:val="22"/>
                <w:lang w:eastAsia="en-GB"/>
              </w:rPr>
              <w:t xml:space="preserve"> </w:t>
            </w:r>
            <w:r w:rsidRPr="002C2299">
              <w:rPr>
                <w:rFonts w:ascii="Calibri" w:eastAsia="Calibri" w:hAnsi="Calibri" w:cs="Calibri"/>
                <w:szCs w:val="22"/>
                <w:lang w:eastAsia="en-GB"/>
              </w:rPr>
              <w:t>open countryside and Tier 2 Village settlements to that which meets a number of explicit criteria, with Key Statement DS1 also reaffirming these criteria and setting out the overall spatial aspirations for development within the Borough.</w:t>
            </w:r>
          </w:p>
          <w:p w14:paraId="0A70A5D6" w14:textId="77777777" w:rsidR="00763EA2" w:rsidRPr="002C2299" w:rsidRDefault="00763EA2" w:rsidP="00763EA2">
            <w:pPr>
              <w:pStyle w:val="Header"/>
              <w:tabs>
                <w:tab w:val="clear" w:pos="4153"/>
                <w:tab w:val="clear" w:pos="8306"/>
              </w:tabs>
              <w:contextualSpacing/>
              <w:jc w:val="both"/>
              <w:rPr>
                <w:rFonts w:ascii="Calibri" w:hAnsi="Calibri" w:cs="Calibri"/>
                <w:b/>
                <w:color w:val="FF0000"/>
                <w:szCs w:val="22"/>
              </w:rPr>
            </w:pPr>
          </w:p>
          <w:p w14:paraId="1E96B5D8" w14:textId="77777777" w:rsidR="00763EA2" w:rsidRPr="002C2299" w:rsidRDefault="00763EA2" w:rsidP="00763EA2">
            <w:pPr>
              <w:pStyle w:val="Header"/>
              <w:tabs>
                <w:tab w:val="clear" w:pos="4153"/>
                <w:tab w:val="clear" w:pos="8306"/>
              </w:tabs>
              <w:contextualSpacing/>
              <w:jc w:val="both"/>
              <w:rPr>
                <w:rFonts w:ascii="Calibri" w:hAnsi="Calibri" w:cs="Calibri"/>
                <w:szCs w:val="22"/>
              </w:rPr>
            </w:pPr>
            <w:r w:rsidRPr="002C2299">
              <w:rPr>
                <w:rFonts w:ascii="Calibri" w:hAnsi="Calibri" w:cs="Calibri"/>
                <w:szCs w:val="22"/>
              </w:rPr>
              <w:t xml:space="preserve">In respect of assessing the submitted proposal, Policy DMG2 remains fully engaged. Policy DMG2 is two-fold in its approach to guiding development. The primary part of the policy DMG2(1) is engaged where development proposals are located ‘in’ principal and tier 1 settlements with the second part of the policy DMG2(2) being engaged when a proposed development is located ‘outside’ defined settlement areas or within tier 2 villages, with each part of the policy therefore being engaged in isolation and independent of the other dependant on the locational aspects of a proposal.  </w:t>
            </w:r>
          </w:p>
          <w:p w14:paraId="16CAF4AA" w14:textId="77777777" w:rsidR="00763EA2" w:rsidRPr="002C2299" w:rsidRDefault="00763EA2" w:rsidP="00763EA2">
            <w:pPr>
              <w:pStyle w:val="Header"/>
              <w:tabs>
                <w:tab w:val="clear" w:pos="4153"/>
                <w:tab w:val="clear" w:pos="8306"/>
              </w:tabs>
              <w:contextualSpacing/>
              <w:jc w:val="both"/>
              <w:rPr>
                <w:rFonts w:ascii="Calibri" w:hAnsi="Calibri" w:cs="Calibri"/>
                <w:color w:val="FF0000"/>
                <w:szCs w:val="22"/>
              </w:rPr>
            </w:pPr>
          </w:p>
          <w:p w14:paraId="0318E565" w14:textId="77777777" w:rsidR="00763EA2" w:rsidRPr="002C2299" w:rsidRDefault="00763EA2" w:rsidP="00763EA2">
            <w:pPr>
              <w:pStyle w:val="Header"/>
              <w:tabs>
                <w:tab w:val="clear" w:pos="4153"/>
                <w:tab w:val="clear" w:pos="8306"/>
              </w:tabs>
              <w:contextualSpacing/>
              <w:jc w:val="both"/>
              <w:rPr>
                <w:rFonts w:ascii="Calibri" w:hAnsi="Calibri" w:cs="Calibri"/>
                <w:szCs w:val="22"/>
              </w:rPr>
            </w:pPr>
            <w:r w:rsidRPr="002C2299">
              <w:rPr>
                <w:rFonts w:ascii="Calibri" w:hAnsi="Calibri" w:cs="Calibri"/>
                <w:szCs w:val="22"/>
              </w:rPr>
              <w:t xml:space="preserve">The mechanics and engagement of the policy are clear in this respect insofar that it contains explicit triggers as to when the former or latter criterion are applied and the triggers are purely locational and clearly based on a proposals relationship to defined settlement boundaries and whether, in this case, such a proposal is ‘in’ or ‘outside’ a defined settlement.  </w:t>
            </w:r>
          </w:p>
          <w:p w14:paraId="6D24F9AD" w14:textId="77777777" w:rsidR="00763EA2" w:rsidRPr="002C2299" w:rsidRDefault="00763EA2" w:rsidP="00763EA2">
            <w:pPr>
              <w:pStyle w:val="Header"/>
              <w:tabs>
                <w:tab w:val="clear" w:pos="4153"/>
                <w:tab w:val="clear" w:pos="8306"/>
              </w:tabs>
              <w:contextualSpacing/>
              <w:jc w:val="both"/>
              <w:rPr>
                <w:rFonts w:ascii="Calibri" w:hAnsi="Calibri" w:cs="Calibri"/>
                <w:b/>
                <w:color w:val="FF0000"/>
                <w:szCs w:val="22"/>
              </w:rPr>
            </w:pPr>
          </w:p>
          <w:p w14:paraId="3E8B6593" w14:textId="77777777" w:rsidR="00763EA2" w:rsidRPr="002C2299" w:rsidRDefault="00763EA2" w:rsidP="00763EA2">
            <w:pPr>
              <w:overflowPunct/>
              <w:jc w:val="both"/>
              <w:textAlignment w:val="auto"/>
              <w:rPr>
                <w:rFonts w:ascii="Calibri" w:eastAsia="Calibri" w:hAnsi="Calibri" w:cs="Calibri"/>
                <w:szCs w:val="22"/>
                <w:lang w:eastAsia="en-GB"/>
              </w:rPr>
            </w:pPr>
            <w:r w:rsidRPr="002C2299">
              <w:rPr>
                <w:rFonts w:ascii="Calibri" w:eastAsia="Calibri" w:hAnsi="Calibri" w:cs="Calibri"/>
                <w:szCs w:val="22"/>
                <w:lang w:eastAsia="en-GB"/>
              </w:rPr>
              <w:t xml:space="preserve">The proposal is located </w:t>
            </w:r>
            <w:r>
              <w:rPr>
                <w:rFonts w:ascii="Calibri" w:eastAsia="Calibri" w:hAnsi="Calibri" w:cs="Calibri"/>
                <w:szCs w:val="22"/>
                <w:lang w:eastAsia="en-GB"/>
              </w:rPr>
              <w:t>outside of any defined settlement limits</w:t>
            </w:r>
            <w:r w:rsidRPr="002C2299">
              <w:rPr>
                <w:rFonts w:ascii="Calibri" w:eastAsia="Calibri" w:hAnsi="Calibri" w:cs="Calibri"/>
                <w:szCs w:val="22"/>
                <w:lang w:eastAsia="en-GB"/>
              </w:rPr>
              <w:t>, in this respect, when assessing the locational aspects of development, Policy DMG2(2) remains engaged which states that:</w:t>
            </w:r>
          </w:p>
          <w:p w14:paraId="04C48F66" w14:textId="77777777" w:rsidR="00763EA2" w:rsidRPr="002C2299" w:rsidRDefault="00763EA2" w:rsidP="00763EA2">
            <w:pPr>
              <w:overflowPunct/>
              <w:jc w:val="both"/>
              <w:textAlignment w:val="auto"/>
              <w:rPr>
                <w:rFonts w:ascii="Calibri" w:eastAsia="Calibri" w:hAnsi="Calibri" w:cs="Calibri"/>
                <w:szCs w:val="22"/>
                <w:lang w:eastAsia="en-GB"/>
              </w:rPr>
            </w:pPr>
          </w:p>
          <w:p w14:paraId="03BDEB1D" w14:textId="77777777" w:rsidR="00763EA2" w:rsidRPr="002C2299" w:rsidRDefault="00763EA2" w:rsidP="00763EA2">
            <w:pPr>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Within the tier 2 villages and outside the defined settlement areas development must meet at least one of the</w:t>
            </w:r>
            <w:r>
              <w:rPr>
                <w:rFonts w:ascii="Calibri" w:eastAsia="Calibri" w:hAnsi="Calibri" w:cs="Calibri"/>
                <w:i/>
                <w:iCs/>
                <w:szCs w:val="22"/>
                <w:lang w:eastAsia="en-GB"/>
              </w:rPr>
              <w:t xml:space="preserve"> </w:t>
            </w:r>
            <w:r w:rsidRPr="002C2299">
              <w:rPr>
                <w:rFonts w:ascii="Calibri" w:eastAsia="Calibri" w:hAnsi="Calibri" w:cs="Calibri"/>
                <w:i/>
                <w:iCs/>
                <w:szCs w:val="22"/>
                <w:lang w:eastAsia="en-GB"/>
              </w:rPr>
              <w:t>following considerations:</w:t>
            </w:r>
          </w:p>
          <w:p w14:paraId="27F16DB6" w14:textId="77777777" w:rsidR="00763EA2" w:rsidRPr="002C2299" w:rsidRDefault="00763EA2" w:rsidP="00763EA2">
            <w:pPr>
              <w:overflowPunct/>
              <w:jc w:val="both"/>
              <w:textAlignment w:val="auto"/>
              <w:rPr>
                <w:rFonts w:ascii="Calibri" w:eastAsia="Calibri" w:hAnsi="Calibri" w:cs="Calibri"/>
                <w:i/>
                <w:iCs/>
                <w:szCs w:val="22"/>
                <w:lang w:eastAsia="en-GB"/>
              </w:rPr>
            </w:pPr>
          </w:p>
          <w:p w14:paraId="740A9F1A" w14:textId="77777777" w:rsidR="00763EA2" w:rsidRPr="002C2299" w:rsidRDefault="00763EA2" w:rsidP="00763EA2">
            <w:pPr>
              <w:numPr>
                <w:ilvl w:val="0"/>
                <w:numId w:val="2"/>
              </w:numPr>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The development should be essential to the local economy or social wellbeing of the area.</w:t>
            </w:r>
          </w:p>
          <w:p w14:paraId="5686AD4B" w14:textId="77777777" w:rsidR="00763EA2" w:rsidRPr="002C2299" w:rsidRDefault="00763EA2" w:rsidP="00763EA2">
            <w:pPr>
              <w:numPr>
                <w:ilvl w:val="0"/>
                <w:numId w:val="2"/>
              </w:numPr>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The development is needed for the purposes of forestry or agriculture.</w:t>
            </w:r>
          </w:p>
          <w:p w14:paraId="07B2F209" w14:textId="77777777" w:rsidR="00763EA2" w:rsidRPr="002C2299" w:rsidRDefault="00763EA2" w:rsidP="00763EA2">
            <w:pPr>
              <w:numPr>
                <w:ilvl w:val="0"/>
                <w:numId w:val="2"/>
              </w:numPr>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The development is for local needs housing which meets an identified need and is secured as such.</w:t>
            </w:r>
          </w:p>
          <w:p w14:paraId="76FC0A4C" w14:textId="77777777" w:rsidR="00763EA2" w:rsidRPr="002C2299" w:rsidRDefault="00763EA2" w:rsidP="00763EA2">
            <w:pPr>
              <w:numPr>
                <w:ilvl w:val="0"/>
                <w:numId w:val="2"/>
              </w:numPr>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The development is for small scale tourism or recreational developments appropriate to a rural area.</w:t>
            </w:r>
          </w:p>
          <w:p w14:paraId="3E240D4E" w14:textId="77777777" w:rsidR="00763EA2" w:rsidRPr="002C2299" w:rsidRDefault="00763EA2" w:rsidP="00763EA2">
            <w:pPr>
              <w:numPr>
                <w:ilvl w:val="0"/>
                <w:numId w:val="2"/>
              </w:numPr>
              <w:overflowPunct/>
              <w:jc w:val="both"/>
              <w:textAlignment w:val="auto"/>
              <w:rPr>
                <w:rFonts w:ascii="Calibri" w:eastAsia="Calibri" w:hAnsi="Calibri" w:cs="Calibri"/>
                <w:i/>
                <w:iCs/>
                <w:szCs w:val="22"/>
                <w:lang w:eastAsia="en-GB"/>
              </w:rPr>
            </w:pPr>
            <w:r w:rsidRPr="002C2299">
              <w:rPr>
                <w:rFonts w:ascii="Calibri" w:eastAsia="Calibri" w:hAnsi="Calibri" w:cs="Calibri"/>
                <w:i/>
                <w:iCs/>
                <w:szCs w:val="22"/>
                <w:lang w:eastAsia="en-GB"/>
              </w:rPr>
              <w:t>The development is for small‐scale uses appropriate to a rural area where a local need or benefit can be demonstrated.</w:t>
            </w:r>
          </w:p>
          <w:p w14:paraId="081F4161" w14:textId="77777777" w:rsidR="00763EA2" w:rsidRPr="002C2299" w:rsidRDefault="00763EA2" w:rsidP="00763EA2">
            <w:pPr>
              <w:overflowPunct/>
              <w:ind w:left="720"/>
              <w:jc w:val="both"/>
              <w:textAlignment w:val="auto"/>
              <w:rPr>
                <w:rFonts w:ascii="Calibri" w:eastAsia="Calibri" w:hAnsi="Calibri" w:cs="Calibri"/>
                <w:i/>
                <w:iCs/>
                <w:color w:val="FF0000"/>
                <w:szCs w:val="22"/>
                <w:lang w:eastAsia="en-GB"/>
              </w:rPr>
            </w:pPr>
          </w:p>
          <w:p w14:paraId="321BEA20" w14:textId="77777777" w:rsidR="00763EA2" w:rsidRPr="002C2299" w:rsidRDefault="00763EA2" w:rsidP="00763EA2">
            <w:pPr>
              <w:overflowPunct/>
              <w:jc w:val="both"/>
              <w:textAlignment w:val="auto"/>
              <w:rPr>
                <w:rFonts w:ascii="Calibri" w:eastAsia="Calibri" w:hAnsi="Calibri" w:cs="Calibri"/>
                <w:szCs w:val="22"/>
                <w:lang w:eastAsia="en-GB"/>
              </w:rPr>
            </w:pPr>
            <w:r w:rsidRPr="002C2299">
              <w:rPr>
                <w:rFonts w:ascii="Calibri" w:eastAsia="Calibri" w:hAnsi="Calibri" w:cs="Calibri"/>
                <w:szCs w:val="22"/>
                <w:lang w:eastAsia="en-GB"/>
              </w:rPr>
              <w:t>It is clear from the submitted details that the proposal could not be argued as being ‘essential to the local</w:t>
            </w:r>
            <w:r>
              <w:rPr>
                <w:rFonts w:ascii="Calibri" w:eastAsia="Calibri" w:hAnsi="Calibri" w:cs="Calibri"/>
                <w:szCs w:val="22"/>
                <w:lang w:eastAsia="en-GB"/>
              </w:rPr>
              <w:t xml:space="preserve"> </w:t>
            </w:r>
            <w:r w:rsidRPr="002C2299">
              <w:rPr>
                <w:rFonts w:ascii="Calibri" w:eastAsia="Calibri" w:hAnsi="Calibri" w:cs="Calibri"/>
                <w:szCs w:val="22"/>
                <w:lang w:eastAsia="en-GB"/>
              </w:rPr>
              <w:t>economy or social wellbeing of the area’ nor could it be considered that the proposal ‘is needed for the</w:t>
            </w:r>
            <w:r>
              <w:rPr>
                <w:rFonts w:ascii="Calibri" w:eastAsia="Calibri" w:hAnsi="Calibri" w:cs="Calibri"/>
                <w:szCs w:val="22"/>
                <w:lang w:eastAsia="en-GB"/>
              </w:rPr>
              <w:t xml:space="preserve"> </w:t>
            </w:r>
            <w:r w:rsidRPr="002C2299">
              <w:rPr>
                <w:rFonts w:ascii="Calibri" w:eastAsia="Calibri" w:hAnsi="Calibri" w:cs="Calibri"/>
                <w:szCs w:val="22"/>
                <w:lang w:eastAsia="en-GB"/>
              </w:rPr>
              <w:t>purposes of forestry or agriculture’.</w:t>
            </w:r>
          </w:p>
          <w:p w14:paraId="73F196D4" w14:textId="77777777" w:rsidR="00763EA2" w:rsidRPr="002C2299" w:rsidRDefault="00763EA2" w:rsidP="00763EA2">
            <w:pPr>
              <w:overflowPunct/>
              <w:jc w:val="both"/>
              <w:textAlignment w:val="auto"/>
              <w:rPr>
                <w:rFonts w:ascii="Calibri" w:eastAsia="Calibri" w:hAnsi="Calibri" w:cs="Calibri"/>
                <w:color w:val="FF0000"/>
                <w:szCs w:val="22"/>
                <w:lang w:eastAsia="en-GB"/>
              </w:rPr>
            </w:pPr>
          </w:p>
          <w:p w14:paraId="16342E9E" w14:textId="77777777" w:rsidR="00763EA2" w:rsidRPr="002C2299" w:rsidRDefault="00763EA2" w:rsidP="00763EA2">
            <w:pPr>
              <w:overflowPunct/>
              <w:autoSpaceDE/>
              <w:autoSpaceDN/>
              <w:adjustRightInd/>
              <w:jc w:val="both"/>
              <w:textAlignment w:val="auto"/>
              <w:rPr>
                <w:rFonts w:ascii="Calibri" w:hAnsi="Calibri" w:cs="Calibri"/>
                <w:szCs w:val="22"/>
              </w:rPr>
            </w:pPr>
            <w:r w:rsidRPr="002C2299">
              <w:rPr>
                <w:rFonts w:ascii="Calibri" w:hAnsi="Calibri" w:cs="Calibri"/>
                <w:szCs w:val="22"/>
              </w:rPr>
              <w:t xml:space="preserve">In respect of the matter of ‘local need’, no evidence has been provided to suggest that the proposal would align with the definition of ‘local needs housing’ as defined within the Adopted Core Strategy which states that </w:t>
            </w:r>
            <w:r w:rsidRPr="002C2299">
              <w:rPr>
                <w:rFonts w:ascii="Calibri" w:hAnsi="Calibri" w:cs="Calibri"/>
                <w:i/>
                <w:szCs w:val="22"/>
              </w:rPr>
              <w:t>‘Local needs housing is the housing developed to meet the needs of existing and concealed households living within the parish and surrounding parishes which is evidenced by the Housing Needs Survey for the parish, the Housing Waiting List and the Strategic Housing Market Assessment’</w:t>
            </w:r>
            <w:r w:rsidRPr="002C2299">
              <w:rPr>
                <w:rFonts w:ascii="Calibri" w:hAnsi="Calibri" w:cs="Calibri"/>
                <w:szCs w:val="22"/>
              </w:rPr>
              <w:t xml:space="preserve">.  </w:t>
            </w:r>
          </w:p>
          <w:p w14:paraId="6AED1094" w14:textId="77777777" w:rsidR="00763EA2" w:rsidRPr="002C2299" w:rsidRDefault="00763EA2" w:rsidP="00763EA2">
            <w:pPr>
              <w:overflowPunct/>
              <w:jc w:val="both"/>
              <w:textAlignment w:val="auto"/>
              <w:rPr>
                <w:rFonts w:ascii="Calibri" w:eastAsia="Calibri" w:hAnsi="Calibri" w:cs="Calibri"/>
                <w:color w:val="FF0000"/>
                <w:szCs w:val="22"/>
                <w:lang w:eastAsia="en-GB"/>
              </w:rPr>
            </w:pPr>
          </w:p>
          <w:p w14:paraId="23A1EBEA" w14:textId="70353651" w:rsidR="00763EA2" w:rsidRDefault="00763EA2" w:rsidP="00763EA2">
            <w:pPr>
              <w:overflowPunct/>
              <w:jc w:val="both"/>
              <w:textAlignment w:val="auto"/>
              <w:rPr>
                <w:rFonts w:ascii="Calibri" w:eastAsia="Calibri" w:hAnsi="Calibri" w:cs="Calibri"/>
                <w:szCs w:val="22"/>
                <w:lang w:eastAsia="en-GB"/>
              </w:rPr>
            </w:pPr>
            <w:r w:rsidRPr="002C2299">
              <w:rPr>
                <w:rFonts w:ascii="Calibri" w:eastAsia="Calibri" w:hAnsi="Calibri" w:cs="Calibri"/>
                <w:szCs w:val="22"/>
                <w:lang w:eastAsia="en-GB"/>
              </w:rPr>
              <w:t xml:space="preserve">In light of the above </w:t>
            </w:r>
            <w:r w:rsidR="00D821A8" w:rsidRPr="002C2299">
              <w:rPr>
                <w:rFonts w:ascii="Calibri" w:eastAsia="Calibri" w:hAnsi="Calibri" w:cs="Calibri"/>
                <w:szCs w:val="22"/>
                <w:lang w:eastAsia="en-GB"/>
              </w:rPr>
              <w:t>matters,</w:t>
            </w:r>
            <w:r w:rsidRPr="002C2299">
              <w:rPr>
                <w:rFonts w:ascii="Calibri" w:eastAsia="Calibri" w:hAnsi="Calibri" w:cs="Calibri"/>
                <w:szCs w:val="22"/>
                <w:lang w:eastAsia="en-GB"/>
              </w:rPr>
              <w:t xml:space="preserve"> it cannot be considered that the proposal meets any of the exception criterion</w:t>
            </w:r>
            <w:r>
              <w:rPr>
                <w:rFonts w:ascii="Calibri" w:eastAsia="Calibri" w:hAnsi="Calibri" w:cs="Calibri"/>
                <w:szCs w:val="22"/>
                <w:lang w:eastAsia="en-GB"/>
              </w:rPr>
              <w:t xml:space="preserve"> </w:t>
            </w:r>
            <w:r w:rsidRPr="002C2299">
              <w:rPr>
                <w:rFonts w:ascii="Calibri" w:eastAsia="Calibri" w:hAnsi="Calibri" w:cs="Calibri"/>
                <w:szCs w:val="22"/>
                <w:lang w:eastAsia="en-GB"/>
              </w:rPr>
              <w:t xml:space="preserve">contained within Policy DMG2 in relation to </w:t>
            </w:r>
            <w:r>
              <w:rPr>
                <w:rFonts w:ascii="Calibri" w:eastAsia="Calibri" w:hAnsi="Calibri" w:cs="Calibri"/>
                <w:szCs w:val="22"/>
                <w:lang w:eastAsia="en-GB"/>
              </w:rPr>
              <w:t xml:space="preserve">the creation of </w:t>
            </w:r>
            <w:r w:rsidRPr="002C2299">
              <w:rPr>
                <w:rFonts w:ascii="Calibri" w:eastAsia="Calibri" w:hAnsi="Calibri" w:cs="Calibri"/>
                <w:szCs w:val="22"/>
                <w:lang w:eastAsia="en-GB"/>
              </w:rPr>
              <w:t xml:space="preserve">new dwellings </w:t>
            </w:r>
            <w:r>
              <w:rPr>
                <w:rFonts w:ascii="Calibri" w:eastAsia="Calibri" w:hAnsi="Calibri" w:cs="Calibri"/>
                <w:szCs w:val="22"/>
                <w:lang w:eastAsia="en-GB"/>
              </w:rPr>
              <w:t>outside of defined settlement limits.</w:t>
            </w:r>
          </w:p>
          <w:p w14:paraId="15E42416" w14:textId="77777777" w:rsidR="00763EA2" w:rsidRDefault="00763EA2" w:rsidP="00763EA2">
            <w:pPr>
              <w:pStyle w:val="Header"/>
              <w:tabs>
                <w:tab w:val="clear" w:pos="4153"/>
                <w:tab w:val="clear" w:pos="8306"/>
              </w:tabs>
              <w:contextualSpacing/>
              <w:jc w:val="both"/>
              <w:rPr>
                <w:rFonts w:ascii="Calibri" w:hAnsi="Calibri" w:cs="Calibri"/>
                <w:b/>
                <w:szCs w:val="22"/>
              </w:rPr>
            </w:pPr>
          </w:p>
          <w:p w14:paraId="6C491CAF" w14:textId="77777777" w:rsidR="00763EA2" w:rsidRPr="0081781D" w:rsidRDefault="00763EA2" w:rsidP="00763EA2">
            <w:pPr>
              <w:pStyle w:val="Header"/>
              <w:contextualSpacing/>
              <w:jc w:val="both"/>
              <w:rPr>
                <w:rFonts w:ascii="Calibri" w:hAnsi="Calibri" w:cs="Calibri"/>
                <w:bCs/>
                <w:szCs w:val="22"/>
              </w:rPr>
            </w:pPr>
            <w:r w:rsidRPr="0081781D">
              <w:rPr>
                <w:rFonts w:ascii="Calibri" w:hAnsi="Calibri" w:cs="Calibri"/>
                <w:bCs/>
                <w:szCs w:val="22"/>
              </w:rPr>
              <w:t>Policy DMH3 is also applicable given the sites location outside of any defined settlement limits with the policy providing further context stating that:</w:t>
            </w:r>
          </w:p>
          <w:p w14:paraId="4BDE445C" w14:textId="77777777" w:rsidR="00763EA2" w:rsidRPr="0081781D" w:rsidRDefault="00763EA2" w:rsidP="00763EA2">
            <w:pPr>
              <w:pStyle w:val="Header"/>
              <w:contextualSpacing/>
              <w:jc w:val="both"/>
              <w:rPr>
                <w:rFonts w:ascii="Calibri" w:hAnsi="Calibri" w:cs="Calibri"/>
                <w:b/>
                <w:szCs w:val="22"/>
              </w:rPr>
            </w:pPr>
          </w:p>
          <w:p w14:paraId="28F14EB9" w14:textId="77777777" w:rsidR="00763EA2" w:rsidRPr="0081781D" w:rsidRDefault="00763EA2" w:rsidP="00763EA2">
            <w:pPr>
              <w:pStyle w:val="Header"/>
              <w:contextualSpacing/>
              <w:jc w:val="both"/>
              <w:rPr>
                <w:rFonts w:ascii="Calibri" w:hAnsi="Calibri" w:cs="Calibri"/>
                <w:bCs/>
                <w:szCs w:val="22"/>
              </w:rPr>
            </w:pPr>
            <w:r w:rsidRPr="0081781D">
              <w:rPr>
                <w:rFonts w:ascii="Calibri" w:hAnsi="Calibri" w:cs="Calibri"/>
                <w:bCs/>
                <w:szCs w:val="22"/>
              </w:rPr>
              <w:t>Within areas defined as open countryside or AONB on the proposals map, residential development will be</w:t>
            </w:r>
            <w:r>
              <w:rPr>
                <w:rFonts w:ascii="Calibri" w:hAnsi="Calibri" w:cs="Calibri"/>
                <w:bCs/>
                <w:szCs w:val="22"/>
              </w:rPr>
              <w:t xml:space="preserve"> </w:t>
            </w:r>
            <w:r w:rsidRPr="0081781D">
              <w:rPr>
                <w:rFonts w:ascii="Calibri" w:hAnsi="Calibri" w:cs="Calibri"/>
                <w:bCs/>
                <w:szCs w:val="22"/>
              </w:rPr>
              <w:t>limited to:</w:t>
            </w:r>
          </w:p>
          <w:p w14:paraId="4C65C5C1" w14:textId="77777777" w:rsidR="00763EA2" w:rsidRPr="0081781D" w:rsidRDefault="00763EA2" w:rsidP="00763EA2">
            <w:pPr>
              <w:pStyle w:val="Header"/>
              <w:contextualSpacing/>
              <w:jc w:val="both"/>
              <w:rPr>
                <w:rFonts w:ascii="Calibri" w:hAnsi="Calibri" w:cs="Calibri"/>
                <w:b/>
                <w:szCs w:val="22"/>
              </w:rPr>
            </w:pPr>
          </w:p>
          <w:p w14:paraId="77605FF1" w14:textId="77777777" w:rsidR="00763EA2" w:rsidRPr="0081781D" w:rsidRDefault="00763EA2" w:rsidP="00763EA2">
            <w:pPr>
              <w:pStyle w:val="Header"/>
              <w:numPr>
                <w:ilvl w:val="0"/>
                <w:numId w:val="3"/>
              </w:numPr>
              <w:tabs>
                <w:tab w:val="clear" w:pos="4153"/>
                <w:tab w:val="center" w:pos="709"/>
              </w:tabs>
              <w:contextualSpacing/>
              <w:jc w:val="both"/>
              <w:rPr>
                <w:rFonts w:ascii="Calibri" w:hAnsi="Calibri" w:cs="Calibri"/>
                <w:bCs/>
                <w:i/>
                <w:iCs/>
                <w:szCs w:val="22"/>
              </w:rPr>
            </w:pPr>
            <w:r w:rsidRPr="0081781D">
              <w:rPr>
                <w:rFonts w:ascii="Calibri" w:hAnsi="Calibri" w:cs="Calibri"/>
                <w:bCs/>
                <w:i/>
                <w:iCs/>
                <w:szCs w:val="22"/>
              </w:rPr>
              <w:lastRenderedPageBreak/>
              <w:t>Development essential for the purposes of agriculture or residential development which meets an identified local need. In assessing any proposal for an agricultural, forestry or other essential workers dwellings a functional and financial test will be applied.</w:t>
            </w:r>
          </w:p>
          <w:p w14:paraId="474D90CB" w14:textId="77777777" w:rsidR="00763EA2" w:rsidRPr="0081781D" w:rsidRDefault="00763EA2" w:rsidP="00763EA2">
            <w:pPr>
              <w:pStyle w:val="Header"/>
              <w:numPr>
                <w:ilvl w:val="0"/>
                <w:numId w:val="3"/>
              </w:numPr>
              <w:tabs>
                <w:tab w:val="clear" w:pos="4153"/>
                <w:tab w:val="center" w:pos="709"/>
              </w:tabs>
              <w:contextualSpacing/>
              <w:jc w:val="both"/>
              <w:rPr>
                <w:rFonts w:ascii="Calibri" w:hAnsi="Calibri" w:cs="Calibri"/>
                <w:bCs/>
                <w:i/>
                <w:iCs/>
                <w:szCs w:val="22"/>
              </w:rPr>
            </w:pPr>
            <w:r w:rsidRPr="0081781D">
              <w:rPr>
                <w:rFonts w:ascii="Calibri" w:hAnsi="Calibri" w:cs="Calibri"/>
                <w:bCs/>
                <w:i/>
                <w:iCs/>
                <w:szCs w:val="22"/>
              </w:rPr>
              <w:t>The appropriate conversion of buildings to dwellings providing they are suitably located and their form and general design are in keeping with their surroundings. buildings must be structurally sound and capable of conversion without the need for complete or substantial reconstruction.</w:t>
            </w:r>
          </w:p>
          <w:p w14:paraId="05B8997C" w14:textId="77777777" w:rsidR="00763EA2" w:rsidRPr="0081781D" w:rsidRDefault="00763EA2" w:rsidP="00763EA2">
            <w:pPr>
              <w:pStyle w:val="Header"/>
              <w:numPr>
                <w:ilvl w:val="0"/>
                <w:numId w:val="3"/>
              </w:numPr>
              <w:tabs>
                <w:tab w:val="clear" w:pos="4153"/>
                <w:tab w:val="center" w:pos="709"/>
              </w:tabs>
              <w:contextualSpacing/>
              <w:jc w:val="both"/>
              <w:rPr>
                <w:rFonts w:ascii="Calibri" w:hAnsi="Calibri" w:cs="Calibri"/>
                <w:bCs/>
                <w:i/>
                <w:iCs/>
                <w:szCs w:val="22"/>
              </w:rPr>
            </w:pPr>
            <w:r w:rsidRPr="0081781D">
              <w:rPr>
                <w:rFonts w:ascii="Calibri" w:hAnsi="Calibri" w:cs="Calibri"/>
                <w:bCs/>
                <w:i/>
                <w:iCs/>
                <w:szCs w:val="22"/>
              </w:rPr>
              <w:tab/>
              <w:t>The creation of a permanent dwelling by the removal of any condition that restricts the occupation of dwellings to tourism/visitor use or for holiday use will be refused on the basis of sustainability.</w:t>
            </w:r>
          </w:p>
          <w:p w14:paraId="15E4E671" w14:textId="77777777" w:rsidR="00763EA2" w:rsidRPr="0081781D" w:rsidRDefault="00763EA2" w:rsidP="00763EA2">
            <w:pPr>
              <w:pStyle w:val="Header"/>
              <w:contextualSpacing/>
              <w:jc w:val="both"/>
              <w:rPr>
                <w:rFonts w:ascii="Calibri" w:hAnsi="Calibri" w:cs="Calibri"/>
                <w:b/>
                <w:szCs w:val="22"/>
              </w:rPr>
            </w:pPr>
          </w:p>
          <w:p w14:paraId="09693FF7" w14:textId="77777777" w:rsidR="00763EA2" w:rsidRDefault="00763EA2" w:rsidP="00763EA2">
            <w:pPr>
              <w:pStyle w:val="Header"/>
              <w:contextualSpacing/>
              <w:jc w:val="both"/>
              <w:rPr>
                <w:rFonts w:ascii="Calibri" w:hAnsi="Calibri" w:cs="Calibri"/>
                <w:bCs/>
                <w:szCs w:val="22"/>
              </w:rPr>
            </w:pPr>
            <w:r w:rsidRPr="0081781D">
              <w:rPr>
                <w:rFonts w:ascii="Calibri" w:hAnsi="Calibri" w:cs="Calibri"/>
                <w:bCs/>
                <w:szCs w:val="22"/>
              </w:rPr>
              <w:t>In light of the above it cannot be considered that the proposal meets any of the exception criterion</w:t>
            </w:r>
            <w:r>
              <w:rPr>
                <w:rFonts w:ascii="Calibri" w:hAnsi="Calibri" w:cs="Calibri"/>
                <w:bCs/>
                <w:szCs w:val="22"/>
              </w:rPr>
              <w:t xml:space="preserve"> </w:t>
            </w:r>
            <w:r w:rsidRPr="0081781D">
              <w:rPr>
                <w:rFonts w:ascii="Calibri" w:hAnsi="Calibri" w:cs="Calibri"/>
                <w:bCs/>
                <w:szCs w:val="22"/>
              </w:rPr>
              <w:t xml:space="preserve">contained within </w:t>
            </w:r>
            <w:r>
              <w:rPr>
                <w:rFonts w:ascii="Calibri" w:hAnsi="Calibri" w:cs="Calibri"/>
                <w:bCs/>
                <w:szCs w:val="22"/>
              </w:rPr>
              <w:t xml:space="preserve">either </w:t>
            </w:r>
            <w:r w:rsidRPr="0081781D">
              <w:rPr>
                <w:rFonts w:ascii="Calibri" w:hAnsi="Calibri" w:cs="Calibri"/>
                <w:bCs/>
                <w:szCs w:val="22"/>
              </w:rPr>
              <w:t xml:space="preserve">Policies DMG2 nor DMH3 </w:t>
            </w:r>
            <w:r>
              <w:rPr>
                <w:rFonts w:ascii="Calibri" w:hAnsi="Calibri" w:cs="Calibri"/>
                <w:bCs/>
                <w:szCs w:val="22"/>
              </w:rPr>
              <w:t xml:space="preserve">of the Ribble Valley Core Strategy </w:t>
            </w:r>
            <w:r w:rsidRPr="0081781D">
              <w:rPr>
                <w:rFonts w:ascii="Calibri" w:hAnsi="Calibri" w:cs="Calibri"/>
                <w:bCs/>
                <w:szCs w:val="22"/>
              </w:rPr>
              <w:t xml:space="preserve">in relation to the creation of new dwellings </w:t>
            </w:r>
            <w:r>
              <w:rPr>
                <w:rFonts w:ascii="Calibri" w:hAnsi="Calibri" w:cs="Calibri"/>
                <w:bCs/>
                <w:szCs w:val="22"/>
              </w:rPr>
              <w:t>outside o</w:t>
            </w:r>
            <w:r w:rsidRPr="0081781D">
              <w:rPr>
                <w:rFonts w:ascii="Calibri" w:hAnsi="Calibri" w:cs="Calibri"/>
                <w:bCs/>
                <w:szCs w:val="22"/>
              </w:rPr>
              <w:t>f defined settlement limits.</w:t>
            </w:r>
          </w:p>
          <w:p w14:paraId="25C7A213" w14:textId="77777777" w:rsidR="00763EA2" w:rsidRDefault="00763EA2" w:rsidP="00763EA2">
            <w:pPr>
              <w:pStyle w:val="Header"/>
              <w:contextualSpacing/>
              <w:jc w:val="both"/>
              <w:rPr>
                <w:rFonts w:ascii="Calibri" w:hAnsi="Calibri"/>
                <w:bCs/>
                <w:szCs w:val="22"/>
              </w:rPr>
            </w:pPr>
          </w:p>
          <w:p w14:paraId="76A18758" w14:textId="77777777" w:rsidR="00763EA2" w:rsidRPr="00763EA2" w:rsidRDefault="00763EA2" w:rsidP="00763EA2">
            <w:pPr>
              <w:pStyle w:val="Header"/>
              <w:contextualSpacing/>
              <w:jc w:val="both"/>
              <w:rPr>
                <w:rFonts w:ascii="Calibri" w:hAnsi="Calibri" w:cs="Calibri"/>
                <w:bCs/>
                <w:szCs w:val="22"/>
              </w:rPr>
            </w:pPr>
            <w:r w:rsidRPr="00763EA2">
              <w:rPr>
                <w:rFonts w:ascii="Calibri" w:hAnsi="Calibri"/>
                <w:bCs/>
                <w:szCs w:val="22"/>
              </w:rPr>
              <w:t>As such, taking account of the above, proposal is considered to be in direct conflict with Key Statement DS1 and Policies DMG2 and DMH3 of the Adopted Ribble Valley Core Strategy insofar that approval would lead to the creation of new residential dwellings, located outside of a defined settlement boundary, without sufficient justification - insofar that it has not been adequately demonstrated that the proposal is for that of local needs housing that meets a current identified and evidenced outstanding need or that the proposal would meet any of the exception criterion inherently contained within either of the policies.</w:t>
            </w:r>
          </w:p>
          <w:p w14:paraId="07A958AF" w14:textId="1C77BDF8" w:rsidR="00763EA2" w:rsidRDefault="00763EA2" w:rsidP="004A3122">
            <w:pPr>
              <w:pStyle w:val="Header"/>
              <w:tabs>
                <w:tab w:val="clear" w:pos="4153"/>
                <w:tab w:val="clear" w:pos="8306"/>
              </w:tabs>
              <w:contextualSpacing/>
              <w:jc w:val="both"/>
              <w:rPr>
                <w:rFonts w:ascii="Calibri" w:hAnsi="Calibri"/>
                <w:b/>
                <w:szCs w:val="22"/>
              </w:rPr>
            </w:pPr>
          </w:p>
        </w:tc>
      </w:tr>
      <w:tr w:rsidR="00C0704D" w:rsidRPr="00D2449B" w14:paraId="6754C065"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lastRenderedPageBreak/>
              <w:t>Visual Amenity/External Appearance:</w:t>
            </w:r>
          </w:p>
          <w:p w14:paraId="5BB38287" w14:textId="77777777" w:rsidR="00C0704D" w:rsidRDefault="00C0704D" w:rsidP="00EA09F9">
            <w:pPr>
              <w:pStyle w:val="Header"/>
              <w:tabs>
                <w:tab w:val="clear" w:pos="4153"/>
                <w:tab w:val="clear" w:pos="8306"/>
              </w:tabs>
              <w:contextualSpacing/>
              <w:jc w:val="both"/>
              <w:rPr>
                <w:rFonts w:ascii="Calibri" w:hAnsi="Calibri"/>
                <w:b/>
                <w:szCs w:val="22"/>
              </w:rPr>
            </w:pPr>
          </w:p>
          <w:p w14:paraId="18068384" w14:textId="40379BFF" w:rsidR="00C0704D" w:rsidRPr="004A3122" w:rsidRDefault="004A3122" w:rsidP="004A3122">
            <w:pPr>
              <w:contextualSpacing/>
              <w:jc w:val="both"/>
              <w:rPr>
                <w:rFonts w:ascii="Calibri" w:hAnsi="Calibri"/>
                <w:bCs/>
                <w:szCs w:val="22"/>
              </w:rPr>
            </w:pPr>
            <w:r w:rsidRPr="004A3122">
              <w:rPr>
                <w:rFonts w:ascii="Calibri" w:hAnsi="Calibri"/>
                <w:bCs/>
                <w:szCs w:val="22"/>
              </w:rPr>
              <w:t>Given the proposal does not seek consent for any alterations or additional built form it is not considered that the proposal will result in any detrimental impact upon the character or visual amenities of the immediate area or the character or visual amenities of the wider designated open countryside.</w:t>
            </w:r>
          </w:p>
          <w:p w14:paraId="10A3648A" w14:textId="093381C8" w:rsidR="004A3122" w:rsidRDefault="004A3122" w:rsidP="005E1C6C">
            <w:pPr>
              <w:contextualSpacing/>
              <w:rPr>
                <w:rFonts w:ascii="Calibri" w:hAnsi="Calibri"/>
                <w:b/>
                <w:szCs w:val="22"/>
              </w:rPr>
            </w:pPr>
          </w:p>
        </w:tc>
      </w:tr>
      <w:tr w:rsidR="00C0704D" w:rsidRPr="00D2449B" w14:paraId="6D877C31"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Landscape/Ecology:</w:t>
            </w:r>
          </w:p>
          <w:p w14:paraId="146AE09E" w14:textId="3839B1EF" w:rsidR="00C0704D" w:rsidRDefault="00C0704D" w:rsidP="00EA09F9">
            <w:pPr>
              <w:pStyle w:val="Header"/>
              <w:tabs>
                <w:tab w:val="clear" w:pos="4153"/>
                <w:tab w:val="clear" w:pos="8306"/>
              </w:tabs>
              <w:contextualSpacing/>
              <w:jc w:val="both"/>
              <w:rPr>
                <w:rFonts w:ascii="Calibri" w:hAnsi="Calibri"/>
                <w:b/>
                <w:szCs w:val="22"/>
              </w:rPr>
            </w:pPr>
          </w:p>
          <w:p w14:paraId="186BF3D8" w14:textId="3965E9A8" w:rsidR="004A3122" w:rsidRPr="004A3122" w:rsidRDefault="004A3122" w:rsidP="00EA09F9">
            <w:pPr>
              <w:pStyle w:val="Header"/>
              <w:tabs>
                <w:tab w:val="clear" w:pos="4153"/>
                <w:tab w:val="clear" w:pos="8306"/>
              </w:tabs>
              <w:contextualSpacing/>
              <w:jc w:val="both"/>
              <w:rPr>
                <w:rFonts w:ascii="Calibri" w:hAnsi="Calibri"/>
                <w:bCs/>
                <w:szCs w:val="22"/>
              </w:rPr>
            </w:pPr>
            <w:r w:rsidRPr="004A3122">
              <w:rPr>
                <w:rFonts w:ascii="Calibri" w:hAnsi="Calibri"/>
                <w:bCs/>
                <w:szCs w:val="22"/>
              </w:rPr>
              <w:t>No implications resultant form the proposal.</w:t>
            </w:r>
          </w:p>
          <w:p w14:paraId="6337C4D8" w14:textId="77777777" w:rsidR="00C0704D" w:rsidRDefault="00C0704D" w:rsidP="00E46243">
            <w:pPr>
              <w:contextualSpacing/>
              <w:rPr>
                <w:rFonts w:ascii="Calibri" w:hAnsi="Calibri"/>
                <w:b/>
                <w:szCs w:val="22"/>
              </w:rPr>
            </w:pPr>
          </w:p>
        </w:tc>
      </w:tr>
      <w:tr w:rsidR="00C0704D" w:rsidRPr="00D2449B" w14:paraId="7B96C947"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B448F5" w14:textId="77777777" w:rsidR="00C0704D" w:rsidRDefault="00C0704D" w:rsidP="00EA09F9">
            <w:pPr>
              <w:pStyle w:val="Header"/>
              <w:tabs>
                <w:tab w:val="clear" w:pos="4153"/>
                <w:tab w:val="clear" w:pos="8306"/>
              </w:tabs>
              <w:contextualSpacing/>
              <w:jc w:val="both"/>
              <w:rPr>
                <w:rFonts w:ascii="Calibri" w:hAnsi="Calibri"/>
                <w:b/>
                <w:szCs w:val="22"/>
              </w:rPr>
            </w:pPr>
            <w:r>
              <w:rPr>
                <w:rFonts w:ascii="Calibri" w:hAnsi="Calibri"/>
                <w:b/>
                <w:szCs w:val="22"/>
              </w:rPr>
              <w:t>Other Matters:</w:t>
            </w:r>
          </w:p>
          <w:p w14:paraId="7C5F9ADE" w14:textId="77777777" w:rsidR="00C0704D" w:rsidRDefault="00C0704D" w:rsidP="00EA09F9">
            <w:pPr>
              <w:pStyle w:val="Header"/>
              <w:tabs>
                <w:tab w:val="clear" w:pos="4153"/>
                <w:tab w:val="clear" w:pos="8306"/>
              </w:tabs>
              <w:contextualSpacing/>
              <w:jc w:val="both"/>
              <w:rPr>
                <w:rFonts w:ascii="Calibri" w:hAnsi="Calibri"/>
                <w:b/>
                <w:szCs w:val="22"/>
              </w:rPr>
            </w:pPr>
          </w:p>
          <w:p w14:paraId="3991DEC4" w14:textId="52E4C363" w:rsidR="00C0704D" w:rsidRPr="00A73C48" w:rsidRDefault="004A3122" w:rsidP="00A73C48">
            <w:pPr>
              <w:contextualSpacing/>
              <w:jc w:val="both"/>
              <w:rPr>
                <w:rFonts w:ascii="Calibri" w:hAnsi="Calibri"/>
                <w:bCs/>
                <w:szCs w:val="22"/>
              </w:rPr>
            </w:pPr>
            <w:r w:rsidRPr="00A73C48">
              <w:rPr>
                <w:rFonts w:ascii="Calibri" w:hAnsi="Calibri"/>
                <w:bCs/>
                <w:szCs w:val="22"/>
              </w:rPr>
              <w:t>The appellant, within the supporting information, has made reference to a recent Inspectors decision</w:t>
            </w:r>
            <w:r w:rsidR="00281C28" w:rsidRPr="00A73C48">
              <w:rPr>
                <w:rFonts w:ascii="Calibri" w:hAnsi="Calibri"/>
                <w:bCs/>
                <w:szCs w:val="22"/>
              </w:rPr>
              <w:t xml:space="preserve"> </w:t>
            </w:r>
            <w:r w:rsidR="00A73C48" w:rsidRPr="00A73C48">
              <w:rPr>
                <w:rFonts w:ascii="Calibri" w:hAnsi="Calibri"/>
                <w:bCs/>
                <w:szCs w:val="22"/>
              </w:rPr>
              <w:t xml:space="preserve">(APP/T2350/W/21/3285462) </w:t>
            </w:r>
            <w:r w:rsidR="00A73C48">
              <w:rPr>
                <w:rFonts w:ascii="Calibri" w:hAnsi="Calibri"/>
                <w:bCs/>
                <w:szCs w:val="22"/>
              </w:rPr>
              <w:t>(</w:t>
            </w:r>
            <w:r w:rsidR="00A52507">
              <w:rPr>
                <w:rFonts w:ascii="Calibri" w:hAnsi="Calibri"/>
                <w:bCs/>
                <w:szCs w:val="22"/>
              </w:rPr>
              <w:t>‘</w:t>
            </w:r>
            <w:r w:rsidR="00A73C48">
              <w:rPr>
                <w:rFonts w:ascii="Calibri" w:hAnsi="Calibri"/>
                <w:bCs/>
                <w:szCs w:val="22"/>
              </w:rPr>
              <w:t>Tippings Meadow Decision</w:t>
            </w:r>
            <w:r w:rsidR="00A52507">
              <w:rPr>
                <w:rFonts w:ascii="Calibri" w:hAnsi="Calibri"/>
                <w:bCs/>
                <w:szCs w:val="22"/>
              </w:rPr>
              <w:t>’</w:t>
            </w:r>
            <w:r w:rsidR="00A73C48">
              <w:rPr>
                <w:rFonts w:ascii="Calibri" w:hAnsi="Calibri"/>
                <w:bCs/>
                <w:szCs w:val="22"/>
              </w:rPr>
              <w:t xml:space="preserve">) </w:t>
            </w:r>
            <w:r w:rsidR="00281C28" w:rsidRPr="00A73C48">
              <w:rPr>
                <w:rFonts w:ascii="Calibri" w:hAnsi="Calibri"/>
                <w:bCs/>
                <w:szCs w:val="22"/>
              </w:rPr>
              <w:t xml:space="preserve">whereby an appeal was allowed </w:t>
            </w:r>
            <w:r w:rsidR="00A73C48" w:rsidRPr="00A73C48">
              <w:rPr>
                <w:rFonts w:ascii="Calibri" w:hAnsi="Calibri"/>
                <w:bCs/>
                <w:szCs w:val="22"/>
              </w:rPr>
              <w:t>for the change of use from that of an annexe to that of a separate dwelling.</w:t>
            </w:r>
          </w:p>
          <w:p w14:paraId="1CBB9742" w14:textId="63A680D6" w:rsidR="00A73C48" w:rsidRPr="00A73C48" w:rsidRDefault="00A73C48" w:rsidP="00A73C48">
            <w:pPr>
              <w:contextualSpacing/>
              <w:jc w:val="both"/>
              <w:rPr>
                <w:rFonts w:ascii="Calibri" w:hAnsi="Calibri"/>
                <w:bCs/>
                <w:szCs w:val="22"/>
              </w:rPr>
            </w:pPr>
          </w:p>
          <w:p w14:paraId="30F01375" w14:textId="508B46E7" w:rsidR="00A73C48" w:rsidRPr="00A73C48" w:rsidRDefault="00A73C48" w:rsidP="00A73C48">
            <w:pPr>
              <w:contextualSpacing/>
              <w:jc w:val="both"/>
              <w:rPr>
                <w:rFonts w:ascii="Calibri" w:hAnsi="Calibri"/>
                <w:bCs/>
                <w:szCs w:val="22"/>
              </w:rPr>
            </w:pPr>
            <w:r w:rsidRPr="00A73C48">
              <w:rPr>
                <w:rFonts w:ascii="Calibri" w:hAnsi="Calibri"/>
                <w:bCs/>
                <w:szCs w:val="22"/>
              </w:rPr>
              <w:t xml:space="preserve">In determining the appeal the authority considers that the Inspector has erred in their engagement of Policy DMG2, particularly in relation the weight afforded to the policy.  </w:t>
            </w:r>
          </w:p>
          <w:p w14:paraId="4D6F5B13" w14:textId="77777777" w:rsidR="00A73C48" w:rsidRPr="00A73C48" w:rsidRDefault="00A73C48" w:rsidP="00A73C48">
            <w:pPr>
              <w:contextualSpacing/>
              <w:jc w:val="both"/>
              <w:rPr>
                <w:rFonts w:ascii="Calibri" w:hAnsi="Calibri"/>
                <w:bCs/>
                <w:szCs w:val="22"/>
              </w:rPr>
            </w:pPr>
          </w:p>
          <w:p w14:paraId="41F29591" w14:textId="59A3AD70" w:rsidR="00763EA2" w:rsidRPr="00A73C48" w:rsidRDefault="00A73C48" w:rsidP="00A73C48">
            <w:pPr>
              <w:contextualSpacing/>
              <w:jc w:val="both"/>
              <w:rPr>
                <w:rFonts w:ascii="Calibri" w:hAnsi="Calibri"/>
                <w:bCs/>
                <w:szCs w:val="22"/>
              </w:rPr>
            </w:pPr>
            <w:r w:rsidRPr="00A73C48">
              <w:rPr>
                <w:rFonts w:ascii="Calibri" w:hAnsi="Calibri"/>
                <w:bCs/>
                <w:szCs w:val="22"/>
              </w:rPr>
              <w:t xml:space="preserve">Whilst the Inspector, when determining the appeal, recognised that </w:t>
            </w:r>
            <w:r w:rsidRPr="00A73C48">
              <w:rPr>
                <w:rFonts w:ascii="Calibri" w:hAnsi="Calibri"/>
                <w:bCs/>
                <w:i/>
                <w:iCs/>
                <w:szCs w:val="22"/>
              </w:rPr>
              <w:t xml:space="preserve">‘the proposal would fail to comply with Core Strategy Policy DMG2 which outlines the development strategy for the </w:t>
            </w:r>
            <w:r w:rsidRPr="00A73C48">
              <w:rPr>
                <w:rFonts w:ascii="Calibri" w:hAnsi="Calibri"/>
                <w:bCs/>
                <w:szCs w:val="22"/>
              </w:rPr>
              <w:t xml:space="preserve">borough’ they further stated that </w:t>
            </w:r>
            <w:r w:rsidRPr="00A73C48">
              <w:rPr>
                <w:rFonts w:ascii="Calibri" w:hAnsi="Calibri"/>
                <w:bCs/>
                <w:i/>
                <w:iCs/>
                <w:szCs w:val="22"/>
              </w:rPr>
              <w:t xml:space="preserve">‘I therefore find on the basis of the evidence before me in this case, that the conflict with the development plan, which post-dates the current Framework, is outweighed by other material considerations’.  </w:t>
            </w:r>
            <w:r w:rsidRPr="00A73C48">
              <w:rPr>
                <w:rFonts w:ascii="Calibri" w:hAnsi="Calibri"/>
                <w:bCs/>
                <w:szCs w:val="22"/>
              </w:rPr>
              <w:t>However, in reaching their conclusion the Inspector failed to identify the ‘other material considerations’ that outweighed policies inherent to the adopted development plan.</w:t>
            </w:r>
          </w:p>
          <w:p w14:paraId="012C36D9" w14:textId="1840D124" w:rsidR="00A73C48" w:rsidRDefault="00A73C48" w:rsidP="00A73C48">
            <w:pPr>
              <w:contextualSpacing/>
              <w:jc w:val="both"/>
              <w:rPr>
                <w:rFonts w:ascii="Calibri" w:hAnsi="Calibri"/>
                <w:bCs/>
                <w:color w:val="548DD4" w:themeColor="text2" w:themeTint="99"/>
                <w:szCs w:val="22"/>
              </w:rPr>
            </w:pPr>
          </w:p>
          <w:p w14:paraId="09A40F4D" w14:textId="2A7E7847" w:rsidR="00A73C48" w:rsidRPr="00A73C48" w:rsidRDefault="00A73C48" w:rsidP="00A73C48">
            <w:pPr>
              <w:contextualSpacing/>
              <w:jc w:val="both"/>
              <w:rPr>
                <w:rFonts w:ascii="Calibri" w:hAnsi="Calibri"/>
                <w:bCs/>
                <w:szCs w:val="22"/>
              </w:rPr>
            </w:pPr>
            <w:r w:rsidRPr="00A73C48">
              <w:rPr>
                <w:rFonts w:ascii="Calibri" w:hAnsi="Calibri"/>
                <w:bCs/>
                <w:szCs w:val="22"/>
              </w:rPr>
              <w:t xml:space="preserve">Notwithstanding this matter, it is important to also note that in relation to the </w:t>
            </w:r>
            <w:r>
              <w:rPr>
                <w:rFonts w:ascii="Calibri" w:hAnsi="Calibri"/>
                <w:bCs/>
                <w:szCs w:val="22"/>
              </w:rPr>
              <w:t xml:space="preserve">‘Tippings </w:t>
            </w:r>
            <w:r w:rsidR="00A52507">
              <w:rPr>
                <w:rFonts w:ascii="Calibri" w:hAnsi="Calibri"/>
                <w:bCs/>
                <w:szCs w:val="22"/>
              </w:rPr>
              <w:t>M</w:t>
            </w:r>
            <w:r>
              <w:rPr>
                <w:rFonts w:ascii="Calibri" w:hAnsi="Calibri"/>
                <w:bCs/>
                <w:szCs w:val="22"/>
              </w:rPr>
              <w:t>eadow Decision’</w:t>
            </w:r>
            <w:r w:rsidRPr="00A73C48">
              <w:rPr>
                <w:rFonts w:ascii="Calibri" w:hAnsi="Calibri"/>
                <w:bCs/>
                <w:szCs w:val="22"/>
              </w:rPr>
              <w:t xml:space="preserve">, the Inspector also found that </w:t>
            </w:r>
            <w:r w:rsidRPr="00A73C48">
              <w:rPr>
                <w:rFonts w:ascii="Calibri" w:hAnsi="Calibri"/>
                <w:bCs/>
                <w:i/>
                <w:iCs/>
                <w:szCs w:val="22"/>
              </w:rPr>
              <w:t xml:space="preserve">‘the site is not isolated and is in a sustainable location on the edge of Wilpshire, a Tier 1 settlement, where local services can be accessed. In terms of the overall </w:t>
            </w:r>
            <w:r w:rsidRPr="00A73C48">
              <w:rPr>
                <w:rFonts w:ascii="Calibri" w:hAnsi="Calibri"/>
                <w:bCs/>
                <w:i/>
                <w:iCs/>
                <w:szCs w:val="22"/>
              </w:rPr>
              <w:lastRenderedPageBreak/>
              <w:t>objective of the Framework, achieving sustainable development, the proposal would, in my view, accord’.</w:t>
            </w:r>
          </w:p>
          <w:p w14:paraId="5B0320FC" w14:textId="22154435" w:rsidR="00A73C48" w:rsidRDefault="00A73C48" w:rsidP="00A73C48">
            <w:pPr>
              <w:contextualSpacing/>
              <w:jc w:val="both"/>
              <w:rPr>
                <w:rFonts w:ascii="Calibri" w:hAnsi="Calibri"/>
                <w:bCs/>
                <w:color w:val="548DD4" w:themeColor="text2" w:themeTint="99"/>
                <w:szCs w:val="22"/>
              </w:rPr>
            </w:pPr>
          </w:p>
          <w:p w14:paraId="24E664DF" w14:textId="40089065" w:rsidR="00A73C48" w:rsidRPr="00A52507" w:rsidRDefault="00A52507" w:rsidP="00A73C48">
            <w:pPr>
              <w:contextualSpacing/>
              <w:jc w:val="both"/>
              <w:rPr>
                <w:rFonts w:ascii="Calibri" w:hAnsi="Calibri"/>
                <w:bCs/>
                <w:szCs w:val="22"/>
              </w:rPr>
            </w:pPr>
            <w:r w:rsidRPr="00A52507">
              <w:rPr>
                <w:rFonts w:ascii="Calibri" w:hAnsi="Calibri"/>
                <w:bCs/>
                <w:szCs w:val="22"/>
              </w:rPr>
              <w:t>Taking account of the above, i</w:t>
            </w:r>
            <w:r w:rsidR="00A73C48" w:rsidRPr="00A52507">
              <w:rPr>
                <w:rFonts w:ascii="Calibri" w:hAnsi="Calibri"/>
                <w:bCs/>
                <w:szCs w:val="22"/>
              </w:rPr>
              <w:t xml:space="preserve">t is clear therefore that the </w:t>
            </w:r>
            <w:r w:rsidRPr="00A52507">
              <w:rPr>
                <w:rFonts w:ascii="Calibri" w:hAnsi="Calibri"/>
                <w:bCs/>
                <w:szCs w:val="22"/>
              </w:rPr>
              <w:t xml:space="preserve">‘Tippings Meadow’ </w:t>
            </w:r>
            <w:r w:rsidR="00A73C48" w:rsidRPr="00A52507">
              <w:rPr>
                <w:rFonts w:ascii="Calibri" w:hAnsi="Calibri"/>
                <w:bCs/>
                <w:szCs w:val="22"/>
              </w:rPr>
              <w:t xml:space="preserve">appeal </w:t>
            </w:r>
            <w:r w:rsidRPr="00A52507">
              <w:rPr>
                <w:rFonts w:ascii="Calibri" w:hAnsi="Calibri"/>
                <w:bCs/>
                <w:szCs w:val="22"/>
              </w:rPr>
              <w:t xml:space="preserve">related </w:t>
            </w:r>
            <w:r w:rsidR="00A73C48" w:rsidRPr="00A52507">
              <w:rPr>
                <w:rFonts w:ascii="Calibri" w:hAnsi="Calibri"/>
                <w:bCs/>
                <w:szCs w:val="22"/>
              </w:rPr>
              <w:t xml:space="preserve">to a site </w:t>
            </w:r>
            <w:r w:rsidRPr="00A52507">
              <w:rPr>
                <w:rFonts w:ascii="Calibri" w:hAnsi="Calibri"/>
                <w:bCs/>
                <w:szCs w:val="22"/>
              </w:rPr>
              <w:t>that benefits from being directly adjacent to a Tier 1 settlement, also being within walking distance of nearby services and facilities.  Neither of which applies to the current application.  As such it is not considered that the ‘Tippings Meadow’ decision is relevant in relation to the determination of the current application, nor would the decision warrant a deviation in the continued engagement and application of currently adopted development plan policies, namely Policies DMG2 and DMH3.</w:t>
            </w:r>
          </w:p>
          <w:p w14:paraId="250904A4" w14:textId="77777777" w:rsidR="00763EA2" w:rsidRDefault="00763EA2" w:rsidP="00E46243">
            <w:pPr>
              <w:contextualSpacing/>
              <w:rPr>
                <w:rFonts w:ascii="Calibri" w:hAnsi="Calibri"/>
                <w:bCs/>
                <w:color w:val="548DD4" w:themeColor="text2" w:themeTint="99"/>
                <w:szCs w:val="22"/>
              </w:rPr>
            </w:pPr>
          </w:p>
          <w:p w14:paraId="17ABDF9B" w14:textId="5594B022" w:rsidR="00763EA2" w:rsidRPr="007B1FCD" w:rsidRDefault="00763EA2" w:rsidP="007B1FCD">
            <w:pPr>
              <w:contextualSpacing/>
              <w:jc w:val="both"/>
              <w:rPr>
                <w:rFonts w:ascii="Calibri" w:hAnsi="Calibri"/>
                <w:bCs/>
                <w:szCs w:val="22"/>
              </w:rPr>
            </w:pPr>
            <w:r w:rsidRPr="007B1FCD">
              <w:rPr>
                <w:rFonts w:ascii="Calibri" w:hAnsi="Calibri"/>
                <w:bCs/>
                <w:szCs w:val="22"/>
              </w:rPr>
              <w:t xml:space="preserve">Further to the above, the building to which the application relates is located in an area that is </w:t>
            </w:r>
            <w:r w:rsidR="00281C28">
              <w:rPr>
                <w:rFonts w:ascii="Calibri" w:hAnsi="Calibri"/>
                <w:bCs/>
                <w:szCs w:val="22"/>
              </w:rPr>
              <w:t xml:space="preserve">considered to be </w:t>
            </w:r>
            <w:r w:rsidRPr="007B1FCD">
              <w:rPr>
                <w:rFonts w:ascii="Calibri" w:hAnsi="Calibri"/>
                <w:bCs/>
                <w:szCs w:val="22"/>
              </w:rPr>
              <w:t>significantly remote from a wide range of services or facilities.</w:t>
            </w:r>
            <w:r w:rsidR="00D821A8">
              <w:rPr>
                <w:rFonts w:ascii="Calibri" w:hAnsi="Calibri"/>
                <w:bCs/>
                <w:szCs w:val="22"/>
              </w:rPr>
              <w:t xml:space="preserve">  </w:t>
            </w:r>
            <w:r w:rsidRPr="007B1FCD">
              <w:rPr>
                <w:rFonts w:ascii="Calibri" w:hAnsi="Calibri"/>
                <w:bCs/>
                <w:szCs w:val="22"/>
              </w:rPr>
              <w:t>Taking this into account</w:t>
            </w:r>
            <w:r w:rsidR="00A72981" w:rsidRPr="007B1FCD">
              <w:rPr>
                <w:rFonts w:ascii="Calibri" w:hAnsi="Calibri"/>
                <w:bCs/>
                <w:szCs w:val="22"/>
              </w:rPr>
              <w:t xml:space="preserve">, </w:t>
            </w:r>
            <w:r w:rsidRPr="007B1FCD">
              <w:rPr>
                <w:rFonts w:ascii="Calibri" w:hAnsi="Calibri"/>
                <w:bCs/>
                <w:szCs w:val="22"/>
              </w:rPr>
              <w:t xml:space="preserve">it is further considered that approval </w:t>
            </w:r>
            <w:r w:rsidR="00A72981" w:rsidRPr="007B1FCD">
              <w:rPr>
                <w:rFonts w:ascii="Calibri" w:hAnsi="Calibri"/>
                <w:bCs/>
                <w:szCs w:val="22"/>
              </w:rPr>
              <w:t xml:space="preserve">would result in the creation of a new residential dwelling in </w:t>
            </w:r>
            <w:r w:rsidR="007B1FCD" w:rsidRPr="007B1FCD">
              <w:rPr>
                <w:rFonts w:ascii="Calibri" w:hAnsi="Calibri"/>
                <w:bCs/>
                <w:szCs w:val="22"/>
              </w:rPr>
              <w:t>a</w:t>
            </w:r>
            <w:r w:rsidR="00A72981" w:rsidRPr="007B1FCD">
              <w:rPr>
                <w:rFonts w:ascii="Calibri" w:hAnsi="Calibri"/>
                <w:bCs/>
                <w:szCs w:val="22"/>
              </w:rPr>
              <w:t xml:space="preserve"> location </w:t>
            </w:r>
            <w:r w:rsidR="007B1FCD" w:rsidRPr="007B1FCD">
              <w:rPr>
                <w:rFonts w:ascii="Calibri" w:hAnsi="Calibri"/>
                <w:bCs/>
                <w:szCs w:val="22"/>
              </w:rPr>
              <w:t xml:space="preserve">that </w:t>
            </w:r>
            <w:r w:rsidR="00A72981" w:rsidRPr="007B1FCD">
              <w:rPr>
                <w:rFonts w:ascii="Calibri" w:hAnsi="Calibri"/>
                <w:bCs/>
                <w:szCs w:val="22"/>
              </w:rPr>
              <w:t xml:space="preserve">would lead to </w:t>
            </w:r>
            <w:r w:rsidR="007B1FCD">
              <w:rPr>
                <w:rFonts w:ascii="Calibri" w:hAnsi="Calibri"/>
                <w:bCs/>
                <w:szCs w:val="22"/>
              </w:rPr>
              <w:t xml:space="preserve">and perpetuate  </w:t>
            </w:r>
            <w:r w:rsidR="00A72981" w:rsidRPr="007B1FCD">
              <w:rPr>
                <w:rFonts w:ascii="Calibri" w:hAnsi="Calibri"/>
                <w:bCs/>
                <w:szCs w:val="22"/>
              </w:rPr>
              <w:t xml:space="preserve">an </w:t>
            </w:r>
            <w:r w:rsidR="007B1FCD">
              <w:rPr>
                <w:rFonts w:ascii="Calibri" w:hAnsi="Calibri"/>
                <w:bCs/>
                <w:szCs w:val="22"/>
              </w:rPr>
              <w:t xml:space="preserve">already </w:t>
            </w:r>
            <w:r w:rsidR="00A72981" w:rsidRPr="007B1FCD">
              <w:rPr>
                <w:rFonts w:ascii="Calibri" w:hAnsi="Calibri"/>
                <w:bCs/>
                <w:szCs w:val="22"/>
              </w:rPr>
              <w:t>unsustainable pattern of development, without sufficient or adequate justification, insofar that occupants of the residential dwelling would fail to benefit from adequate walkable access to local services or facilities - placing further reliance on the private motor-vehicle contrary to the aims and objectives of Key Statement DMI2 and Policy DMG3 of the adopted Core Strategy and the National Planning Policy Framework presumption in favour of sustainable development.</w:t>
            </w:r>
          </w:p>
          <w:p w14:paraId="7AC53BDF" w14:textId="38FB31A2" w:rsidR="00763EA2" w:rsidRPr="007E0D23" w:rsidRDefault="00763EA2" w:rsidP="00763EA2">
            <w:pPr>
              <w:contextualSpacing/>
              <w:rPr>
                <w:rFonts w:ascii="Calibri" w:hAnsi="Calibri"/>
                <w:bCs/>
                <w:color w:val="548DD4" w:themeColor="text2" w:themeTint="99"/>
                <w:szCs w:val="22"/>
              </w:rPr>
            </w:pPr>
          </w:p>
        </w:tc>
      </w:tr>
      <w:tr w:rsidR="00C0704D" w:rsidRPr="00D2449B" w14:paraId="0A9D02B4" w14:textId="77777777" w:rsidTr="004A3122">
        <w:trPr>
          <w:jc w:val="center"/>
        </w:trPr>
        <w:tc>
          <w:tcPr>
            <w:tcW w:w="9339" w:type="dxa"/>
            <w:gridSpan w:val="1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lastRenderedPageBreak/>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5A1F5F94" w14:textId="77777777" w:rsidR="0046548C" w:rsidRPr="009F4443" w:rsidRDefault="009F4443" w:rsidP="00DD62F6">
            <w:pPr>
              <w:pStyle w:val="Header"/>
              <w:tabs>
                <w:tab w:val="clear" w:pos="4153"/>
                <w:tab w:val="clear" w:pos="8306"/>
              </w:tabs>
              <w:contextualSpacing/>
              <w:jc w:val="both"/>
              <w:rPr>
                <w:rFonts w:ascii="Calibri" w:hAnsi="Calibri"/>
                <w:bCs/>
                <w:szCs w:val="22"/>
              </w:rPr>
            </w:pPr>
            <w:r w:rsidRPr="009F4443">
              <w:rPr>
                <w:rFonts w:ascii="Calibri" w:hAnsi="Calibri"/>
                <w:bCs/>
                <w:szCs w:val="22"/>
              </w:rPr>
              <w:t>As such, for the above reasons and having regard to all material considerations and matters raised that the application is recommended for refusal.</w:t>
            </w:r>
          </w:p>
          <w:p w14:paraId="3A4BD7A7" w14:textId="073A1409" w:rsidR="009F4443" w:rsidRDefault="009F4443" w:rsidP="00DD62F6">
            <w:pPr>
              <w:pStyle w:val="Header"/>
              <w:tabs>
                <w:tab w:val="clear" w:pos="4153"/>
                <w:tab w:val="clear" w:pos="8306"/>
              </w:tabs>
              <w:contextualSpacing/>
              <w:jc w:val="both"/>
              <w:rPr>
                <w:rFonts w:ascii="Calibri" w:hAnsi="Calibri"/>
                <w:b/>
                <w:szCs w:val="22"/>
              </w:rPr>
            </w:pPr>
          </w:p>
        </w:tc>
      </w:tr>
      <w:tr w:rsidR="00C0704D" w:rsidRPr="00D2449B" w14:paraId="507FC89B" w14:textId="77777777" w:rsidTr="004A3122">
        <w:trPr>
          <w:jc w:val="center"/>
        </w:trPr>
        <w:tc>
          <w:tcPr>
            <w:tcW w:w="2199"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C0704D" w:rsidRPr="00D2449B" w:rsidRDefault="00C0704D" w:rsidP="00CD2CEF">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140"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7185067B" w:rsidR="00C0704D" w:rsidRPr="00D2449B" w:rsidRDefault="009F4443" w:rsidP="00CD2CEF">
            <w:pPr>
              <w:rPr>
                <w:rFonts w:ascii="Calibri" w:hAnsi="Calibri"/>
                <w:bCs/>
                <w:szCs w:val="22"/>
              </w:rPr>
            </w:pPr>
            <w:r w:rsidRPr="009F4443">
              <w:rPr>
                <w:rFonts w:asciiTheme="minorHAnsi" w:hAnsiTheme="minorHAnsi"/>
                <w:bCs/>
                <w:szCs w:val="22"/>
              </w:rPr>
              <w:t>That planning consent be refused for the following reason(s)</w:t>
            </w:r>
            <w:r>
              <w:rPr>
                <w:rFonts w:asciiTheme="minorHAnsi" w:hAnsiTheme="minorHAnsi"/>
                <w:bCs/>
                <w:szCs w:val="22"/>
              </w:rPr>
              <w:t>.</w:t>
            </w:r>
          </w:p>
        </w:tc>
      </w:tr>
      <w:tr w:rsidR="009F4443" w:rsidRPr="00D2449B" w14:paraId="0E2CEC22" w14:textId="77777777" w:rsidTr="004A3122">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4F6C9A" w14:textId="77777777" w:rsidR="00281C28" w:rsidRDefault="00281C28" w:rsidP="009F4443">
            <w:pPr>
              <w:jc w:val="center"/>
              <w:rPr>
                <w:rFonts w:asciiTheme="minorHAnsi" w:hAnsiTheme="minorHAnsi"/>
                <w:b/>
                <w:szCs w:val="22"/>
              </w:rPr>
            </w:pPr>
          </w:p>
          <w:p w14:paraId="689E810A" w14:textId="52777EFC" w:rsidR="009F4443" w:rsidRPr="009F4443" w:rsidRDefault="009F4443" w:rsidP="009F4443">
            <w:pPr>
              <w:jc w:val="center"/>
              <w:rPr>
                <w:rFonts w:asciiTheme="minorHAnsi" w:hAnsiTheme="minorHAnsi"/>
                <w:b/>
                <w:szCs w:val="22"/>
              </w:rPr>
            </w:pPr>
            <w:r w:rsidRPr="009F4443">
              <w:rPr>
                <w:rFonts w:asciiTheme="minorHAnsi" w:hAnsiTheme="minorHAnsi"/>
                <w:b/>
                <w:szCs w:val="22"/>
              </w:rPr>
              <w:t>01:</w:t>
            </w:r>
          </w:p>
        </w:tc>
        <w:tc>
          <w:tcPr>
            <w:tcW w:w="849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3B8D28" w14:textId="77777777" w:rsidR="009F4443" w:rsidRDefault="009F4443" w:rsidP="00CD2CEF">
            <w:pPr>
              <w:rPr>
                <w:rFonts w:asciiTheme="minorHAnsi" w:hAnsiTheme="minorHAnsi"/>
                <w:bCs/>
                <w:szCs w:val="22"/>
              </w:rPr>
            </w:pPr>
          </w:p>
          <w:p w14:paraId="4448C1E9" w14:textId="7DAE8FD3" w:rsidR="00281C28" w:rsidRDefault="00393795" w:rsidP="00393795">
            <w:pPr>
              <w:jc w:val="both"/>
              <w:rPr>
                <w:rFonts w:asciiTheme="minorHAnsi" w:hAnsiTheme="minorHAnsi"/>
                <w:bCs/>
                <w:szCs w:val="22"/>
              </w:rPr>
            </w:pPr>
            <w:r w:rsidRPr="00393795">
              <w:rPr>
                <w:rFonts w:asciiTheme="minorHAnsi" w:hAnsiTheme="minorHAnsi"/>
                <w:bCs/>
                <w:szCs w:val="22"/>
              </w:rPr>
              <w:t xml:space="preserve">The proposal is considered to be in direct conflict with Policies DMG2 and DMH3 of the Adopted Ribble Valley Core Strategy insofar that approval would lead to the creation of </w:t>
            </w:r>
            <w:r>
              <w:rPr>
                <w:rFonts w:asciiTheme="minorHAnsi" w:hAnsiTheme="minorHAnsi"/>
                <w:bCs/>
                <w:szCs w:val="22"/>
              </w:rPr>
              <w:t xml:space="preserve">a </w:t>
            </w:r>
            <w:r w:rsidRPr="00393795">
              <w:rPr>
                <w:rFonts w:asciiTheme="minorHAnsi" w:hAnsiTheme="minorHAnsi"/>
                <w:bCs/>
                <w:szCs w:val="22"/>
              </w:rPr>
              <w:t>new residential dwelli</w:t>
            </w:r>
            <w:r>
              <w:rPr>
                <w:rFonts w:asciiTheme="minorHAnsi" w:hAnsiTheme="minorHAnsi"/>
                <w:bCs/>
                <w:szCs w:val="22"/>
              </w:rPr>
              <w:t>ng</w:t>
            </w:r>
            <w:r w:rsidRPr="00393795">
              <w:rPr>
                <w:rFonts w:asciiTheme="minorHAnsi" w:hAnsiTheme="minorHAnsi"/>
                <w:bCs/>
                <w:szCs w:val="22"/>
              </w:rPr>
              <w:t>, located outside of a defined settlement boundary, without sufficient justification - insofar that it has not been adequately demonstrated that the proposal is for that of local needs housing that meets a current identified and evidenced outstanding need or that the proposal would meet any of the exception criterion inherently contained within either of the policies.</w:t>
            </w:r>
          </w:p>
          <w:p w14:paraId="337E4514" w14:textId="02A30D7A" w:rsidR="00281C28" w:rsidRPr="009F4443" w:rsidRDefault="00281C28" w:rsidP="00CD2CEF">
            <w:pPr>
              <w:rPr>
                <w:rFonts w:asciiTheme="minorHAnsi" w:hAnsiTheme="minorHAnsi"/>
                <w:bCs/>
                <w:szCs w:val="22"/>
              </w:rPr>
            </w:pPr>
          </w:p>
        </w:tc>
      </w:tr>
      <w:tr w:rsidR="009F4443" w:rsidRPr="00D2449B" w14:paraId="15027259" w14:textId="77777777" w:rsidTr="004A3122">
        <w:trPr>
          <w:jc w:val="center"/>
        </w:trPr>
        <w:tc>
          <w:tcPr>
            <w:tcW w:w="84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D3CB09D" w14:textId="77777777" w:rsidR="007B1FCD" w:rsidRDefault="007B1FCD" w:rsidP="009F4443">
            <w:pPr>
              <w:jc w:val="center"/>
              <w:rPr>
                <w:rFonts w:asciiTheme="minorHAnsi" w:hAnsiTheme="minorHAnsi"/>
                <w:b/>
                <w:szCs w:val="22"/>
              </w:rPr>
            </w:pPr>
          </w:p>
          <w:p w14:paraId="78C19535" w14:textId="148569E8" w:rsidR="009F4443" w:rsidRPr="009F4443" w:rsidRDefault="009F4443" w:rsidP="009F4443">
            <w:pPr>
              <w:jc w:val="center"/>
              <w:rPr>
                <w:rFonts w:asciiTheme="minorHAnsi" w:hAnsiTheme="minorHAnsi"/>
                <w:b/>
                <w:szCs w:val="22"/>
              </w:rPr>
            </w:pPr>
            <w:r w:rsidRPr="009F4443">
              <w:rPr>
                <w:rFonts w:asciiTheme="minorHAnsi" w:hAnsiTheme="minorHAnsi"/>
                <w:b/>
                <w:szCs w:val="22"/>
              </w:rPr>
              <w:t>02:</w:t>
            </w:r>
          </w:p>
        </w:tc>
        <w:tc>
          <w:tcPr>
            <w:tcW w:w="8493" w:type="dxa"/>
            <w:gridSpan w:val="1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215AC73" w14:textId="77777777" w:rsidR="007B1FCD" w:rsidRDefault="007B1FCD" w:rsidP="007B1FCD">
            <w:pPr>
              <w:jc w:val="both"/>
              <w:rPr>
                <w:rFonts w:asciiTheme="minorHAnsi" w:hAnsiTheme="minorHAnsi"/>
                <w:bCs/>
                <w:szCs w:val="22"/>
              </w:rPr>
            </w:pPr>
          </w:p>
          <w:p w14:paraId="2CF10610" w14:textId="1465024B" w:rsidR="007B1FCD" w:rsidRDefault="007B1FCD" w:rsidP="007B1FCD">
            <w:pPr>
              <w:jc w:val="both"/>
              <w:rPr>
                <w:rFonts w:asciiTheme="minorHAnsi" w:hAnsiTheme="minorHAnsi"/>
                <w:bCs/>
                <w:szCs w:val="22"/>
              </w:rPr>
            </w:pPr>
            <w:r w:rsidRPr="002B7B92">
              <w:rPr>
                <w:rFonts w:asciiTheme="minorHAnsi" w:hAnsiTheme="minorHAnsi"/>
                <w:bCs/>
                <w:szCs w:val="22"/>
              </w:rPr>
              <w:t xml:space="preserve">The creation of a new residential dwelling in this location </w:t>
            </w:r>
            <w:r w:rsidRPr="00D944F1">
              <w:rPr>
                <w:rFonts w:asciiTheme="minorHAnsi" w:hAnsiTheme="minorHAnsi"/>
                <w:bCs/>
                <w:szCs w:val="22"/>
              </w:rPr>
              <w:t>would lead to an unsustainable pattern of development, without sufficient or adequate justification, insofar that occupants of the residential dwelling would fail to benefit from adequate walkable access to local services or facilities - placing further reliance on the private motor-vehicle contrary to the aims and objectives of Key Statement DMI2 and Policy DMG3 of the adopted Core Strategy and the National Planning Policy Framework presumption in favour of sustainable development.</w:t>
            </w:r>
          </w:p>
          <w:p w14:paraId="510702C7" w14:textId="13031822" w:rsidR="009F4443" w:rsidRPr="009F4443" w:rsidRDefault="009F4443" w:rsidP="00CD2CEF">
            <w:pPr>
              <w:rPr>
                <w:rFonts w:asciiTheme="minorHAnsi" w:hAnsiTheme="minorHAnsi"/>
                <w:bCs/>
                <w:szCs w:val="22"/>
              </w:rPr>
            </w:pPr>
          </w:p>
        </w:tc>
      </w:tr>
    </w:tbl>
    <w:p w14:paraId="513FB541" w14:textId="77777777" w:rsidR="0031197A" w:rsidRPr="00D2449B" w:rsidRDefault="00A37F17">
      <w:pPr>
        <w:rPr>
          <w:rFonts w:ascii="Calibri" w:hAnsi="Calibri"/>
          <w:szCs w:val="22"/>
        </w:rPr>
      </w:pPr>
    </w:p>
    <w:sectPr w:rsidR="0031197A"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797EFB"/>
    <w:multiLevelType w:val="hybridMultilevel"/>
    <w:tmpl w:val="588C48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3459BA"/>
    <w:multiLevelType w:val="hybridMultilevel"/>
    <w:tmpl w:val="FB1ADCF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2"/>
  </w:num>
  <w:num w:numId="2" w16cid:durableId="929897524">
    <w:abstractNumId w:val="0"/>
  </w:num>
  <w:num w:numId="3" w16cid:durableId="97112985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D4F7A"/>
    <w:rsid w:val="00250879"/>
    <w:rsid w:val="00281C28"/>
    <w:rsid w:val="0029334A"/>
    <w:rsid w:val="002A01CF"/>
    <w:rsid w:val="002A256A"/>
    <w:rsid w:val="002C6277"/>
    <w:rsid w:val="002F2580"/>
    <w:rsid w:val="00321B6E"/>
    <w:rsid w:val="00393795"/>
    <w:rsid w:val="00440CB6"/>
    <w:rsid w:val="0046548C"/>
    <w:rsid w:val="004947BB"/>
    <w:rsid w:val="004A1255"/>
    <w:rsid w:val="004A3122"/>
    <w:rsid w:val="004A5EA9"/>
    <w:rsid w:val="004C2434"/>
    <w:rsid w:val="004F0649"/>
    <w:rsid w:val="00510FA2"/>
    <w:rsid w:val="00556ECD"/>
    <w:rsid w:val="005E1C6C"/>
    <w:rsid w:val="005E65DF"/>
    <w:rsid w:val="00692B60"/>
    <w:rsid w:val="006A71AD"/>
    <w:rsid w:val="006C2BFA"/>
    <w:rsid w:val="006F6849"/>
    <w:rsid w:val="0070054B"/>
    <w:rsid w:val="00763EA2"/>
    <w:rsid w:val="00776AE2"/>
    <w:rsid w:val="007B1FCD"/>
    <w:rsid w:val="007C791C"/>
    <w:rsid w:val="007D7DF4"/>
    <w:rsid w:val="007E0D23"/>
    <w:rsid w:val="007E7E42"/>
    <w:rsid w:val="007F16D6"/>
    <w:rsid w:val="00811771"/>
    <w:rsid w:val="00837F4F"/>
    <w:rsid w:val="008542DE"/>
    <w:rsid w:val="008A28C8"/>
    <w:rsid w:val="009F4443"/>
    <w:rsid w:val="00A37F17"/>
    <w:rsid w:val="00A42E82"/>
    <w:rsid w:val="00A52507"/>
    <w:rsid w:val="00A579BB"/>
    <w:rsid w:val="00A63D55"/>
    <w:rsid w:val="00A72981"/>
    <w:rsid w:val="00A73C48"/>
    <w:rsid w:val="00A95D89"/>
    <w:rsid w:val="00AD2388"/>
    <w:rsid w:val="00B93EB5"/>
    <w:rsid w:val="00BD3F03"/>
    <w:rsid w:val="00BF40D4"/>
    <w:rsid w:val="00C0704D"/>
    <w:rsid w:val="00C25722"/>
    <w:rsid w:val="00C618DB"/>
    <w:rsid w:val="00D11007"/>
    <w:rsid w:val="00D17EB1"/>
    <w:rsid w:val="00D2449B"/>
    <w:rsid w:val="00D54E67"/>
    <w:rsid w:val="00D67B26"/>
    <w:rsid w:val="00D821A8"/>
    <w:rsid w:val="00DD62F6"/>
    <w:rsid w:val="00E46243"/>
    <w:rsid w:val="00E66534"/>
    <w:rsid w:val="00E72F6C"/>
    <w:rsid w:val="00EA09F9"/>
    <w:rsid w:val="00EC23C7"/>
    <w:rsid w:val="00ED00B7"/>
    <w:rsid w:val="00EF44E6"/>
    <w:rsid w:val="00FD6AE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2152</Words>
  <Characters>12270</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Lesley Lund</cp:lastModifiedBy>
  <cp:revision>2</cp:revision>
  <cp:lastPrinted>2022-11-03T12:10:00Z</cp:lastPrinted>
  <dcterms:created xsi:type="dcterms:W3CDTF">2022-11-03T12:12:00Z</dcterms:created>
  <dcterms:modified xsi:type="dcterms:W3CDTF">2022-11-03T12:12:00Z</dcterms:modified>
</cp:coreProperties>
</file>