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58"/>
        <w:gridCol w:w="1041"/>
        <w:gridCol w:w="36"/>
        <w:gridCol w:w="82"/>
        <w:gridCol w:w="576"/>
        <w:gridCol w:w="583"/>
        <w:gridCol w:w="1278"/>
        <w:gridCol w:w="1002"/>
        <w:gridCol w:w="157"/>
        <w:gridCol w:w="1159"/>
        <w:gridCol w:w="1159"/>
        <w:gridCol w:w="1298"/>
      </w:tblGrid>
      <w:tr w:rsidR="004A5EA9" w:rsidRPr="00D2449B" w14:paraId="230E00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B081C" w:rsidRPr="00D2449B" w14:paraId="7BDBA138" w14:textId="77777777" w:rsidTr="003E569A">
        <w:trPr>
          <w:jc w:val="center"/>
        </w:trPr>
        <w:tc>
          <w:tcPr>
            <w:tcW w:w="11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8EF9F0" w14:textId="328CFD35"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Signed:</w:t>
            </w:r>
          </w:p>
        </w:tc>
        <w:tc>
          <w:tcPr>
            <w:tcW w:w="11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733BE" w14:textId="65DAA7CD"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LH</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8EBC6" w14:textId="1064639A"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9C60D" w14:textId="6A0E6E70"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1</w:t>
            </w:r>
            <w:r w:rsidR="0033449A">
              <w:rPr>
                <w:rFonts w:asciiTheme="minorHAnsi" w:hAnsiTheme="minorHAnsi" w:cstheme="minorHAnsi"/>
              </w:rPr>
              <w:t>5</w:t>
            </w:r>
            <w:r w:rsidRPr="004B081C">
              <w:rPr>
                <w:rFonts w:asciiTheme="minorHAnsi" w:hAnsiTheme="minorHAnsi" w:cstheme="minorHAnsi"/>
              </w:rPr>
              <w:t>/12/2022</w:t>
            </w:r>
          </w:p>
        </w:tc>
        <w:tc>
          <w:tcPr>
            <w:tcW w:w="11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5FA044" w14:textId="230A1ED1"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Manager:</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40561" w14:textId="18865CF4" w:rsidR="004B081C" w:rsidRPr="004B081C" w:rsidRDefault="00194178" w:rsidP="004B081C">
            <w:pPr>
              <w:jc w:val="center"/>
              <w:rPr>
                <w:rFonts w:asciiTheme="minorHAnsi" w:hAnsiTheme="minorHAnsi" w:cstheme="minorHAnsi"/>
                <w:b/>
                <w:szCs w:val="22"/>
              </w:rPr>
            </w:pPr>
            <w:r>
              <w:rPr>
                <w:rFonts w:asciiTheme="minorHAnsi" w:hAnsiTheme="minorHAnsi" w:cstheme="minorHAnsi"/>
                <w:b/>
                <w:szCs w:val="22"/>
              </w:rPr>
              <w:t>NH</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F2850" w14:textId="564D05C6" w:rsidR="004B081C" w:rsidRPr="004B081C" w:rsidRDefault="004B081C" w:rsidP="004B081C">
            <w:pPr>
              <w:jc w:val="center"/>
              <w:rPr>
                <w:rFonts w:asciiTheme="minorHAnsi" w:hAnsiTheme="minorHAnsi" w:cstheme="minorHAnsi"/>
                <w:b/>
                <w:szCs w:val="22"/>
              </w:rPr>
            </w:pPr>
            <w:r w:rsidRPr="004B081C">
              <w:rPr>
                <w:rFonts w:asciiTheme="minorHAnsi" w:hAnsiTheme="minorHAnsi" w:cstheme="minorHAnsi"/>
              </w:rPr>
              <w:t>Date:</w:t>
            </w:r>
          </w:p>
        </w:tc>
        <w:tc>
          <w:tcPr>
            <w:tcW w:w="11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3B0280" w14:textId="4033191B" w:rsidR="004B081C" w:rsidRPr="004B081C" w:rsidRDefault="00194178" w:rsidP="004B081C">
            <w:pPr>
              <w:jc w:val="center"/>
              <w:rPr>
                <w:rFonts w:asciiTheme="minorHAnsi" w:hAnsiTheme="minorHAnsi" w:cstheme="minorHAnsi"/>
                <w:b/>
                <w:szCs w:val="22"/>
              </w:rPr>
            </w:pPr>
            <w:r>
              <w:rPr>
                <w:rFonts w:asciiTheme="minorHAnsi" w:hAnsiTheme="minorHAnsi" w:cstheme="minorHAnsi"/>
                <w:b/>
                <w:szCs w:val="22"/>
              </w:rPr>
              <w:t>16/12/2022</w:t>
            </w:r>
          </w:p>
        </w:tc>
      </w:tr>
      <w:tr w:rsidR="004A5EA9" w:rsidRPr="00D2449B" w14:paraId="2094A164" w14:textId="77777777" w:rsidTr="00EF44E6">
        <w:trPr>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B83DAC1" w:rsidR="004A5EA9" w:rsidRPr="003C2B2D" w:rsidRDefault="003C2B2D" w:rsidP="008542DE">
            <w:pPr>
              <w:rPr>
                <w:rFonts w:ascii="Calibri" w:hAnsi="Calibri"/>
                <w:szCs w:val="22"/>
              </w:rPr>
            </w:pPr>
            <w:r w:rsidRPr="003C2B2D">
              <w:rPr>
                <w:rFonts w:ascii="Calibri" w:hAnsi="Calibri"/>
                <w:szCs w:val="22"/>
              </w:rPr>
              <w:t>3/2022/0</w:t>
            </w:r>
            <w:r w:rsidR="00E432C1">
              <w:rPr>
                <w:rFonts w:ascii="Calibri" w:hAnsi="Calibri"/>
                <w:szCs w:val="22"/>
              </w:rPr>
              <w:t>835</w:t>
            </w:r>
          </w:p>
        </w:tc>
        <w:tc>
          <w:tcPr>
            <w:tcW w:w="363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391BC6" w:rsidR="004A5EA9" w:rsidRPr="00C0704D" w:rsidRDefault="00E432C1" w:rsidP="002C6277">
            <w:pPr>
              <w:rPr>
                <w:rFonts w:ascii="Calibri" w:hAnsi="Calibri"/>
                <w:szCs w:val="22"/>
              </w:rPr>
            </w:pPr>
            <w:r>
              <w:rPr>
                <w:rFonts w:ascii="Calibri" w:hAnsi="Calibri"/>
                <w:szCs w:val="22"/>
              </w:rPr>
              <w:t>4</w:t>
            </w:r>
            <w:r w:rsidR="003C2B2D" w:rsidRPr="0033449A">
              <w:rPr>
                <w:rFonts w:ascii="Calibri" w:hAnsi="Calibri"/>
                <w:szCs w:val="22"/>
              </w:rPr>
              <w:t>/</w:t>
            </w:r>
            <w:r>
              <w:rPr>
                <w:rFonts w:ascii="Calibri" w:hAnsi="Calibri"/>
                <w:szCs w:val="22"/>
              </w:rPr>
              <w:t>10</w:t>
            </w:r>
            <w:r w:rsidR="003C2B2D" w:rsidRPr="0033449A">
              <w:rPr>
                <w:rFonts w:ascii="Calibri" w:hAnsi="Calibri"/>
                <w:szCs w:val="22"/>
              </w:rPr>
              <w:t>/22</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3AD4F33" w:rsidR="004A5EA9" w:rsidRPr="00250879" w:rsidRDefault="002D038C" w:rsidP="00811771">
            <w:pPr>
              <w:rPr>
                <w:rFonts w:ascii="Calibri" w:hAnsi="Calibri"/>
                <w:color w:val="548DD4" w:themeColor="text2" w:themeTint="99"/>
                <w:szCs w:val="22"/>
              </w:rPr>
            </w:pPr>
            <w:r>
              <w:rPr>
                <w:rFonts w:ascii="Calibri" w:hAnsi="Calibri"/>
                <w:szCs w:val="22"/>
              </w:rPr>
              <w:t>LH</w:t>
            </w:r>
          </w:p>
        </w:tc>
        <w:tc>
          <w:tcPr>
            <w:tcW w:w="363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FCAA008" w:rsidR="004A5EA9" w:rsidRPr="002C6277" w:rsidRDefault="00E432C1" w:rsidP="008652AA">
            <w:pPr>
              <w:rPr>
                <w:rFonts w:ascii="Calibri" w:hAnsi="Calibri"/>
                <w:szCs w:val="22"/>
              </w:rPr>
            </w:pPr>
            <w:r>
              <w:rPr>
                <w:rFonts w:ascii="Calibri" w:hAnsi="Calibri"/>
                <w:szCs w:val="22"/>
              </w:rPr>
              <w:t>R</w:t>
            </w:r>
            <w:r w:rsidR="00350874" w:rsidRPr="00350874">
              <w:rPr>
                <w:rFonts w:ascii="Calibri" w:hAnsi="Calibri"/>
                <w:szCs w:val="22"/>
              </w:rPr>
              <w:t>eplace</w:t>
            </w:r>
            <w:r>
              <w:rPr>
                <w:rFonts w:ascii="Calibri" w:hAnsi="Calibri"/>
                <w:szCs w:val="22"/>
              </w:rPr>
              <w:t xml:space="preserve"> existing 4 windows (hardwood, single glazed) to the front elevations with hardwood double glazed windows</w:t>
            </w:r>
          </w:p>
        </w:tc>
      </w:tr>
      <w:tr w:rsidR="002A01CF" w:rsidRPr="00D2449B" w14:paraId="52988241"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A8CF1C" w:rsidR="002A01CF" w:rsidRPr="002C6277" w:rsidRDefault="00E432C1" w:rsidP="00350874">
            <w:pPr>
              <w:rPr>
                <w:rFonts w:ascii="Calibri" w:hAnsi="Calibri"/>
                <w:szCs w:val="22"/>
              </w:rPr>
            </w:pPr>
            <w:r>
              <w:rPr>
                <w:rFonts w:ascii="Calibri" w:hAnsi="Calibri"/>
                <w:szCs w:val="22"/>
              </w:rPr>
              <w:t>10 Main Street, Bolton-by-Bowland BB7 4NW</w:t>
            </w:r>
          </w:p>
        </w:tc>
      </w:tr>
      <w:tr w:rsidR="00A95D89" w:rsidRPr="00D2449B" w14:paraId="3FB99B2E"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FE46687" w:rsidR="002A01CF" w:rsidRPr="00131E7C" w:rsidRDefault="00131E7C">
            <w:pPr>
              <w:rPr>
                <w:rFonts w:ascii="Calibri" w:hAnsi="Calibri"/>
                <w:bCs/>
                <w:szCs w:val="22"/>
              </w:rPr>
            </w:pPr>
            <w:r w:rsidRPr="00131E7C">
              <w:rPr>
                <w:rFonts w:ascii="Calibri" w:hAnsi="Calibri"/>
                <w:bCs/>
                <w:szCs w:val="22"/>
              </w:rPr>
              <w:t>None</w:t>
            </w:r>
          </w:p>
        </w:tc>
      </w:tr>
      <w:tr w:rsidR="00C618DB" w:rsidRPr="00D2449B" w14:paraId="639E958B"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C2B2D" w:rsidRPr="00D2449B" w14:paraId="1EA955B4" w14:textId="77777777" w:rsidTr="001E4DF2">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0B0B961F" w:rsidR="00350874" w:rsidRPr="003C2B2D" w:rsidRDefault="00452633">
            <w:pPr>
              <w:rPr>
                <w:rFonts w:ascii="Calibri" w:hAnsi="Calibri"/>
                <w:bCs/>
                <w:szCs w:val="22"/>
              </w:rPr>
            </w:pPr>
            <w:r>
              <w:rPr>
                <w:rFonts w:ascii="Calibri" w:hAnsi="Calibri"/>
                <w:szCs w:val="22"/>
              </w:rPr>
              <w:t>None</w:t>
            </w:r>
          </w:p>
        </w:tc>
      </w:tr>
      <w:tr w:rsidR="00C0704D" w:rsidRPr="00D2449B" w14:paraId="62663AA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F60E80E" w:rsidR="00C0704D" w:rsidRPr="00C0704D" w:rsidRDefault="00452633"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F7E9249" w14:textId="77777777" w:rsidR="003C2B2D" w:rsidRPr="003C2B2D" w:rsidRDefault="003C2B2D" w:rsidP="003C2B2D">
            <w:pPr>
              <w:rPr>
                <w:rFonts w:ascii="Calibri" w:hAnsi="Calibri"/>
                <w:bCs/>
                <w:szCs w:val="22"/>
              </w:rPr>
            </w:pPr>
            <w:r w:rsidRPr="003C2B2D">
              <w:rPr>
                <w:rFonts w:ascii="Calibri" w:hAnsi="Calibri"/>
                <w:bCs/>
                <w:szCs w:val="22"/>
              </w:rPr>
              <w:t>Key Statement EN5: Heritage Assets</w:t>
            </w:r>
          </w:p>
          <w:p w14:paraId="05BEC66D" w14:textId="77777777" w:rsidR="003C2B2D" w:rsidRPr="003C2B2D" w:rsidRDefault="003C2B2D" w:rsidP="003C2B2D">
            <w:pPr>
              <w:rPr>
                <w:rFonts w:ascii="Calibri" w:hAnsi="Calibri"/>
                <w:bCs/>
                <w:szCs w:val="22"/>
              </w:rPr>
            </w:pPr>
            <w:r w:rsidRPr="003C2B2D">
              <w:rPr>
                <w:rFonts w:ascii="Calibri" w:hAnsi="Calibri"/>
                <w:bCs/>
                <w:szCs w:val="22"/>
              </w:rPr>
              <w:t xml:space="preserve">Policy DMG1: General Considerations </w:t>
            </w:r>
          </w:p>
          <w:p w14:paraId="58EC4572" w14:textId="77777777" w:rsidR="003C2B2D" w:rsidRPr="003C2B2D" w:rsidRDefault="003C2B2D" w:rsidP="003C2B2D">
            <w:pPr>
              <w:rPr>
                <w:rFonts w:ascii="Calibri" w:hAnsi="Calibri"/>
                <w:bCs/>
                <w:szCs w:val="22"/>
              </w:rPr>
            </w:pPr>
            <w:r w:rsidRPr="003C2B2D">
              <w:rPr>
                <w:rFonts w:ascii="Calibri" w:hAnsi="Calibri"/>
                <w:bCs/>
                <w:szCs w:val="22"/>
              </w:rPr>
              <w:t>Policy DME4: Protecting Heritage Assets</w:t>
            </w:r>
          </w:p>
          <w:p w14:paraId="3D29E4EF" w14:textId="77777777" w:rsidR="003C2B2D" w:rsidRPr="003C2B2D" w:rsidRDefault="003C2B2D" w:rsidP="003C2B2D">
            <w:pPr>
              <w:rPr>
                <w:rFonts w:ascii="Calibri" w:hAnsi="Calibri"/>
                <w:bCs/>
                <w:szCs w:val="22"/>
              </w:rPr>
            </w:pPr>
          </w:p>
          <w:p w14:paraId="0B4087A8" w14:textId="77777777" w:rsidR="003C2B2D" w:rsidRPr="003C2B2D" w:rsidRDefault="003C2B2D" w:rsidP="003C2B2D">
            <w:pPr>
              <w:rPr>
                <w:rFonts w:ascii="Calibri" w:hAnsi="Calibri"/>
                <w:bCs/>
                <w:szCs w:val="22"/>
              </w:rPr>
            </w:pPr>
            <w:r w:rsidRPr="003C2B2D">
              <w:rPr>
                <w:rFonts w:ascii="Calibri" w:hAnsi="Calibri"/>
                <w:bCs/>
                <w:szCs w:val="22"/>
              </w:rPr>
              <w:t>NPPF – Chapter 16</w:t>
            </w:r>
          </w:p>
          <w:p w14:paraId="45A101E9" w14:textId="77777777" w:rsidR="003C2B2D" w:rsidRPr="003C2B2D" w:rsidRDefault="003C2B2D" w:rsidP="003C2B2D">
            <w:pPr>
              <w:rPr>
                <w:rFonts w:ascii="Calibri" w:hAnsi="Calibri"/>
                <w:bCs/>
                <w:szCs w:val="22"/>
              </w:rPr>
            </w:pPr>
          </w:p>
          <w:p w14:paraId="0F96CBE9" w14:textId="5B889547" w:rsidR="008542DE" w:rsidRPr="00FB7C8D" w:rsidRDefault="003C2B2D" w:rsidP="003C2B2D">
            <w:pPr>
              <w:rPr>
                <w:rFonts w:ascii="Calibri" w:hAnsi="Calibri"/>
                <w:bCs/>
                <w:szCs w:val="22"/>
              </w:rPr>
            </w:pPr>
            <w:r w:rsidRPr="003C2B2D">
              <w:rPr>
                <w:rFonts w:ascii="Calibri" w:hAnsi="Calibri"/>
                <w:bCs/>
                <w:szCs w:val="22"/>
              </w:rPr>
              <w:t>Planning (Listed Buildings and Conservation Areas) Act 1990: Sections 16</w:t>
            </w:r>
            <w:r w:rsidR="00452633">
              <w:rPr>
                <w:rFonts w:ascii="Calibri" w:hAnsi="Calibri"/>
                <w:bCs/>
                <w:szCs w:val="22"/>
              </w:rPr>
              <w:t>,</w:t>
            </w:r>
            <w:r w:rsidRPr="003C2B2D">
              <w:rPr>
                <w:rFonts w:ascii="Calibri" w:hAnsi="Calibri"/>
                <w:bCs/>
                <w:szCs w:val="22"/>
              </w:rPr>
              <w:t xml:space="preserve"> 66</w:t>
            </w:r>
            <w:r w:rsidR="00452633">
              <w:rPr>
                <w:rFonts w:ascii="Calibri" w:hAnsi="Calibri"/>
                <w:bCs/>
                <w:szCs w:val="22"/>
              </w:rPr>
              <w:t xml:space="preserve"> and 72</w:t>
            </w:r>
          </w:p>
          <w:p w14:paraId="6C4C318E" w14:textId="57615300" w:rsidR="003C2B2D" w:rsidRPr="00D2449B" w:rsidRDefault="003C2B2D" w:rsidP="003C2B2D">
            <w:pPr>
              <w:rPr>
                <w:rFonts w:ascii="Calibri" w:hAnsi="Calibri"/>
                <w:b/>
                <w:szCs w:val="22"/>
              </w:rPr>
            </w:pPr>
          </w:p>
        </w:tc>
      </w:tr>
      <w:tr w:rsidR="00C0704D" w:rsidRPr="00D2449B" w14:paraId="08181FD6"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004B3" w14:textId="6AE6AA6D" w:rsidR="0004003D" w:rsidRDefault="00C0704D" w:rsidP="00C0704D">
            <w:pPr>
              <w:pStyle w:val="PLANNING"/>
              <w:rPr>
                <w:rFonts w:ascii="Calibri" w:hAnsi="Calibri"/>
                <w:b/>
                <w:bCs/>
                <w:szCs w:val="22"/>
              </w:rPr>
            </w:pPr>
            <w:r w:rsidRPr="006A71AD">
              <w:rPr>
                <w:rFonts w:ascii="Calibri" w:hAnsi="Calibri"/>
                <w:b/>
                <w:bCs/>
                <w:szCs w:val="22"/>
              </w:rPr>
              <w:t>Relevant Planning History:</w:t>
            </w:r>
          </w:p>
          <w:p w14:paraId="5010E8FF" w14:textId="1F86F788" w:rsidR="0004003D" w:rsidRDefault="0004003D" w:rsidP="00C0704D">
            <w:pPr>
              <w:pStyle w:val="PLANNING"/>
              <w:rPr>
                <w:rFonts w:ascii="Calibri" w:hAnsi="Calibri"/>
                <w:b/>
                <w:bCs/>
                <w:szCs w:val="22"/>
              </w:rPr>
            </w:pPr>
          </w:p>
          <w:p w14:paraId="17147D50" w14:textId="5FEDB036" w:rsidR="00350874" w:rsidRPr="00E432C1" w:rsidRDefault="00E432C1" w:rsidP="00FB7C8D">
            <w:pPr>
              <w:pStyle w:val="PLANNING"/>
              <w:rPr>
                <w:rFonts w:asciiTheme="minorHAnsi" w:hAnsiTheme="minorHAnsi" w:cstheme="minorHAnsi"/>
                <w:szCs w:val="22"/>
              </w:rPr>
            </w:pPr>
            <w:r w:rsidRPr="00E432C1">
              <w:rPr>
                <w:rFonts w:asciiTheme="minorHAnsi" w:hAnsiTheme="minorHAnsi" w:cstheme="minorHAnsi"/>
                <w:szCs w:val="22"/>
              </w:rPr>
              <w:t>3/2021/1259</w:t>
            </w:r>
            <w:r>
              <w:rPr>
                <w:rFonts w:asciiTheme="minorHAnsi" w:hAnsiTheme="minorHAnsi" w:cstheme="minorHAnsi"/>
                <w:szCs w:val="22"/>
              </w:rPr>
              <w:t xml:space="preserve"> + 1260</w:t>
            </w:r>
            <w:r w:rsidRPr="00E432C1">
              <w:rPr>
                <w:rFonts w:asciiTheme="minorHAnsi" w:hAnsiTheme="minorHAnsi" w:cstheme="minorHAnsi"/>
                <w:szCs w:val="22"/>
              </w:rPr>
              <w:t xml:space="preserve"> - </w:t>
            </w:r>
            <w:r w:rsidRPr="00E432C1">
              <w:rPr>
                <w:rFonts w:asciiTheme="minorHAnsi" w:hAnsiTheme="minorHAnsi" w:cstheme="minorHAnsi"/>
                <w:szCs w:val="22"/>
                <w:shd w:val="clear" w:color="auto" w:fill="FFFFFF"/>
              </w:rPr>
              <w:t>Proposed urgent repairs to roof to protect the historic fabric of the listed building. Existing slates to be reused if possible and if not, reclaimed stone slates will be used. Existing insulation is replaced where damaged by water ingress</w:t>
            </w:r>
          </w:p>
        </w:tc>
      </w:tr>
      <w:tr w:rsidR="00C0704D" w:rsidRPr="00D2449B" w14:paraId="6AAC3B0A" w14:textId="77777777" w:rsidTr="00EF44E6">
        <w:trPr>
          <w:trHeight w:hRule="exact" w:val="170"/>
          <w:jc w:val="center"/>
        </w:trPr>
        <w:tc>
          <w:tcPr>
            <w:tcW w:w="927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2F1115CE" w:rsidR="00C0704D" w:rsidRDefault="00C0704D" w:rsidP="00811771">
            <w:pPr>
              <w:pStyle w:val="Header"/>
              <w:tabs>
                <w:tab w:val="clear" w:pos="4153"/>
                <w:tab w:val="clear" w:pos="8306"/>
              </w:tabs>
              <w:contextualSpacing/>
              <w:jc w:val="both"/>
              <w:rPr>
                <w:rFonts w:ascii="Calibri" w:hAnsi="Calibri"/>
                <w:bCs/>
                <w:szCs w:val="22"/>
              </w:rPr>
            </w:pPr>
          </w:p>
          <w:p w14:paraId="00589697" w14:textId="6E6D6AFE" w:rsidR="00FB7C8D" w:rsidRDefault="00E432C1" w:rsidP="00FB7C8D">
            <w:pPr>
              <w:pStyle w:val="Header"/>
              <w:tabs>
                <w:tab w:val="left" w:pos="720"/>
              </w:tabs>
              <w:jc w:val="both"/>
              <w:rPr>
                <w:rFonts w:ascii="Calibri" w:hAnsi="Calibri"/>
                <w:bCs/>
                <w:szCs w:val="22"/>
              </w:rPr>
            </w:pPr>
            <w:r>
              <w:rPr>
                <w:rFonts w:ascii="Calibri" w:hAnsi="Calibri"/>
                <w:bCs/>
                <w:szCs w:val="22"/>
              </w:rPr>
              <w:t>The subject property</w:t>
            </w:r>
            <w:r w:rsidR="00FB7C8D">
              <w:rPr>
                <w:rFonts w:ascii="Calibri" w:hAnsi="Calibri"/>
                <w:bCs/>
                <w:szCs w:val="22"/>
              </w:rPr>
              <w:t xml:space="preserve"> is </w:t>
            </w:r>
            <w:r>
              <w:rPr>
                <w:rFonts w:ascii="Calibri" w:hAnsi="Calibri"/>
                <w:bCs/>
                <w:szCs w:val="22"/>
              </w:rPr>
              <w:t xml:space="preserve">a </w:t>
            </w:r>
            <w:r w:rsidR="00FB7C8D">
              <w:rPr>
                <w:rFonts w:ascii="Calibri" w:hAnsi="Calibri"/>
                <w:bCs/>
                <w:szCs w:val="22"/>
              </w:rPr>
              <w:t xml:space="preserve">Grade II listed </w:t>
            </w:r>
            <w:proofErr w:type="gramStart"/>
            <w:r>
              <w:rPr>
                <w:rFonts w:ascii="Calibri" w:hAnsi="Calibri"/>
                <w:bCs/>
                <w:szCs w:val="22"/>
              </w:rPr>
              <w:t>white washed</w:t>
            </w:r>
            <w:proofErr w:type="gramEnd"/>
            <w:r>
              <w:rPr>
                <w:rFonts w:ascii="Calibri" w:hAnsi="Calibri"/>
                <w:bCs/>
                <w:szCs w:val="22"/>
              </w:rPr>
              <w:t xml:space="preserve"> stone cottage</w:t>
            </w:r>
            <w:r w:rsidR="00166153">
              <w:rPr>
                <w:rFonts w:ascii="Calibri" w:hAnsi="Calibri"/>
                <w:bCs/>
                <w:szCs w:val="22"/>
              </w:rPr>
              <w:t xml:space="preserve"> </w:t>
            </w:r>
            <w:r w:rsidR="00FB7C8D">
              <w:rPr>
                <w:rFonts w:ascii="Calibri" w:hAnsi="Calibri"/>
                <w:bCs/>
                <w:szCs w:val="22"/>
              </w:rPr>
              <w:t xml:space="preserve">sited </w:t>
            </w:r>
            <w:r>
              <w:rPr>
                <w:rFonts w:ascii="Calibri" w:hAnsi="Calibri"/>
                <w:bCs/>
                <w:szCs w:val="22"/>
              </w:rPr>
              <w:t>within the Bolton by Bowland conservation area</w:t>
            </w:r>
            <w:r w:rsidR="00BB024E">
              <w:rPr>
                <w:rFonts w:ascii="Calibri" w:hAnsi="Calibri"/>
                <w:bCs/>
                <w:szCs w:val="22"/>
              </w:rPr>
              <w:t xml:space="preserve"> and the centre of the village</w:t>
            </w:r>
            <w:r w:rsidR="00FB7C8D">
              <w:rPr>
                <w:rFonts w:ascii="Calibri" w:hAnsi="Calibri"/>
                <w:bCs/>
                <w:szCs w:val="22"/>
              </w:rPr>
              <w:t>.</w:t>
            </w:r>
            <w:r w:rsidR="00BB024E">
              <w:rPr>
                <w:rFonts w:ascii="Calibri" w:hAnsi="Calibri"/>
                <w:bCs/>
                <w:szCs w:val="22"/>
              </w:rPr>
              <w:t xml:space="preserve"> It shares its listing with the adjoining cottage, number 12.</w:t>
            </w:r>
            <w:r>
              <w:rPr>
                <w:rFonts w:ascii="Calibri" w:hAnsi="Calibri"/>
                <w:bCs/>
                <w:szCs w:val="22"/>
              </w:rPr>
              <w:t xml:space="preserve"> Nearby properties including </w:t>
            </w:r>
            <w:proofErr w:type="spellStart"/>
            <w:proofErr w:type="gramStart"/>
            <w:r>
              <w:rPr>
                <w:rFonts w:ascii="Calibri" w:hAnsi="Calibri"/>
                <w:bCs/>
                <w:szCs w:val="22"/>
              </w:rPr>
              <w:t>No.s</w:t>
            </w:r>
            <w:proofErr w:type="spellEnd"/>
            <w:proofErr w:type="gramEnd"/>
            <w:r>
              <w:rPr>
                <w:rFonts w:ascii="Calibri" w:hAnsi="Calibri"/>
                <w:bCs/>
                <w:szCs w:val="22"/>
              </w:rPr>
              <w:t xml:space="preserve"> 14, 8, 8a, 4 and 9-11 Main Street are also Grade II Listed Buildings.</w:t>
            </w:r>
          </w:p>
          <w:p w14:paraId="6195C7C4" w14:textId="77777777" w:rsidR="00FB7C8D" w:rsidRDefault="00FB7C8D" w:rsidP="00FB7C8D">
            <w:pPr>
              <w:pStyle w:val="Header"/>
              <w:tabs>
                <w:tab w:val="left" w:pos="720"/>
              </w:tabs>
              <w:jc w:val="both"/>
              <w:rPr>
                <w:rFonts w:ascii="Calibri" w:hAnsi="Calibri"/>
                <w:bCs/>
                <w:szCs w:val="22"/>
              </w:rPr>
            </w:pPr>
          </w:p>
          <w:p w14:paraId="4A1D8AC9" w14:textId="77777777" w:rsidR="00FB7C8D" w:rsidRDefault="00FB7C8D" w:rsidP="00FB7C8D">
            <w:pPr>
              <w:pStyle w:val="Header"/>
              <w:tabs>
                <w:tab w:val="left" w:pos="720"/>
              </w:tabs>
              <w:jc w:val="both"/>
              <w:rPr>
                <w:rFonts w:ascii="Calibri" w:hAnsi="Calibri"/>
                <w:bCs/>
                <w:szCs w:val="22"/>
              </w:rPr>
            </w:pPr>
            <w:r>
              <w:rPr>
                <w:rFonts w:ascii="Calibri" w:hAnsi="Calibri"/>
                <w:bCs/>
                <w:szCs w:val="22"/>
              </w:rPr>
              <w:t>The list description identifies:</w:t>
            </w:r>
          </w:p>
          <w:p w14:paraId="6A622E6A" w14:textId="77777777" w:rsidR="00FB7C8D" w:rsidRPr="009022FB" w:rsidRDefault="00FB7C8D" w:rsidP="00FB7C8D">
            <w:pPr>
              <w:pStyle w:val="Header"/>
              <w:tabs>
                <w:tab w:val="left" w:pos="720"/>
              </w:tabs>
              <w:jc w:val="both"/>
              <w:rPr>
                <w:rFonts w:ascii="Calibri" w:hAnsi="Calibri"/>
                <w:bCs/>
                <w:szCs w:val="22"/>
              </w:rPr>
            </w:pPr>
          </w:p>
          <w:p w14:paraId="539B79D7" w14:textId="76AE789F" w:rsidR="00FB7C8D" w:rsidRPr="009022FB" w:rsidRDefault="00FB7C8D" w:rsidP="005B6E24">
            <w:pPr>
              <w:pStyle w:val="Header"/>
              <w:tabs>
                <w:tab w:val="left" w:pos="720"/>
              </w:tabs>
              <w:jc w:val="both"/>
              <w:rPr>
                <w:rFonts w:ascii="Calibri" w:hAnsi="Calibri" w:cs="Arial"/>
                <w:i/>
              </w:rPr>
            </w:pPr>
            <w:r w:rsidRPr="009022FB">
              <w:rPr>
                <w:rFonts w:ascii="Calibri" w:hAnsi="Calibri"/>
                <w:bCs/>
                <w:szCs w:val="22"/>
              </w:rPr>
              <w:t>“</w:t>
            </w:r>
            <w:r w:rsidR="00BB024E" w:rsidRPr="009022FB">
              <w:rPr>
                <w:rFonts w:ascii="Calibri" w:hAnsi="Calibri" w:cs="Arial"/>
                <w:i/>
              </w:rPr>
              <w:t xml:space="preserve">Pair of houses, late C19th…No. 10 of two bays having modern windows with plain stone…Listing for group value only”. </w:t>
            </w:r>
          </w:p>
          <w:p w14:paraId="1E5670C3" w14:textId="7530AC33" w:rsidR="00BB024E" w:rsidRPr="009022FB" w:rsidRDefault="00BB024E" w:rsidP="005B6E24">
            <w:pPr>
              <w:pStyle w:val="Header"/>
              <w:tabs>
                <w:tab w:val="left" w:pos="720"/>
              </w:tabs>
              <w:jc w:val="both"/>
              <w:rPr>
                <w:rFonts w:ascii="Calibri" w:hAnsi="Calibri" w:cs="Arial"/>
              </w:rPr>
            </w:pPr>
          </w:p>
          <w:p w14:paraId="674B05AE" w14:textId="3C994C93" w:rsidR="00BB024E" w:rsidRPr="009022FB" w:rsidRDefault="00BB024E" w:rsidP="005B6E24">
            <w:pPr>
              <w:pStyle w:val="Header"/>
              <w:tabs>
                <w:tab w:val="left" w:pos="720"/>
              </w:tabs>
              <w:jc w:val="both"/>
              <w:rPr>
                <w:rFonts w:ascii="Calibri" w:hAnsi="Calibri" w:cs="Arial"/>
              </w:rPr>
            </w:pPr>
            <w:r w:rsidRPr="009022FB">
              <w:rPr>
                <w:rFonts w:ascii="Calibri" w:hAnsi="Calibri" w:cs="Arial"/>
              </w:rPr>
              <w:t>The Bolton by Bowland Conservation Area (2006) identifies ‘No 10 Main Street is one of a number of buildings in which the walls are white and the window surround picked out in black.’</w:t>
            </w:r>
          </w:p>
          <w:p w14:paraId="62370E9F" w14:textId="77777777" w:rsidR="00C0704D" w:rsidRPr="006C2BFA" w:rsidRDefault="00C0704D" w:rsidP="005B6E24">
            <w:pPr>
              <w:pStyle w:val="Default"/>
              <w:rPr>
                <w:rFonts w:ascii="Calibri" w:hAnsi="Calibri"/>
                <w:bCs/>
                <w:szCs w:val="22"/>
              </w:rPr>
            </w:pPr>
          </w:p>
        </w:tc>
      </w:tr>
      <w:tr w:rsidR="00C0704D" w:rsidRPr="00D2449B" w14:paraId="408C6380"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601B650A"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31B6655E" w:rsidR="00C0704D" w:rsidRDefault="00C0704D" w:rsidP="00440CB6">
            <w:pPr>
              <w:pStyle w:val="Header"/>
              <w:tabs>
                <w:tab w:val="clear" w:pos="4153"/>
                <w:tab w:val="clear" w:pos="8306"/>
              </w:tabs>
              <w:jc w:val="both"/>
              <w:rPr>
                <w:rFonts w:ascii="Calibri" w:hAnsi="Calibri"/>
                <w:b/>
                <w:szCs w:val="22"/>
              </w:rPr>
            </w:pPr>
          </w:p>
          <w:p w14:paraId="47F03D55" w14:textId="211FE684" w:rsidR="00A40973" w:rsidRDefault="00BB024E" w:rsidP="00C17932">
            <w:pPr>
              <w:pStyle w:val="Header"/>
              <w:rPr>
                <w:rFonts w:ascii="Calibri" w:hAnsi="Calibri"/>
                <w:bCs/>
                <w:szCs w:val="22"/>
              </w:rPr>
            </w:pPr>
            <w:r>
              <w:rPr>
                <w:rFonts w:ascii="Calibri" w:hAnsi="Calibri"/>
                <w:bCs/>
                <w:szCs w:val="22"/>
              </w:rPr>
              <w:t>Replacement of the four front windows</w:t>
            </w:r>
            <w:r w:rsidR="00B617B9">
              <w:rPr>
                <w:rFonts w:ascii="Calibri" w:hAnsi="Calibri"/>
                <w:bCs/>
                <w:szCs w:val="22"/>
              </w:rPr>
              <w:t xml:space="preserve">. </w:t>
            </w:r>
            <w:r>
              <w:rPr>
                <w:rFonts w:ascii="Calibri" w:hAnsi="Calibri"/>
                <w:bCs/>
                <w:szCs w:val="22"/>
              </w:rPr>
              <w:t xml:space="preserve">The current windows are </w:t>
            </w:r>
            <w:r w:rsidR="00B805F1">
              <w:rPr>
                <w:rFonts w:ascii="Calibri" w:hAnsi="Calibri"/>
                <w:bCs/>
                <w:szCs w:val="22"/>
              </w:rPr>
              <w:t xml:space="preserve">white </w:t>
            </w:r>
            <w:r>
              <w:rPr>
                <w:rFonts w:ascii="Calibri" w:hAnsi="Calibri"/>
                <w:bCs/>
                <w:szCs w:val="22"/>
              </w:rPr>
              <w:t xml:space="preserve">timber framed, single glazing with single top opener. The woodwork on the upper windows is showing signs of deterioration and the inward opening hoppers have been poorly fitted. </w:t>
            </w:r>
            <w:r w:rsidR="00B805F1">
              <w:rPr>
                <w:rFonts w:ascii="Calibri" w:hAnsi="Calibri"/>
                <w:bCs/>
                <w:szCs w:val="22"/>
              </w:rPr>
              <w:t xml:space="preserve">This is supported by a </w:t>
            </w:r>
            <w:proofErr w:type="gramStart"/>
            <w:r w:rsidR="00B805F1">
              <w:rPr>
                <w:rFonts w:ascii="Calibri" w:hAnsi="Calibri"/>
                <w:bCs/>
                <w:szCs w:val="22"/>
              </w:rPr>
              <w:t>joiners</w:t>
            </w:r>
            <w:proofErr w:type="gramEnd"/>
            <w:r w:rsidR="00B805F1">
              <w:rPr>
                <w:rFonts w:ascii="Calibri" w:hAnsi="Calibri"/>
                <w:bCs/>
                <w:szCs w:val="22"/>
              </w:rPr>
              <w:t xml:space="preserve"> report. </w:t>
            </w:r>
            <w:r>
              <w:rPr>
                <w:rFonts w:ascii="Calibri" w:hAnsi="Calibri"/>
                <w:bCs/>
                <w:szCs w:val="22"/>
              </w:rPr>
              <w:t xml:space="preserve">The new windows will be </w:t>
            </w:r>
            <w:r w:rsidR="00B805F1">
              <w:rPr>
                <w:rFonts w:ascii="Calibri" w:hAnsi="Calibri"/>
                <w:bCs/>
                <w:szCs w:val="22"/>
              </w:rPr>
              <w:t xml:space="preserve">white </w:t>
            </w:r>
            <w:r>
              <w:rPr>
                <w:rFonts w:ascii="Calibri" w:hAnsi="Calibri"/>
                <w:bCs/>
                <w:szCs w:val="22"/>
              </w:rPr>
              <w:t>timber</w:t>
            </w:r>
            <w:r w:rsidR="00B805F1">
              <w:rPr>
                <w:rFonts w:ascii="Calibri" w:hAnsi="Calibri"/>
                <w:bCs/>
                <w:szCs w:val="22"/>
              </w:rPr>
              <w:t xml:space="preserve"> framed</w:t>
            </w:r>
            <w:r>
              <w:rPr>
                <w:rFonts w:ascii="Calibri" w:hAnsi="Calibri"/>
                <w:bCs/>
                <w:szCs w:val="22"/>
              </w:rPr>
              <w:t>, double glazed with a top opener (outward opening</w:t>
            </w:r>
            <w:proofErr w:type="gramStart"/>
            <w:r>
              <w:rPr>
                <w:rFonts w:ascii="Calibri" w:hAnsi="Calibri"/>
                <w:bCs/>
                <w:szCs w:val="22"/>
              </w:rPr>
              <w:t>)</w:t>
            </w:r>
            <w:proofErr w:type="gramEnd"/>
            <w:r>
              <w:rPr>
                <w:rFonts w:ascii="Calibri" w:hAnsi="Calibri"/>
                <w:bCs/>
                <w:szCs w:val="22"/>
              </w:rPr>
              <w:t xml:space="preserve"> and </w:t>
            </w:r>
            <w:r w:rsidR="009022FB">
              <w:rPr>
                <w:rFonts w:ascii="Calibri" w:hAnsi="Calibri"/>
                <w:bCs/>
                <w:szCs w:val="22"/>
              </w:rPr>
              <w:t>have very similar profile to the existing</w:t>
            </w:r>
            <w:r w:rsidR="00B805F1">
              <w:rPr>
                <w:rFonts w:ascii="Calibri" w:hAnsi="Calibri"/>
                <w:bCs/>
                <w:szCs w:val="22"/>
              </w:rPr>
              <w:t xml:space="preserve">. </w:t>
            </w:r>
          </w:p>
          <w:p w14:paraId="1B20488F" w14:textId="33CD6492" w:rsidR="00C17932" w:rsidRPr="00D54E67" w:rsidRDefault="00C17932" w:rsidP="00B805F1">
            <w:pPr>
              <w:pStyle w:val="Header"/>
              <w:tabs>
                <w:tab w:val="left" w:pos="720"/>
              </w:tabs>
              <w:jc w:val="both"/>
              <w:rPr>
                <w:rFonts w:ascii="Calibri" w:hAnsi="Calibri"/>
                <w:szCs w:val="22"/>
              </w:rPr>
            </w:pPr>
          </w:p>
        </w:tc>
      </w:tr>
      <w:tr w:rsidR="00B8307F" w:rsidRPr="00D2449B" w14:paraId="7AA4E370"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B63ADF" w14:textId="77777777" w:rsidR="00B8307F" w:rsidRPr="00B8307F" w:rsidRDefault="00B8307F" w:rsidP="00B8307F">
            <w:pPr>
              <w:pStyle w:val="Header"/>
              <w:rPr>
                <w:rFonts w:ascii="Calibri" w:hAnsi="Calibri"/>
                <w:b/>
                <w:szCs w:val="22"/>
              </w:rPr>
            </w:pPr>
            <w:r w:rsidRPr="00B8307F">
              <w:rPr>
                <w:rFonts w:ascii="Calibri" w:hAnsi="Calibri"/>
                <w:b/>
                <w:szCs w:val="22"/>
              </w:rPr>
              <w:t>Principle of Development:</w:t>
            </w:r>
          </w:p>
          <w:p w14:paraId="43FD482A" w14:textId="77777777" w:rsidR="00B8307F" w:rsidRPr="00B8307F" w:rsidRDefault="00B8307F" w:rsidP="00B8307F">
            <w:pPr>
              <w:pStyle w:val="Header"/>
              <w:rPr>
                <w:rFonts w:ascii="Calibri" w:hAnsi="Calibri"/>
                <w:b/>
                <w:szCs w:val="22"/>
              </w:rPr>
            </w:pPr>
          </w:p>
          <w:p w14:paraId="5D3AD61D" w14:textId="53CB7BF8" w:rsidR="00B8307F" w:rsidRDefault="00B8307F" w:rsidP="00B8307F">
            <w:pPr>
              <w:pStyle w:val="Header"/>
              <w:rPr>
                <w:rFonts w:ascii="Calibri" w:hAnsi="Calibri"/>
                <w:bCs/>
                <w:szCs w:val="22"/>
              </w:rPr>
            </w:pPr>
            <w:r w:rsidRPr="00B8307F">
              <w:rPr>
                <w:rFonts w:ascii="Calibri" w:hAnsi="Calibri"/>
                <w:bCs/>
                <w:szCs w:val="22"/>
              </w:rPr>
              <w:t>The LPA must accord with their duties at sections 16</w:t>
            </w:r>
            <w:r w:rsidR="00B805F1">
              <w:rPr>
                <w:rFonts w:ascii="Calibri" w:hAnsi="Calibri"/>
                <w:bCs/>
                <w:szCs w:val="22"/>
              </w:rPr>
              <w:t>,</w:t>
            </w:r>
            <w:r w:rsidRPr="00B8307F">
              <w:rPr>
                <w:rFonts w:ascii="Calibri" w:hAnsi="Calibri"/>
                <w:bCs/>
                <w:szCs w:val="22"/>
              </w:rPr>
              <w:t xml:space="preserve"> 66 </w:t>
            </w:r>
            <w:r w:rsidR="00B805F1">
              <w:rPr>
                <w:rFonts w:ascii="Calibri" w:hAnsi="Calibri"/>
                <w:bCs/>
                <w:szCs w:val="22"/>
              </w:rPr>
              <w:t xml:space="preserve">and 72 </w:t>
            </w:r>
            <w:r w:rsidRPr="00B8307F">
              <w:rPr>
                <w:rFonts w:ascii="Calibri" w:hAnsi="Calibri"/>
                <w:bCs/>
                <w:szCs w:val="22"/>
              </w:rPr>
              <w:t>of the Planning (Listed Buildings and Conservation Areas) Act 1990 which state:</w:t>
            </w:r>
          </w:p>
          <w:p w14:paraId="363A11D1" w14:textId="6CCA6294" w:rsidR="00B8307F" w:rsidRDefault="00B8307F" w:rsidP="00B8307F">
            <w:pPr>
              <w:pStyle w:val="Header"/>
              <w:rPr>
                <w:rFonts w:ascii="Calibri" w:hAnsi="Calibri"/>
                <w:bCs/>
                <w:szCs w:val="22"/>
              </w:rPr>
            </w:pPr>
          </w:p>
          <w:p w14:paraId="415A0118" w14:textId="77777777" w:rsidR="00B8307F" w:rsidRPr="00853983" w:rsidRDefault="00B8307F" w:rsidP="00B8307F">
            <w:pPr>
              <w:pStyle w:val="Header"/>
              <w:jc w:val="both"/>
              <w:rPr>
                <w:rFonts w:ascii="Calibri" w:hAnsi="Calibri"/>
                <w:szCs w:val="22"/>
              </w:rPr>
            </w:pPr>
            <w:r w:rsidRPr="00853983">
              <w:rPr>
                <w:rFonts w:ascii="Calibri" w:hAnsi="Calibri"/>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34E8DEB2" w14:textId="77777777" w:rsidR="00B8307F" w:rsidRPr="00853983" w:rsidRDefault="00B8307F" w:rsidP="00B8307F">
            <w:pPr>
              <w:pStyle w:val="Header"/>
              <w:jc w:val="both"/>
              <w:rPr>
                <w:rFonts w:ascii="Calibri" w:hAnsi="Calibri"/>
                <w:szCs w:val="22"/>
              </w:rPr>
            </w:pPr>
          </w:p>
          <w:p w14:paraId="64B4187F" w14:textId="405FCB36" w:rsidR="00B8307F" w:rsidRDefault="00B8307F" w:rsidP="00B8307F">
            <w:pPr>
              <w:pStyle w:val="Header"/>
              <w:jc w:val="both"/>
              <w:rPr>
                <w:rFonts w:ascii="Calibri" w:hAnsi="Calibri"/>
                <w:szCs w:val="22"/>
              </w:rPr>
            </w:pPr>
            <w:r w:rsidRPr="00853983">
              <w:rPr>
                <w:rFonts w:ascii="Calibri" w:hAnsi="Calibri"/>
                <w:szCs w:val="22"/>
              </w:rPr>
              <w:t>66. In considering whether to grant planning permission [or permission in principle] for development which affects a listed building or its setting, the local planning authority or</w:t>
            </w:r>
            <w:proofErr w:type="gramStart"/>
            <w:r w:rsidRPr="00853983">
              <w:rPr>
                <w:rFonts w:ascii="Calibri" w:hAnsi="Calibri"/>
                <w:szCs w:val="22"/>
              </w:rPr>
              <w:t>, as the case may be, the</w:t>
            </w:r>
            <w:proofErr w:type="gramEnd"/>
            <w:r w:rsidRPr="00853983">
              <w:rPr>
                <w:rFonts w:ascii="Calibri" w:hAnsi="Calibri"/>
                <w:szCs w:val="22"/>
              </w:rPr>
              <w:t xml:space="preserve"> Secretary of State shall have special regard to the desirability of preserving the building or its setting or any features of special architectural or historic interest which it possesses.</w:t>
            </w:r>
          </w:p>
          <w:p w14:paraId="3603A298" w14:textId="4481821A" w:rsidR="00B805F1" w:rsidRDefault="00B805F1" w:rsidP="00B8307F">
            <w:pPr>
              <w:pStyle w:val="Header"/>
              <w:jc w:val="both"/>
              <w:rPr>
                <w:rFonts w:ascii="Calibri" w:hAnsi="Calibri"/>
                <w:szCs w:val="22"/>
              </w:rPr>
            </w:pPr>
          </w:p>
          <w:p w14:paraId="3768F3F7" w14:textId="22DA724B" w:rsidR="00B805F1" w:rsidRPr="00853983" w:rsidRDefault="00B805F1" w:rsidP="00B8307F">
            <w:pPr>
              <w:pStyle w:val="Header"/>
              <w:jc w:val="both"/>
              <w:rPr>
                <w:rFonts w:ascii="Calibri" w:hAnsi="Calibri"/>
                <w:szCs w:val="22"/>
              </w:rPr>
            </w:pPr>
            <w:r>
              <w:rPr>
                <w:rFonts w:ascii="Calibri" w:hAnsi="Calibri"/>
                <w:szCs w:val="22"/>
              </w:rPr>
              <w:t>72. W</w:t>
            </w:r>
            <w:r w:rsidRPr="00B805F1">
              <w:rPr>
                <w:rFonts w:ascii="Calibri" w:hAnsi="Calibri"/>
                <w:szCs w:val="22"/>
              </w:rPr>
              <w:t>ith respect to any buildings or other land in a conservation area, special attention shall be paid to the desirability of preserving or enhancing the character or appearance of that area.</w:t>
            </w:r>
          </w:p>
          <w:p w14:paraId="6C1CA510" w14:textId="77777777" w:rsidR="00B8307F" w:rsidRPr="00F90458" w:rsidRDefault="00B8307F" w:rsidP="00B8307F">
            <w:pPr>
              <w:pStyle w:val="Header"/>
              <w:jc w:val="both"/>
              <w:rPr>
                <w:rFonts w:ascii="Calibri" w:hAnsi="Calibri"/>
                <w:szCs w:val="22"/>
                <w:highlight w:val="cyan"/>
              </w:rPr>
            </w:pPr>
          </w:p>
          <w:p w14:paraId="21F54A5B" w14:textId="77777777" w:rsidR="00B8307F" w:rsidRPr="00853983" w:rsidRDefault="00B8307F" w:rsidP="00B8307F">
            <w:pPr>
              <w:pStyle w:val="Header"/>
              <w:jc w:val="both"/>
              <w:rPr>
                <w:rFonts w:ascii="Calibri" w:hAnsi="Calibri"/>
                <w:szCs w:val="22"/>
              </w:rPr>
            </w:pPr>
            <w:r w:rsidRPr="00853983">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5A323C21" w14:textId="77777777" w:rsidR="00B8307F" w:rsidRPr="00853983" w:rsidRDefault="00B8307F" w:rsidP="00B8307F">
            <w:pPr>
              <w:pStyle w:val="Header"/>
              <w:jc w:val="both"/>
              <w:rPr>
                <w:rFonts w:ascii="Calibri" w:hAnsi="Calibri"/>
                <w:szCs w:val="22"/>
              </w:rPr>
            </w:pPr>
          </w:p>
          <w:p w14:paraId="5439AB3C" w14:textId="77777777" w:rsidR="00B8307F" w:rsidRPr="00853983" w:rsidRDefault="00B8307F" w:rsidP="00B8307F">
            <w:pPr>
              <w:pStyle w:val="Header"/>
              <w:jc w:val="both"/>
              <w:rPr>
                <w:rFonts w:ascii="Calibri" w:hAnsi="Calibri"/>
                <w:szCs w:val="22"/>
              </w:rPr>
            </w:pPr>
            <w:r w:rsidRPr="00853983">
              <w:rPr>
                <w:rFonts w:ascii="Calibri" w:hAnsi="Calibri"/>
                <w:szCs w:val="22"/>
              </w:rPr>
              <w:t xml:space="preserve">The council should consider any loss of historic fabric to constitute harm, but to make an assessment as to the significance of the asset and apply weight to its conservation accordingly.  </w:t>
            </w:r>
          </w:p>
          <w:p w14:paraId="436AF031" w14:textId="77777777" w:rsidR="00B8307F" w:rsidRPr="00853983" w:rsidRDefault="00B8307F" w:rsidP="00B8307F">
            <w:pPr>
              <w:pStyle w:val="Header"/>
              <w:jc w:val="both"/>
              <w:rPr>
                <w:rFonts w:ascii="Calibri" w:hAnsi="Calibri"/>
                <w:szCs w:val="22"/>
              </w:rPr>
            </w:pPr>
          </w:p>
          <w:p w14:paraId="788D6801" w14:textId="77777777" w:rsidR="00B8307F" w:rsidRPr="00853983" w:rsidRDefault="00B8307F" w:rsidP="00B8307F">
            <w:pPr>
              <w:pStyle w:val="Header"/>
              <w:jc w:val="both"/>
              <w:rPr>
                <w:rFonts w:ascii="Calibri" w:hAnsi="Calibri"/>
                <w:szCs w:val="22"/>
              </w:rPr>
            </w:pPr>
            <w:r w:rsidRPr="00853983">
              <w:rPr>
                <w:rFonts w:ascii="Calibri" w:hAnsi="Calibri"/>
                <w:szCs w:val="22"/>
              </w:rPr>
              <w:t xml:space="preserve">Para 202 of the NPPF States  </w:t>
            </w:r>
          </w:p>
          <w:p w14:paraId="63DBF741" w14:textId="77777777" w:rsidR="00B8307F" w:rsidRPr="00853983" w:rsidRDefault="00B8307F" w:rsidP="00B8307F">
            <w:pPr>
              <w:pStyle w:val="Header"/>
              <w:jc w:val="both"/>
              <w:rPr>
                <w:rFonts w:ascii="Calibri" w:hAnsi="Calibri"/>
                <w:szCs w:val="22"/>
              </w:rPr>
            </w:pPr>
          </w:p>
          <w:p w14:paraId="08A9736D" w14:textId="77777777" w:rsidR="00B8307F" w:rsidRPr="00853983" w:rsidRDefault="00B8307F" w:rsidP="00B8307F">
            <w:pPr>
              <w:pStyle w:val="Header"/>
              <w:jc w:val="both"/>
              <w:rPr>
                <w:rFonts w:ascii="Calibri" w:hAnsi="Calibri"/>
                <w:szCs w:val="22"/>
              </w:rPr>
            </w:pPr>
            <w:r w:rsidRPr="00853983">
              <w:rPr>
                <w:rFonts w:ascii="Calibri" w:hAnsi="Calibri"/>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67BDC4E8" w14:textId="77777777" w:rsidR="00B8307F" w:rsidRPr="00853983" w:rsidRDefault="00B8307F" w:rsidP="00B8307F">
            <w:pPr>
              <w:pStyle w:val="Header"/>
              <w:jc w:val="both"/>
              <w:rPr>
                <w:rFonts w:ascii="Calibri" w:hAnsi="Calibri"/>
                <w:szCs w:val="22"/>
              </w:rPr>
            </w:pPr>
          </w:p>
          <w:p w14:paraId="7637EDD7" w14:textId="77777777" w:rsidR="00B8307F" w:rsidRPr="005F255F" w:rsidRDefault="00B8307F" w:rsidP="00B8307F">
            <w:pPr>
              <w:pStyle w:val="Header"/>
              <w:jc w:val="both"/>
              <w:rPr>
                <w:rFonts w:ascii="Calibri" w:hAnsi="Calibri"/>
                <w:szCs w:val="22"/>
              </w:rPr>
            </w:pPr>
            <w:r w:rsidRPr="00853983">
              <w:rPr>
                <w:rFonts w:ascii="Calibri" w:hAnsi="Calibri"/>
                <w:szCs w:val="22"/>
              </w:rPr>
              <w:t>The proposed works to the listed building would be subject to careful consideration with respect to the duties above and the other material considerations.</w:t>
            </w:r>
            <w:r w:rsidRPr="005F255F">
              <w:rPr>
                <w:rFonts w:ascii="Calibri" w:hAnsi="Calibri"/>
                <w:szCs w:val="22"/>
              </w:rPr>
              <w:t xml:space="preserve"> </w:t>
            </w:r>
          </w:p>
          <w:p w14:paraId="6006A997" w14:textId="77777777" w:rsidR="00B8307F" w:rsidRDefault="00B8307F" w:rsidP="00BC11CF">
            <w:pPr>
              <w:pStyle w:val="Header"/>
              <w:jc w:val="both"/>
              <w:rPr>
                <w:rFonts w:ascii="Calibri" w:hAnsi="Calibri"/>
                <w:b/>
                <w:szCs w:val="22"/>
              </w:rPr>
            </w:pPr>
          </w:p>
        </w:tc>
      </w:tr>
      <w:tr w:rsidR="008542DE" w:rsidRPr="00D2449B" w14:paraId="2540EE5C"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0FB2E0" w14:textId="10006B67" w:rsidR="009C3D71" w:rsidRDefault="009C3D71" w:rsidP="009C3D71">
            <w:pPr>
              <w:pStyle w:val="Header"/>
              <w:tabs>
                <w:tab w:val="left" w:pos="720"/>
              </w:tabs>
              <w:jc w:val="both"/>
              <w:rPr>
                <w:rFonts w:ascii="Calibri" w:hAnsi="Calibri"/>
                <w:b/>
                <w:szCs w:val="22"/>
              </w:rPr>
            </w:pPr>
            <w:r>
              <w:rPr>
                <w:rFonts w:ascii="Calibri" w:hAnsi="Calibri"/>
                <w:b/>
                <w:szCs w:val="22"/>
              </w:rPr>
              <w:t>Impact upon the special architectural and historic interest of the listed building</w:t>
            </w:r>
            <w:r w:rsidR="00B805F1">
              <w:rPr>
                <w:rFonts w:ascii="Calibri" w:hAnsi="Calibri"/>
                <w:b/>
                <w:szCs w:val="22"/>
              </w:rPr>
              <w:t>, on the conservation area and on nearby listed buildings</w:t>
            </w:r>
          </w:p>
          <w:p w14:paraId="644E1E81" w14:textId="77777777" w:rsidR="009C3D71" w:rsidRDefault="009C3D71" w:rsidP="009C3D71">
            <w:pPr>
              <w:pStyle w:val="Header"/>
              <w:tabs>
                <w:tab w:val="left" w:pos="720"/>
              </w:tabs>
              <w:jc w:val="both"/>
              <w:rPr>
                <w:rFonts w:ascii="Calibri" w:hAnsi="Calibri"/>
                <w:b/>
                <w:szCs w:val="22"/>
              </w:rPr>
            </w:pPr>
          </w:p>
          <w:p w14:paraId="23F5209E" w14:textId="6EB4DAB6" w:rsidR="009C3D71" w:rsidRDefault="00B805F1" w:rsidP="009C3D71">
            <w:pPr>
              <w:pStyle w:val="Header"/>
              <w:tabs>
                <w:tab w:val="left" w:pos="720"/>
              </w:tabs>
              <w:jc w:val="both"/>
              <w:rPr>
                <w:rFonts w:ascii="Calibri" w:hAnsi="Calibri"/>
                <w:szCs w:val="22"/>
              </w:rPr>
            </w:pPr>
            <w:r w:rsidRPr="00B805F1">
              <w:rPr>
                <w:rFonts w:ascii="Calibri" w:hAnsi="Calibri"/>
                <w:szCs w:val="22"/>
              </w:rPr>
              <w:t>The front exterior is the most important in contributing to the listed group value. The listing was made in 1954 and this refers to No. 10 having modern windows</w:t>
            </w:r>
            <w:r w:rsidR="00194178">
              <w:rPr>
                <w:rFonts w:ascii="Calibri" w:hAnsi="Calibri"/>
                <w:szCs w:val="22"/>
              </w:rPr>
              <w:t xml:space="preserve"> </w:t>
            </w:r>
            <w:r w:rsidRPr="00B805F1">
              <w:rPr>
                <w:rFonts w:ascii="Calibri" w:hAnsi="Calibri"/>
                <w:szCs w:val="22"/>
              </w:rPr>
              <w:t xml:space="preserve">this would suggest they aren’t </w:t>
            </w:r>
            <w:proofErr w:type="gramStart"/>
            <w:r w:rsidRPr="00B805F1">
              <w:rPr>
                <w:rFonts w:ascii="Calibri" w:hAnsi="Calibri"/>
                <w:szCs w:val="22"/>
              </w:rPr>
              <w:t>original</w:t>
            </w:r>
            <w:proofErr w:type="gramEnd"/>
            <w:r w:rsidRPr="00B805F1">
              <w:rPr>
                <w:rFonts w:ascii="Calibri" w:hAnsi="Calibri"/>
                <w:szCs w:val="22"/>
              </w:rPr>
              <w:t xml:space="preserve"> but they </w:t>
            </w:r>
            <w:r w:rsidRPr="00B805F1">
              <w:rPr>
                <w:rFonts w:ascii="Calibri" w:hAnsi="Calibri"/>
                <w:szCs w:val="22"/>
              </w:rPr>
              <w:lastRenderedPageBreak/>
              <w:t xml:space="preserve">do have some traditional properties including the single glazed element and slender profile.  </w:t>
            </w:r>
            <w:proofErr w:type="gramStart"/>
            <w:r>
              <w:rPr>
                <w:rFonts w:ascii="Calibri" w:hAnsi="Calibri"/>
                <w:szCs w:val="22"/>
              </w:rPr>
              <w:t>In light of</w:t>
            </w:r>
            <w:proofErr w:type="gramEnd"/>
            <w:r>
              <w:rPr>
                <w:rFonts w:ascii="Calibri" w:hAnsi="Calibri"/>
                <w:szCs w:val="22"/>
              </w:rPr>
              <w:t xml:space="preserve"> their </w:t>
            </w:r>
            <w:r w:rsidR="003B1B09">
              <w:rPr>
                <w:rFonts w:ascii="Calibri" w:hAnsi="Calibri"/>
                <w:szCs w:val="22"/>
              </w:rPr>
              <w:t>low</w:t>
            </w:r>
            <w:r>
              <w:rPr>
                <w:rFonts w:ascii="Calibri" w:hAnsi="Calibri"/>
                <w:szCs w:val="22"/>
              </w:rPr>
              <w:t xml:space="preserve"> historic </w:t>
            </w:r>
            <w:r w:rsidR="008F5AC6">
              <w:rPr>
                <w:rFonts w:ascii="Calibri" w:hAnsi="Calibri"/>
                <w:szCs w:val="22"/>
              </w:rPr>
              <w:t>value</w:t>
            </w:r>
            <w:r>
              <w:rPr>
                <w:rFonts w:ascii="Calibri" w:hAnsi="Calibri"/>
                <w:szCs w:val="22"/>
              </w:rPr>
              <w:t>, their replacement is considered acceptable in principle, and the proposed detail is considered appropriate and would conserve the significance of the designated heritage asset.</w:t>
            </w:r>
            <w:r w:rsidRPr="00B805F1">
              <w:rPr>
                <w:rFonts w:ascii="Calibri" w:hAnsi="Calibri"/>
                <w:szCs w:val="22"/>
              </w:rPr>
              <w:t xml:space="preserve"> </w:t>
            </w:r>
            <w:r>
              <w:rPr>
                <w:rFonts w:ascii="Calibri" w:hAnsi="Calibri"/>
                <w:szCs w:val="22"/>
              </w:rPr>
              <w:t>It is worth noting that the adjoining cottage which shares the listing has upvc windows</w:t>
            </w:r>
            <w:r w:rsidRPr="00B805F1">
              <w:rPr>
                <w:rFonts w:ascii="Calibri" w:hAnsi="Calibri"/>
                <w:szCs w:val="22"/>
              </w:rPr>
              <w:t xml:space="preserve">.  </w:t>
            </w:r>
            <w:r w:rsidR="004C68AB">
              <w:rPr>
                <w:rFonts w:ascii="Calibri" w:hAnsi="Calibri"/>
                <w:szCs w:val="22"/>
              </w:rPr>
              <w:t xml:space="preserve">Having regard to para 202 of the NPPPF, </w:t>
            </w:r>
            <w:r>
              <w:rPr>
                <w:rFonts w:ascii="Calibri" w:hAnsi="Calibri"/>
                <w:szCs w:val="22"/>
              </w:rPr>
              <w:t xml:space="preserve">whilst the </w:t>
            </w:r>
            <w:r w:rsidR="009022FB">
              <w:rPr>
                <w:rFonts w:ascii="Calibri" w:hAnsi="Calibri"/>
                <w:szCs w:val="22"/>
              </w:rPr>
              <w:t>loss of single glazed windows</w:t>
            </w:r>
            <w:r>
              <w:rPr>
                <w:rFonts w:ascii="Calibri" w:hAnsi="Calibri"/>
                <w:szCs w:val="22"/>
              </w:rPr>
              <w:t xml:space="preserve"> would</w:t>
            </w:r>
            <w:r w:rsidR="004C68AB">
              <w:rPr>
                <w:rFonts w:ascii="Calibri" w:hAnsi="Calibri"/>
                <w:szCs w:val="22"/>
              </w:rPr>
              <w:t xml:space="preserve"> result in slight harm </w:t>
            </w:r>
            <w:r w:rsidR="009022FB">
              <w:rPr>
                <w:rFonts w:ascii="Calibri" w:hAnsi="Calibri"/>
                <w:szCs w:val="22"/>
              </w:rPr>
              <w:t>this is</w:t>
            </w:r>
            <w:r w:rsidR="004C68AB">
              <w:rPr>
                <w:rFonts w:ascii="Calibri" w:hAnsi="Calibri"/>
                <w:szCs w:val="22"/>
              </w:rPr>
              <w:t xml:space="preserve"> outweighed by the public benefit of visual enhancement of property</w:t>
            </w:r>
            <w:r w:rsidR="009022FB">
              <w:rPr>
                <w:rFonts w:ascii="Calibri" w:hAnsi="Calibri"/>
                <w:szCs w:val="22"/>
              </w:rPr>
              <w:t xml:space="preserve"> </w:t>
            </w:r>
            <w:r w:rsidR="004C68AB">
              <w:rPr>
                <w:rFonts w:ascii="Calibri" w:hAnsi="Calibri"/>
                <w:szCs w:val="22"/>
              </w:rPr>
              <w:t xml:space="preserve">and </w:t>
            </w:r>
            <w:r w:rsidR="009022FB">
              <w:rPr>
                <w:rFonts w:ascii="Calibri" w:hAnsi="Calibri"/>
                <w:szCs w:val="22"/>
              </w:rPr>
              <w:t>local employment</w:t>
            </w:r>
            <w:r w:rsidR="004C68AB">
              <w:rPr>
                <w:rFonts w:ascii="Calibri" w:hAnsi="Calibri"/>
                <w:szCs w:val="22"/>
              </w:rPr>
              <w:t xml:space="preserve">. </w:t>
            </w:r>
          </w:p>
          <w:p w14:paraId="632BE018" w14:textId="3628561C" w:rsidR="0046548C" w:rsidRPr="00B8307F" w:rsidRDefault="0046548C" w:rsidP="00B8307F">
            <w:pPr>
              <w:pStyle w:val="Header"/>
              <w:jc w:val="both"/>
              <w:rPr>
                <w:rFonts w:ascii="Calibri" w:hAnsi="Calibri"/>
                <w:bCs/>
                <w:szCs w:val="22"/>
                <w:lang w:val="en-US"/>
              </w:rPr>
            </w:pPr>
          </w:p>
        </w:tc>
      </w:tr>
      <w:tr w:rsidR="00C0704D" w:rsidRPr="00D2449B" w14:paraId="617768FF"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7125AD" w14:textId="4E2F0025" w:rsidR="00F03B3F" w:rsidRDefault="004C68AB" w:rsidP="00F03B3F">
            <w:pPr>
              <w:contextualSpacing/>
              <w:jc w:val="both"/>
              <w:rPr>
                <w:rFonts w:ascii="Calibri" w:hAnsi="Calibri"/>
                <w:szCs w:val="22"/>
              </w:rPr>
            </w:pPr>
            <w:r>
              <w:rPr>
                <w:rFonts w:ascii="Calibri" w:hAnsi="Calibri"/>
                <w:szCs w:val="22"/>
              </w:rPr>
              <w:t>None identified</w:t>
            </w:r>
          </w:p>
          <w:p w14:paraId="0DB485A3" w14:textId="664D1E19" w:rsidR="00A43A57" w:rsidRPr="00C0704D" w:rsidRDefault="00A43A57" w:rsidP="00C0704D">
            <w:pPr>
              <w:contextualSpacing/>
              <w:rPr>
                <w:rFonts w:ascii="Calibri" w:hAnsi="Calibri"/>
                <w:szCs w:val="22"/>
              </w:rPr>
            </w:pPr>
          </w:p>
        </w:tc>
      </w:tr>
      <w:tr w:rsidR="00C0704D" w:rsidRPr="00D2449B" w14:paraId="6D877C31"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5000485"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6625FCC" w:rsidR="00C0704D" w:rsidRDefault="00C0704D" w:rsidP="00EA09F9">
            <w:pPr>
              <w:pStyle w:val="Header"/>
              <w:tabs>
                <w:tab w:val="clear" w:pos="4153"/>
                <w:tab w:val="clear" w:pos="8306"/>
              </w:tabs>
              <w:contextualSpacing/>
              <w:jc w:val="both"/>
              <w:rPr>
                <w:rFonts w:ascii="Calibri" w:hAnsi="Calibri"/>
                <w:b/>
                <w:szCs w:val="22"/>
              </w:rPr>
            </w:pPr>
          </w:p>
          <w:p w14:paraId="6701FF95" w14:textId="7A9808A7" w:rsidR="00320468" w:rsidRPr="005654A8" w:rsidRDefault="009022FB" w:rsidP="00EA09F9">
            <w:pPr>
              <w:pStyle w:val="Header"/>
              <w:tabs>
                <w:tab w:val="clear" w:pos="4153"/>
                <w:tab w:val="clear" w:pos="8306"/>
              </w:tabs>
              <w:contextualSpacing/>
              <w:jc w:val="both"/>
              <w:rPr>
                <w:rFonts w:ascii="Calibri" w:hAnsi="Calibri"/>
                <w:bCs/>
                <w:szCs w:val="22"/>
              </w:rPr>
            </w:pPr>
            <w:r>
              <w:rPr>
                <w:rFonts w:ascii="Calibri" w:hAnsi="Calibri"/>
                <w:bCs/>
                <w:szCs w:val="22"/>
              </w:rPr>
              <w:t>None identified</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CEABE54" w:rsidR="00C0704D" w:rsidRDefault="00BC11CF"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5494960C" w:rsidR="00C0704D" w:rsidRDefault="00C0704D" w:rsidP="00EA09F9">
            <w:pPr>
              <w:pStyle w:val="Header"/>
              <w:tabs>
                <w:tab w:val="clear" w:pos="4153"/>
                <w:tab w:val="clear" w:pos="8306"/>
              </w:tabs>
              <w:contextualSpacing/>
              <w:jc w:val="both"/>
              <w:rPr>
                <w:rFonts w:ascii="Calibri" w:hAnsi="Calibri"/>
                <w:b/>
                <w:szCs w:val="22"/>
              </w:rPr>
            </w:pPr>
          </w:p>
          <w:p w14:paraId="080C5EAC" w14:textId="227F4E2D" w:rsidR="005654A8" w:rsidRPr="005654A8" w:rsidRDefault="00B92F2A" w:rsidP="005654A8">
            <w:pPr>
              <w:pStyle w:val="Header"/>
              <w:tabs>
                <w:tab w:val="clear" w:pos="4153"/>
                <w:tab w:val="clear" w:pos="8306"/>
              </w:tabs>
              <w:contextualSpacing/>
              <w:jc w:val="both"/>
              <w:rPr>
                <w:rFonts w:ascii="Calibri" w:hAnsi="Calibri"/>
                <w:bCs/>
                <w:szCs w:val="22"/>
              </w:rPr>
            </w:pPr>
            <w:r>
              <w:rPr>
                <w:rFonts w:ascii="Calibri" w:hAnsi="Calibri"/>
                <w:bCs/>
                <w:szCs w:val="22"/>
              </w:rPr>
              <w:t>No impact.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EF44E6">
        <w:trPr>
          <w:jc w:val="center"/>
        </w:trPr>
        <w:tc>
          <w:tcPr>
            <w:tcW w:w="927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6E4BCB6" w14:textId="7FBCBCC8" w:rsidR="005654A8" w:rsidRDefault="005654A8" w:rsidP="00DD62F6">
            <w:pPr>
              <w:pStyle w:val="Header"/>
              <w:tabs>
                <w:tab w:val="clear" w:pos="4153"/>
                <w:tab w:val="clear" w:pos="8306"/>
              </w:tabs>
              <w:contextualSpacing/>
              <w:jc w:val="both"/>
              <w:rPr>
                <w:rFonts w:ascii="Calibri" w:hAnsi="Calibri"/>
                <w:bCs/>
                <w:szCs w:val="22"/>
              </w:rPr>
            </w:pPr>
          </w:p>
          <w:p w14:paraId="728B1AE1" w14:textId="1E9B0348" w:rsidR="00B92F2A" w:rsidRDefault="00B92F2A" w:rsidP="00B92F2A">
            <w:pPr>
              <w:jc w:val="both"/>
              <w:rPr>
                <w:rFonts w:ascii="Calibri" w:hAnsi="Calibri"/>
                <w:szCs w:val="22"/>
              </w:rPr>
            </w:pPr>
            <w:r>
              <w:rPr>
                <w:rFonts w:ascii="Calibri" w:hAnsi="Calibri"/>
                <w:szCs w:val="22"/>
              </w:rPr>
              <w:t>In giving considerable importance and weight to the duties at section 16</w:t>
            </w:r>
            <w:r w:rsidR="009022FB">
              <w:rPr>
                <w:rFonts w:ascii="Calibri" w:hAnsi="Calibri"/>
                <w:szCs w:val="22"/>
              </w:rPr>
              <w:t>,</w:t>
            </w:r>
            <w:r>
              <w:rPr>
                <w:rFonts w:ascii="Calibri" w:hAnsi="Calibri"/>
                <w:szCs w:val="22"/>
              </w:rPr>
              <w:t xml:space="preserve"> 66</w:t>
            </w:r>
            <w:r w:rsidR="009022FB">
              <w:rPr>
                <w:rFonts w:ascii="Calibri" w:hAnsi="Calibri"/>
                <w:szCs w:val="22"/>
              </w:rPr>
              <w:t xml:space="preserve"> and 72</w:t>
            </w:r>
            <w:r>
              <w:rPr>
                <w:rFonts w:ascii="Calibri" w:hAnsi="Calibri"/>
                <w:szCs w:val="22"/>
              </w:rPr>
              <w:t xml:space="preserve"> of the Planning (Listed Buildings and Conservation Areas) Act 1990 and in consideration to NPPF and Key Statement EN5 and Policies DME4 and DMG1 of the Ribble Valley Core Strategy it is recommended that</w:t>
            </w:r>
            <w:r>
              <w:rPr>
                <w:rFonts w:ascii="Calibri" w:hAnsi="Calibri"/>
                <w:bCs/>
                <w:szCs w:val="22"/>
              </w:rPr>
              <w:t xml:space="preserve"> </w:t>
            </w:r>
            <w:r w:rsidR="009022FB">
              <w:rPr>
                <w:rFonts w:ascii="Calibri" w:hAnsi="Calibri"/>
                <w:bCs/>
                <w:szCs w:val="22"/>
              </w:rPr>
              <w:t>listed building consent</w:t>
            </w:r>
            <w:r>
              <w:rPr>
                <w:rFonts w:ascii="Calibri" w:hAnsi="Calibri"/>
                <w:bCs/>
                <w:szCs w:val="22"/>
              </w:rPr>
              <w:t xml:space="preserve"> be granted</w:t>
            </w:r>
            <w:r w:rsidR="004C68AB">
              <w:rPr>
                <w:rFonts w:ascii="Calibri" w:hAnsi="Calibri"/>
                <w:bCs/>
                <w:szCs w:val="22"/>
              </w:rPr>
              <w:t xml:space="preserve"> subject to conditions</w:t>
            </w:r>
            <w:r>
              <w:rPr>
                <w:rFonts w:ascii="Calibri" w:hAnsi="Calibri"/>
                <w:szCs w:val="22"/>
              </w:rPr>
              <w:t>.</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58074B7" w:rsidR="00C0704D" w:rsidRPr="00D2449B" w:rsidRDefault="00AB58DC" w:rsidP="00CD2CEF">
            <w:pPr>
              <w:rPr>
                <w:rFonts w:ascii="Calibri" w:hAnsi="Calibri"/>
                <w:bCs/>
                <w:szCs w:val="22"/>
              </w:rPr>
            </w:pPr>
            <w:r w:rsidRPr="00144E3C">
              <w:rPr>
                <w:rFonts w:ascii="Calibri" w:hAnsi="Calibri"/>
                <w:bCs/>
                <w:szCs w:val="22"/>
              </w:rPr>
              <w:t xml:space="preserve">To </w:t>
            </w:r>
            <w:r w:rsidR="009022FB">
              <w:rPr>
                <w:rFonts w:ascii="Calibri" w:hAnsi="Calibri"/>
                <w:bCs/>
                <w:szCs w:val="22"/>
              </w:rPr>
              <w:t>grant listed building consent</w:t>
            </w:r>
            <w:r w:rsidRPr="00144E3C">
              <w:rPr>
                <w:rFonts w:ascii="Calibri" w:hAnsi="Calibri"/>
                <w:bCs/>
                <w:szCs w:val="22"/>
              </w:rPr>
              <w:t>.</w:t>
            </w:r>
          </w:p>
        </w:tc>
      </w:tr>
    </w:tbl>
    <w:p w14:paraId="513FB541" w14:textId="77777777" w:rsidR="0031197A" w:rsidRPr="00D2449B" w:rsidRDefault="00820F7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03D"/>
    <w:rsid w:val="000B5CB5"/>
    <w:rsid w:val="00130035"/>
    <w:rsid w:val="00131E7C"/>
    <w:rsid w:val="00142B0E"/>
    <w:rsid w:val="00166153"/>
    <w:rsid w:val="0017562F"/>
    <w:rsid w:val="00182234"/>
    <w:rsid w:val="00194178"/>
    <w:rsid w:val="001A15EE"/>
    <w:rsid w:val="001C46F8"/>
    <w:rsid w:val="001D1BBE"/>
    <w:rsid w:val="001D4F7A"/>
    <w:rsid w:val="00250879"/>
    <w:rsid w:val="0029334A"/>
    <w:rsid w:val="002936F6"/>
    <w:rsid w:val="002A01CF"/>
    <w:rsid w:val="002C6277"/>
    <w:rsid w:val="002D038C"/>
    <w:rsid w:val="002F2580"/>
    <w:rsid w:val="00320468"/>
    <w:rsid w:val="00321B6E"/>
    <w:rsid w:val="0033264D"/>
    <w:rsid w:val="0033449A"/>
    <w:rsid w:val="00350874"/>
    <w:rsid w:val="003B1B09"/>
    <w:rsid w:val="003C2B2D"/>
    <w:rsid w:val="003F3B5B"/>
    <w:rsid w:val="00440CB6"/>
    <w:rsid w:val="00442A39"/>
    <w:rsid w:val="00452633"/>
    <w:rsid w:val="0046548C"/>
    <w:rsid w:val="004947BB"/>
    <w:rsid w:val="00496EBA"/>
    <w:rsid w:val="004A5EA9"/>
    <w:rsid w:val="004B081C"/>
    <w:rsid w:val="004C2434"/>
    <w:rsid w:val="004C68AB"/>
    <w:rsid w:val="004F0649"/>
    <w:rsid w:val="00510FA2"/>
    <w:rsid w:val="005129D0"/>
    <w:rsid w:val="00556ECD"/>
    <w:rsid w:val="005654A8"/>
    <w:rsid w:val="00593B73"/>
    <w:rsid w:val="005B6E24"/>
    <w:rsid w:val="005E1C6C"/>
    <w:rsid w:val="005E65DF"/>
    <w:rsid w:val="00670A9D"/>
    <w:rsid w:val="00692B60"/>
    <w:rsid w:val="006A71AD"/>
    <w:rsid w:val="006B1EA0"/>
    <w:rsid w:val="006C2BFA"/>
    <w:rsid w:val="006C32B6"/>
    <w:rsid w:val="006F6849"/>
    <w:rsid w:val="0070054B"/>
    <w:rsid w:val="007461AE"/>
    <w:rsid w:val="00776AE2"/>
    <w:rsid w:val="007C791C"/>
    <w:rsid w:val="007D7DF4"/>
    <w:rsid w:val="007E0D23"/>
    <w:rsid w:val="007F16D6"/>
    <w:rsid w:val="007F2BC0"/>
    <w:rsid w:val="00811771"/>
    <w:rsid w:val="00820F70"/>
    <w:rsid w:val="008542DE"/>
    <w:rsid w:val="008652AA"/>
    <w:rsid w:val="008A28C8"/>
    <w:rsid w:val="008B48C9"/>
    <w:rsid w:val="008C0B83"/>
    <w:rsid w:val="008E49D6"/>
    <w:rsid w:val="008F5AC6"/>
    <w:rsid w:val="009022FB"/>
    <w:rsid w:val="00951F07"/>
    <w:rsid w:val="009605C4"/>
    <w:rsid w:val="009C3D71"/>
    <w:rsid w:val="00A40973"/>
    <w:rsid w:val="00A42E82"/>
    <w:rsid w:val="00A43A57"/>
    <w:rsid w:val="00A579BB"/>
    <w:rsid w:val="00A63D55"/>
    <w:rsid w:val="00A83092"/>
    <w:rsid w:val="00A95D89"/>
    <w:rsid w:val="00AB58DC"/>
    <w:rsid w:val="00AE0C0C"/>
    <w:rsid w:val="00B617B9"/>
    <w:rsid w:val="00B74188"/>
    <w:rsid w:val="00B805F1"/>
    <w:rsid w:val="00B8307F"/>
    <w:rsid w:val="00B92F2A"/>
    <w:rsid w:val="00B93EB5"/>
    <w:rsid w:val="00BB024E"/>
    <w:rsid w:val="00BC11CF"/>
    <w:rsid w:val="00BC35CE"/>
    <w:rsid w:val="00BD3F03"/>
    <w:rsid w:val="00BF18B5"/>
    <w:rsid w:val="00C0704D"/>
    <w:rsid w:val="00C17932"/>
    <w:rsid w:val="00C25722"/>
    <w:rsid w:val="00C618DB"/>
    <w:rsid w:val="00D11007"/>
    <w:rsid w:val="00D17EB1"/>
    <w:rsid w:val="00D2449B"/>
    <w:rsid w:val="00D54E67"/>
    <w:rsid w:val="00D75581"/>
    <w:rsid w:val="00DD62F6"/>
    <w:rsid w:val="00E432C1"/>
    <w:rsid w:val="00E46243"/>
    <w:rsid w:val="00E66534"/>
    <w:rsid w:val="00E72F6C"/>
    <w:rsid w:val="00E8621F"/>
    <w:rsid w:val="00EA09F9"/>
    <w:rsid w:val="00EC23C7"/>
    <w:rsid w:val="00ED00B7"/>
    <w:rsid w:val="00EF44E6"/>
    <w:rsid w:val="00F03B3F"/>
    <w:rsid w:val="00F901C9"/>
    <w:rsid w:val="00FB16D9"/>
    <w:rsid w:val="00FB7C8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B7C8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53">
      <w:bodyDiv w:val="1"/>
      <w:marLeft w:val="0"/>
      <w:marRight w:val="0"/>
      <w:marTop w:val="0"/>
      <w:marBottom w:val="0"/>
      <w:divBdr>
        <w:top w:val="none" w:sz="0" w:space="0" w:color="auto"/>
        <w:left w:val="none" w:sz="0" w:space="0" w:color="auto"/>
        <w:bottom w:val="none" w:sz="0" w:space="0" w:color="auto"/>
        <w:right w:val="none" w:sz="0" w:space="0" w:color="auto"/>
      </w:divBdr>
    </w:div>
    <w:div w:id="753816678">
      <w:bodyDiv w:val="1"/>
      <w:marLeft w:val="0"/>
      <w:marRight w:val="0"/>
      <w:marTop w:val="0"/>
      <w:marBottom w:val="0"/>
      <w:divBdr>
        <w:top w:val="none" w:sz="0" w:space="0" w:color="auto"/>
        <w:left w:val="none" w:sz="0" w:space="0" w:color="auto"/>
        <w:bottom w:val="none" w:sz="0" w:space="0" w:color="auto"/>
        <w:right w:val="none" w:sz="0" w:space="0" w:color="auto"/>
      </w:divBdr>
    </w:div>
    <w:div w:id="1571039391">
      <w:bodyDiv w:val="1"/>
      <w:marLeft w:val="0"/>
      <w:marRight w:val="0"/>
      <w:marTop w:val="0"/>
      <w:marBottom w:val="0"/>
      <w:divBdr>
        <w:top w:val="none" w:sz="0" w:space="0" w:color="auto"/>
        <w:left w:val="none" w:sz="0" w:space="0" w:color="auto"/>
        <w:bottom w:val="none" w:sz="0" w:space="0" w:color="auto"/>
        <w:right w:val="none" w:sz="0" w:space="0" w:color="auto"/>
      </w:divBdr>
    </w:div>
    <w:div w:id="1630697089">
      <w:bodyDiv w:val="1"/>
      <w:marLeft w:val="0"/>
      <w:marRight w:val="0"/>
      <w:marTop w:val="0"/>
      <w:marBottom w:val="0"/>
      <w:divBdr>
        <w:top w:val="none" w:sz="0" w:space="0" w:color="auto"/>
        <w:left w:val="none" w:sz="0" w:space="0" w:color="auto"/>
        <w:bottom w:val="none" w:sz="0" w:space="0" w:color="auto"/>
        <w:right w:val="none" w:sz="0" w:space="0" w:color="auto"/>
      </w:divBdr>
    </w:div>
    <w:div w:id="17032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2022-12-20T12:06:00Z</cp:lastPrinted>
  <dcterms:created xsi:type="dcterms:W3CDTF">2022-12-20T12:07:00Z</dcterms:created>
  <dcterms:modified xsi:type="dcterms:W3CDTF">2022-12-20T12:07:00Z</dcterms:modified>
</cp:coreProperties>
</file>