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2CDD"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5463C34" w14:textId="77777777">
        <w:trPr>
          <w:cantSplit/>
        </w:trPr>
        <w:tc>
          <w:tcPr>
            <w:tcW w:w="6983" w:type="dxa"/>
            <w:gridSpan w:val="4"/>
          </w:tcPr>
          <w:p w14:paraId="06F8FE78"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946EF74" w14:textId="77777777" w:rsidR="002F3ADA" w:rsidRPr="00DD62CA" w:rsidRDefault="002F3ADA">
            <w:pPr>
              <w:rPr>
                <w:rFonts w:ascii="Calibri" w:hAnsi="Calibri"/>
                <w:sz w:val="24"/>
                <w:szCs w:val="24"/>
              </w:rPr>
            </w:pPr>
          </w:p>
        </w:tc>
        <w:tc>
          <w:tcPr>
            <w:tcW w:w="1713" w:type="dxa"/>
          </w:tcPr>
          <w:p w14:paraId="515CEEE9" w14:textId="77777777" w:rsidR="002F3ADA" w:rsidRPr="00DD62CA" w:rsidRDefault="002F3ADA">
            <w:pPr>
              <w:rPr>
                <w:rFonts w:ascii="Calibri" w:hAnsi="Calibri"/>
                <w:sz w:val="24"/>
                <w:szCs w:val="24"/>
              </w:rPr>
            </w:pPr>
          </w:p>
        </w:tc>
      </w:tr>
      <w:tr w:rsidR="002F3ADA" w:rsidRPr="00DD62CA" w14:paraId="771D9946" w14:textId="77777777">
        <w:trPr>
          <w:cantSplit/>
        </w:trPr>
        <w:tc>
          <w:tcPr>
            <w:tcW w:w="4123" w:type="dxa"/>
            <w:gridSpan w:val="2"/>
          </w:tcPr>
          <w:p w14:paraId="228095B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9FD87CB" w14:textId="77777777" w:rsidR="002F3ADA" w:rsidRPr="00DD62CA" w:rsidRDefault="002F3ADA">
            <w:pPr>
              <w:rPr>
                <w:rFonts w:ascii="Calibri" w:hAnsi="Calibri"/>
                <w:sz w:val="24"/>
                <w:szCs w:val="24"/>
              </w:rPr>
            </w:pPr>
          </w:p>
        </w:tc>
        <w:tc>
          <w:tcPr>
            <w:tcW w:w="1404" w:type="dxa"/>
          </w:tcPr>
          <w:p w14:paraId="4E4F548E" w14:textId="77777777" w:rsidR="002F3ADA" w:rsidRPr="00DD62CA" w:rsidRDefault="002F3ADA">
            <w:pPr>
              <w:rPr>
                <w:rFonts w:ascii="Calibri" w:hAnsi="Calibri"/>
                <w:sz w:val="24"/>
                <w:szCs w:val="24"/>
              </w:rPr>
            </w:pPr>
          </w:p>
        </w:tc>
        <w:tc>
          <w:tcPr>
            <w:tcW w:w="1713" w:type="dxa"/>
          </w:tcPr>
          <w:p w14:paraId="546BB54F" w14:textId="77777777" w:rsidR="002F3ADA" w:rsidRPr="00DD62CA" w:rsidRDefault="002F3ADA">
            <w:pPr>
              <w:rPr>
                <w:rFonts w:ascii="Calibri" w:hAnsi="Calibri"/>
                <w:sz w:val="24"/>
                <w:szCs w:val="24"/>
              </w:rPr>
            </w:pPr>
          </w:p>
        </w:tc>
        <w:tc>
          <w:tcPr>
            <w:tcW w:w="1713" w:type="dxa"/>
          </w:tcPr>
          <w:p w14:paraId="43177CDA" w14:textId="77777777" w:rsidR="002F3ADA" w:rsidRPr="00DD62CA" w:rsidRDefault="002F3ADA">
            <w:pPr>
              <w:rPr>
                <w:rFonts w:ascii="Calibri" w:hAnsi="Calibri"/>
                <w:sz w:val="24"/>
                <w:szCs w:val="24"/>
              </w:rPr>
            </w:pPr>
          </w:p>
        </w:tc>
      </w:tr>
      <w:tr w:rsidR="00C00AD7" w:rsidRPr="00DD62CA" w14:paraId="1B8EE0CA" w14:textId="77777777" w:rsidTr="00111C12">
        <w:trPr>
          <w:cantSplit/>
        </w:trPr>
        <w:tc>
          <w:tcPr>
            <w:tcW w:w="6983" w:type="dxa"/>
            <w:gridSpan w:val="4"/>
          </w:tcPr>
          <w:p w14:paraId="458E09B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51791E9" w14:textId="77777777" w:rsidR="00C00AD7" w:rsidRPr="00DD62CA" w:rsidRDefault="00C00AD7">
            <w:pPr>
              <w:rPr>
                <w:rFonts w:ascii="Calibri" w:hAnsi="Calibri"/>
                <w:sz w:val="24"/>
                <w:szCs w:val="24"/>
              </w:rPr>
            </w:pPr>
          </w:p>
        </w:tc>
        <w:tc>
          <w:tcPr>
            <w:tcW w:w="1713" w:type="dxa"/>
          </w:tcPr>
          <w:p w14:paraId="24458F15" w14:textId="77777777" w:rsidR="00C00AD7" w:rsidRPr="00DD62CA" w:rsidRDefault="00C00AD7">
            <w:pPr>
              <w:rPr>
                <w:rFonts w:ascii="Calibri" w:hAnsi="Calibri"/>
                <w:sz w:val="24"/>
                <w:szCs w:val="24"/>
              </w:rPr>
            </w:pPr>
          </w:p>
        </w:tc>
      </w:tr>
      <w:tr w:rsidR="00C00AD7" w:rsidRPr="00DD62CA" w14:paraId="7BF3C816" w14:textId="77777777" w:rsidTr="00111C12">
        <w:trPr>
          <w:cantSplit/>
        </w:trPr>
        <w:tc>
          <w:tcPr>
            <w:tcW w:w="8696" w:type="dxa"/>
            <w:gridSpan w:val="5"/>
            <w:tcBorders>
              <w:bottom w:val="single" w:sz="6" w:space="0" w:color="auto"/>
            </w:tcBorders>
          </w:tcPr>
          <w:p w14:paraId="535255C9"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8B1E6E6" w14:textId="77777777" w:rsidR="00C00AD7" w:rsidRPr="00DD62CA" w:rsidRDefault="00C00AD7">
            <w:pPr>
              <w:rPr>
                <w:rFonts w:ascii="Calibri" w:hAnsi="Calibri"/>
                <w:sz w:val="24"/>
                <w:szCs w:val="24"/>
              </w:rPr>
            </w:pPr>
          </w:p>
        </w:tc>
      </w:tr>
      <w:tr w:rsidR="00C00AD7" w:rsidRPr="00DD62CA" w14:paraId="69501949" w14:textId="77777777" w:rsidTr="00111C12">
        <w:trPr>
          <w:cantSplit/>
        </w:trPr>
        <w:tc>
          <w:tcPr>
            <w:tcW w:w="5579" w:type="dxa"/>
            <w:gridSpan w:val="3"/>
          </w:tcPr>
          <w:p w14:paraId="524FFF9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20CE040" w14:textId="77777777" w:rsidR="00C00AD7" w:rsidRPr="00DD62CA" w:rsidRDefault="00C00AD7">
            <w:pPr>
              <w:rPr>
                <w:rFonts w:ascii="Calibri" w:hAnsi="Calibri"/>
                <w:sz w:val="24"/>
                <w:szCs w:val="24"/>
              </w:rPr>
            </w:pPr>
          </w:p>
        </w:tc>
        <w:tc>
          <w:tcPr>
            <w:tcW w:w="1713" w:type="dxa"/>
          </w:tcPr>
          <w:p w14:paraId="2303F163" w14:textId="77777777" w:rsidR="00C00AD7" w:rsidRPr="00DD62CA" w:rsidRDefault="00C00AD7">
            <w:pPr>
              <w:rPr>
                <w:rFonts w:ascii="Calibri" w:hAnsi="Calibri"/>
                <w:sz w:val="24"/>
                <w:szCs w:val="24"/>
              </w:rPr>
            </w:pPr>
          </w:p>
        </w:tc>
      </w:tr>
      <w:tr w:rsidR="002F3ADA" w:rsidRPr="00DD62CA" w14:paraId="780A5070" w14:textId="77777777">
        <w:trPr>
          <w:cantSplit/>
        </w:trPr>
        <w:tc>
          <w:tcPr>
            <w:tcW w:w="10409" w:type="dxa"/>
            <w:gridSpan w:val="6"/>
          </w:tcPr>
          <w:p w14:paraId="40E6F9C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039D854" w14:textId="77777777">
        <w:trPr>
          <w:cantSplit/>
        </w:trPr>
        <w:tc>
          <w:tcPr>
            <w:tcW w:w="2410" w:type="dxa"/>
          </w:tcPr>
          <w:p w14:paraId="3EBCDB8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E3E101F" w14:textId="1999DFE1" w:rsidR="002F3ADA" w:rsidRPr="00DD62CA" w:rsidRDefault="00EE3330">
            <w:pPr>
              <w:pStyle w:val="addresses"/>
              <w:rPr>
                <w:rFonts w:ascii="Calibri" w:hAnsi="Calibri"/>
                <w:sz w:val="24"/>
                <w:szCs w:val="24"/>
              </w:rPr>
            </w:pPr>
            <w:r>
              <w:rPr>
                <w:rFonts w:ascii="Calibri" w:hAnsi="Calibri"/>
                <w:sz w:val="24"/>
                <w:szCs w:val="24"/>
              </w:rPr>
              <w:t>3/2022/0966</w:t>
            </w:r>
          </w:p>
        </w:tc>
        <w:tc>
          <w:tcPr>
            <w:tcW w:w="1404" w:type="dxa"/>
          </w:tcPr>
          <w:p w14:paraId="5DFD65CD" w14:textId="77777777" w:rsidR="002F3ADA" w:rsidRPr="00DD62CA" w:rsidRDefault="002F3ADA">
            <w:pPr>
              <w:rPr>
                <w:rFonts w:ascii="Calibri" w:hAnsi="Calibri"/>
                <w:sz w:val="24"/>
                <w:szCs w:val="24"/>
              </w:rPr>
            </w:pPr>
          </w:p>
        </w:tc>
        <w:tc>
          <w:tcPr>
            <w:tcW w:w="1713" w:type="dxa"/>
          </w:tcPr>
          <w:p w14:paraId="5D376314" w14:textId="77777777" w:rsidR="002F3ADA" w:rsidRPr="00DD62CA" w:rsidRDefault="002F3ADA">
            <w:pPr>
              <w:rPr>
                <w:rFonts w:ascii="Calibri" w:hAnsi="Calibri"/>
                <w:sz w:val="24"/>
                <w:szCs w:val="24"/>
              </w:rPr>
            </w:pPr>
          </w:p>
        </w:tc>
        <w:tc>
          <w:tcPr>
            <w:tcW w:w="1713" w:type="dxa"/>
          </w:tcPr>
          <w:p w14:paraId="30E0EEE7" w14:textId="77777777" w:rsidR="002F3ADA" w:rsidRPr="00DD62CA" w:rsidRDefault="002F3ADA">
            <w:pPr>
              <w:rPr>
                <w:rFonts w:ascii="Calibri" w:hAnsi="Calibri"/>
                <w:sz w:val="24"/>
                <w:szCs w:val="24"/>
              </w:rPr>
            </w:pPr>
          </w:p>
        </w:tc>
      </w:tr>
      <w:tr w:rsidR="002F3ADA" w:rsidRPr="00DD62CA" w14:paraId="22B6AC51" w14:textId="77777777">
        <w:trPr>
          <w:cantSplit/>
        </w:trPr>
        <w:tc>
          <w:tcPr>
            <w:tcW w:w="2410" w:type="dxa"/>
          </w:tcPr>
          <w:p w14:paraId="062CE22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2EC2778" w14:textId="7D181A1A" w:rsidR="002F3ADA" w:rsidRPr="00DD62CA" w:rsidRDefault="0067668D">
            <w:pPr>
              <w:rPr>
                <w:rFonts w:ascii="Calibri" w:hAnsi="Calibri"/>
                <w:sz w:val="24"/>
                <w:szCs w:val="24"/>
              </w:rPr>
            </w:pPr>
            <w:r>
              <w:rPr>
                <w:rFonts w:ascii="Calibri" w:hAnsi="Calibri"/>
                <w:sz w:val="24"/>
                <w:szCs w:val="24"/>
              </w:rPr>
              <w:t>9 August 2024</w:t>
            </w:r>
          </w:p>
        </w:tc>
        <w:tc>
          <w:tcPr>
            <w:tcW w:w="1404" w:type="dxa"/>
          </w:tcPr>
          <w:p w14:paraId="38B2D666" w14:textId="77777777" w:rsidR="002F3ADA" w:rsidRPr="00DD62CA" w:rsidRDefault="002F3ADA">
            <w:pPr>
              <w:rPr>
                <w:rFonts w:ascii="Calibri" w:hAnsi="Calibri"/>
                <w:sz w:val="24"/>
                <w:szCs w:val="24"/>
              </w:rPr>
            </w:pPr>
          </w:p>
        </w:tc>
        <w:tc>
          <w:tcPr>
            <w:tcW w:w="1713" w:type="dxa"/>
          </w:tcPr>
          <w:p w14:paraId="3FD7DC8D" w14:textId="77777777" w:rsidR="002F3ADA" w:rsidRPr="00DD62CA" w:rsidRDefault="002F3ADA">
            <w:pPr>
              <w:rPr>
                <w:rFonts w:ascii="Calibri" w:hAnsi="Calibri"/>
                <w:sz w:val="24"/>
                <w:szCs w:val="24"/>
              </w:rPr>
            </w:pPr>
          </w:p>
        </w:tc>
        <w:tc>
          <w:tcPr>
            <w:tcW w:w="1713" w:type="dxa"/>
          </w:tcPr>
          <w:p w14:paraId="5734E15E" w14:textId="77777777" w:rsidR="002F3ADA" w:rsidRPr="00DD62CA" w:rsidRDefault="002F3ADA">
            <w:pPr>
              <w:rPr>
                <w:rFonts w:ascii="Calibri" w:hAnsi="Calibri"/>
                <w:sz w:val="24"/>
                <w:szCs w:val="24"/>
              </w:rPr>
            </w:pPr>
          </w:p>
        </w:tc>
      </w:tr>
      <w:tr w:rsidR="002F3ADA" w:rsidRPr="00DD62CA" w14:paraId="23EDBB91" w14:textId="77777777">
        <w:trPr>
          <w:cantSplit/>
        </w:trPr>
        <w:tc>
          <w:tcPr>
            <w:tcW w:w="2410" w:type="dxa"/>
          </w:tcPr>
          <w:p w14:paraId="54FD58B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6426F81" w14:textId="51D89225" w:rsidR="002F3ADA" w:rsidRPr="00DD62CA" w:rsidRDefault="00EE3330">
            <w:pPr>
              <w:rPr>
                <w:rFonts w:ascii="Calibri" w:hAnsi="Calibri"/>
                <w:sz w:val="24"/>
                <w:szCs w:val="24"/>
              </w:rPr>
            </w:pPr>
            <w:r>
              <w:rPr>
                <w:rFonts w:ascii="Calibri" w:hAnsi="Calibri"/>
                <w:sz w:val="24"/>
                <w:szCs w:val="24"/>
              </w:rPr>
              <w:t>10/11/2022</w:t>
            </w:r>
          </w:p>
        </w:tc>
        <w:tc>
          <w:tcPr>
            <w:tcW w:w="1404" w:type="dxa"/>
          </w:tcPr>
          <w:p w14:paraId="0DBC72B8" w14:textId="77777777" w:rsidR="002F3ADA" w:rsidRPr="00DD62CA" w:rsidRDefault="002F3ADA">
            <w:pPr>
              <w:rPr>
                <w:rFonts w:ascii="Calibri" w:hAnsi="Calibri"/>
                <w:sz w:val="24"/>
                <w:szCs w:val="24"/>
              </w:rPr>
            </w:pPr>
          </w:p>
        </w:tc>
        <w:tc>
          <w:tcPr>
            <w:tcW w:w="1713" w:type="dxa"/>
          </w:tcPr>
          <w:p w14:paraId="1189C1EE" w14:textId="77777777" w:rsidR="002F3ADA" w:rsidRPr="00DD62CA" w:rsidRDefault="002F3ADA">
            <w:pPr>
              <w:rPr>
                <w:rFonts w:ascii="Calibri" w:hAnsi="Calibri"/>
                <w:sz w:val="24"/>
                <w:szCs w:val="24"/>
              </w:rPr>
            </w:pPr>
          </w:p>
        </w:tc>
        <w:tc>
          <w:tcPr>
            <w:tcW w:w="1713" w:type="dxa"/>
          </w:tcPr>
          <w:p w14:paraId="6CE18D11" w14:textId="77777777" w:rsidR="002F3ADA" w:rsidRPr="00DD62CA" w:rsidRDefault="002F3ADA">
            <w:pPr>
              <w:rPr>
                <w:rFonts w:ascii="Calibri" w:hAnsi="Calibri"/>
                <w:sz w:val="24"/>
                <w:szCs w:val="24"/>
              </w:rPr>
            </w:pPr>
          </w:p>
        </w:tc>
      </w:tr>
      <w:tr w:rsidR="002F3ADA" w:rsidRPr="00DD62CA" w14:paraId="5093F35B" w14:textId="77777777">
        <w:trPr>
          <w:cantSplit/>
        </w:trPr>
        <w:tc>
          <w:tcPr>
            <w:tcW w:w="10409" w:type="dxa"/>
            <w:gridSpan w:val="6"/>
          </w:tcPr>
          <w:p w14:paraId="72415CD9" w14:textId="77777777" w:rsidR="002F3ADA" w:rsidRPr="00DD62CA" w:rsidRDefault="002F3ADA">
            <w:pPr>
              <w:rPr>
                <w:rFonts w:ascii="Calibri" w:hAnsi="Calibri"/>
                <w:sz w:val="24"/>
                <w:szCs w:val="24"/>
              </w:rPr>
            </w:pPr>
          </w:p>
        </w:tc>
      </w:tr>
      <w:tr w:rsidR="002F3ADA" w:rsidRPr="00DD62CA" w14:paraId="20042B12" w14:textId="77777777" w:rsidTr="00F92BEF">
        <w:trPr>
          <w:cantSplit/>
        </w:trPr>
        <w:tc>
          <w:tcPr>
            <w:tcW w:w="2410" w:type="dxa"/>
          </w:tcPr>
          <w:p w14:paraId="56EBD41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034044B" w14:textId="77777777" w:rsidR="002F3ADA" w:rsidRPr="00DD62CA" w:rsidRDefault="002F3ADA">
            <w:pPr>
              <w:rPr>
                <w:rFonts w:ascii="Calibri" w:hAnsi="Calibri"/>
                <w:sz w:val="24"/>
                <w:szCs w:val="24"/>
              </w:rPr>
            </w:pPr>
          </w:p>
        </w:tc>
        <w:tc>
          <w:tcPr>
            <w:tcW w:w="1456" w:type="dxa"/>
          </w:tcPr>
          <w:p w14:paraId="569582D8" w14:textId="77777777" w:rsidR="002F3ADA" w:rsidRPr="00DD62CA" w:rsidRDefault="002F3ADA">
            <w:pPr>
              <w:rPr>
                <w:rFonts w:ascii="Calibri" w:hAnsi="Calibri"/>
                <w:sz w:val="24"/>
                <w:szCs w:val="24"/>
              </w:rPr>
            </w:pPr>
          </w:p>
        </w:tc>
        <w:tc>
          <w:tcPr>
            <w:tcW w:w="1404" w:type="dxa"/>
          </w:tcPr>
          <w:p w14:paraId="40C96AE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A167F2E" w14:textId="77777777" w:rsidR="002F3ADA" w:rsidRPr="00DD62CA" w:rsidRDefault="002F3ADA">
            <w:pPr>
              <w:rPr>
                <w:rFonts w:ascii="Calibri" w:hAnsi="Calibri"/>
                <w:sz w:val="24"/>
                <w:szCs w:val="24"/>
              </w:rPr>
            </w:pPr>
          </w:p>
        </w:tc>
        <w:tc>
          <w:tcPr>
            <w:tcW w:w="1713" w:type="dxa"/>
          </w:tcPr>
          <w:p w14:paraId="1C19ACBA" w14:textId="77777777" w:rsidR="002F3ADA" w:rsidRPr="00DD62CA" w:rsidRDefault="002F3ADA">
            <w:pPr>
              <w:rPr>
                <w:rFonts w:ascii="Calibri" w:hAnsi="Calibri"/>
                <w:sz w:val="24"/>
                <w:szCs w:val="24"/>
              </w:rPr>
            </w:pPr>
          </w:p>
        </w:tc>
      </w:tr>
      <w:tr w:rsidR="002F3ADA" w:rsidRPr="00DD62CA" w14:paraId="442E135C" w14:textId="77777777" w:rsidTr="00F92BEF">
        <w:trPr>
          <w:cantSplit/>
        </w:trPr>
        <w:tc>
          <w:tcPr>
            <w:tcW w:w="4123" w:type="dxa"/>
            <w:gridSpan w:val="2"/>
            <w:vMerge w:val="restart"/>
          </w:tcPr>
          <w:p w14:paraId="08F2EC68" w14:textId="7C6B68AF" w:rsidR="00441F1F" w:rsidRDefault="00EE3330">
            <w:pPr>
              <w:rPr>
                <w:rFonts w:ascii="Calibri" w:hAnsi="Calibri"/>
                <w:sz w:val="24"/>
                <w:szCs w:val="24"/>
              </w:rPr>
            </w:pPr>
            <w:bookmarkStart w:id="0" w:name="ApplicantName"/>
            <w:r>
              <w:rPr>
                <w:rFonts w:ascii="Calibri" w:hAnsi="Calibri"/>
                <w:sz w:val="24"/>
                <w:szCs w:val="24"/>
              </w:rPr>
              <w:t>Pringle Homes</w:t>
            </w:r>
          </w:p>
          <w:bookmarkEnd w:id="0"/>
          <w:p w14:paraId="6A6412AB" w14:textId="5DDAAE2D" w:rsidR="002F3ADA" w:rsidRPr="00DD62CA" w:rsidRDefault="00EE3330">
            <w:pPr>
              <w:rPr>
                <w:rFonts w:ascii="Calibri" w:hAnsi="Calibri"/>
                <w:sz w:val="24"/>
                <w:szCs w:val="24"/>
              </w:rPr>
            </w:pPr>
            <w:r>
              <w:rPr>
                <w:rFonts w:ascii="Calibri" w:hAnsi="Calibri"/>
                <w:sz w:val="24"/>
                <w:szCs w:val="24"/>
              </w:rPr>
              <w:t>c/o Agent</w:t>
            </w:r>
          </w:p>
        </w:tc>
        <w:tc>
          <w:tcPr>
            <w:tcW w:w="1456" w:type="dxa"/>
            <w:tcBorders>
              <w:left w:val="nil"/>
            </w:tcBorders>
          </w:tcPr>
          <w:p w14:paraId="1C2D0F80"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9FEFA2F" w14:textId="2958D5E8" w:rsidR="00441F1F" w:rsidRDefault="00EE3330">
            <w:pPr>
              <w:pStyle w:val="addresses"/>
              <w:rPr>
                <w:rFonts w:ascii="Calibri" w:hAnsi="Calibri"/>
                <w:sz w:val="24"/>
                <w:szCs w:val="24"/>
              </w:rPr>
            </w:pPr>
            <w:r>
              <w:rPr>
                <w:rFonts w:ascii="Calibri" w:hAnsi="Calibri"/>
                <w:sz w:val="24"/>
                <w:szCs w:val="24"/>
              </w:rPr>
              <w:t>Mrs Sarah Jones</w:t>
            </w:r>
          </w:p>
          <w:p w14:paraId="0B43076D" w14:textId="77777777" w:rsidR="00EE3330" w:rsidRDefault="00EE3330">
            <w:pPr>
              <w:pStyle w:val="addresses"/>
              <w:rPr>
                <w:rFonts w:ascii="Calibri" w:hAnsi="Calibri"/>
                <w:sz w:val="24"/>
                <w:szCs w:val="24"/>
              </w:rPr>
            </w:pPr>
            <w:r>
              <w:rPr>
                <w:rFonts w:ascii="Calibri" w:hAnsi="Calibri"/>
                <w:sz w:val="24"/>
                <w:szCs w:val="24"/>
              </w:rPr>
              <w:t>Maybern Planning and Development Ltd</w:t>
            </w:r>
          </w:p>
          <w:p w14:paraId="51C30E4E" w14:textId="77777777" w:rsidR="00EE3330" w:rsidRDefault="00EE3330">
            <w:pPr>
              <w:pStyle w:val="addresses"/>
              <w:rPr>
                <w:rFonts w:ascii="Calibri" w:hAnsi="Calibri"/>
                <w:sz w:val="24"/>
                <w:szCs w:val="24"/>
              </w:rPr>
            </w:pPr>
            <w:r>
              <w:rPr>
                <w:rFonts w:ascii="Calibri" w:hAnsi="Calibri"/>
                <w:sz w:val="24"/>
                <w:szCs w:val="24"/>
              </w:rPr>
              <w:t>Hurstwood Court</w:t>
            </w:r>
          </w:p>
          <w:p w14:paraId="4060F89A" w14:textId="77777777" w:rsidR="00EE3330" w:rsidRDefault="00EE3330">
            <w:pPr>
              <w:pStyle w:val="addresses"/>
              <w:rPr>
                <w:rFonts w:ascii="Calibri" w:hAnsi="Calibri"/>
                <w:sz w:val="24"/>
                <w:szCs w:val="24"/>
              </w:rPr>
            </w:pPr>
            <w:r>
              <w:rPr>
                <w:rFonts w:ascii="Calibri" w:hAnsi="Calibri"/>
                <w:sz w:val="24"/>
                <w:szCs w:val="24"/>
              </w:rPr>
              <w:t>New Hall Hey Road</w:t>
            </w:r>
          </w:p>
          <w:p w14:paraId="78B4B546" w14:textId="77777777" w:rsidR="00EE3330" w:rsidRDefault="00EE3330">
            <w:pPr>
              <w:pStyle w:val="addresses"/>
              <w:rPr>
                <w:rFonts w:ascii="Calibri" w:hAnsi="Calibri"/>
                <w:sz w:val="24"/>
                <w:szCs w:val="24"/>
              </w:rPr>
            </w:pPr>
            <w:r>
              <w:rPr>
                <w:rFonts w:ascii="Calibri" w:hAnsi="Calibri"/>
                <w:sz w:val="24"/>
                <w:szCs w:val="24"/>
              </w:rPr>
              <w:t>Rawtenstall</w:t>
            </w:r>
          </w:p>
          <w:p w14:paraId="55D0BEA1" w14:textId="479B3232" w:rsidR="002F3ADA" w:rsidRPr="00DD62CA" w:rsidRDefault="00EE3330">
            <w:pPr>
              <w:pStyle w:val="addresses"/>
              <w:rPr>
                <w:rFonts w:ascii="Calibri" w:hAnsi="Calibri"/>
                <w:sz w:val="24"/>
                <w:szCs w:val="24"/>
              </w:rPr>
            </w:pPr>
            <w:r>
              <w:rPr>
                <w:rFonts w:ascii="Calibri" w:hAnsi="Calibri"/>
                <w:sz w:val="24"/>
                <w:szCs w:val="24"/>
              </w:rPr>
              <w:t>BB4 6HR</w:t>
            </w:r>
          </w:p>
        </w:tc>
      </w:tr>
      <w:tr w:rsidR="002F3ADA" w:rsidRPr="00DD62CA" w14:paraId="741A0EFF" w14:textId="77777777" w:rsidTr="00F92BEF">
        <w:trPr>
          <w:cantSplit/>
        </w:trPr>
        <w:tc>
          <w:tcPr>
            <w:tcW w:w="4123" w:type="dxa"/>
            <w:gridSpan w:val="2"/>
            <w:vMerge/>
          </w:tcPr>
          <w:p w14:paraId="36A98757" w14:textId="77777777" w:rsidR="002F3ADA" w:rsidRPr="00DD62CA" w:rsidRDefault="002F3ADA">
            <w:pPr>
              <w:rPr>
                <w:rFonts w:ascii="Calibri" w:hAnsi="Calibri"/>
                <w:sz w:val="24"/>
                <w:szCs w:val="24"/>
              </w:rPr>
            </w:pPr>
          </w:p>
        </w:tc>
        <w:tc>
          <w:tcPr>
            <w:tcW w:w="1456" w:type="dxa"/>
          </w:tcPr>
          <w:p w14:paraId="20B9E30F" w14:textId="77777777" w:rsidR="002F3ADA" w:rsidRPr="00DD62CA" w:rsidRDefault="002F3ADA">
            <w:pPr>
              <w:rPr>
                <w:rFonts w:ascii="Calibri" w:hAnsi="Calibri"/>
                <w:sz w:val="24"/>
                <w:szCs w:val="24"/>
              </w:rPr>
            </w:pPr>
          </w:p>
        </w:tc>
        <w:tc>
          <w:tcPr>
            <w:tcW w:w="4830" w:type="dxa"/>
            <w:gridSpan w:val="3"/>
            <w:vMerge/>
          </w:tcPr>
          <w:p w14:paraId="164870BF" w14:textId="77777777" w:rsidR="002F3ADA" w:rsidRPr="00DD62CA" w:rsidRDefault="002F3ADA">
            <w:pPr>
              <w:rPr>
                <w:rFonts w:ascii="Calibri" w:hAnsi="Calibri"/>
                <w:sz w:val="24"/>
                <w:szCs w:val="24"/>
              </w:rPr>
            </w:pPr>
          </w:p>
        </w:tc>
      </w:tr>
      <w:tr w:rsidR="002F3ADA" w:rsidRPr="00DD62CA" w14:paraId="149FDA0E" w14:textId="77777777" w:rsidTr="00F92BEF">
        <w:trPr>
          <w:cantSplit/>
        </w:trPr>
        <w:tc>
          <w:tcPr>
            <w:tcW w:w="4123" w:type="dxa"/>
            <w:gridSpan w:val="2"/>
            <w:vMerge/>
          </w:tcPr>
          <w:p w14:paraId="26BE5502" w14:textId="77777777" w:rsidR="002F3ADA" w:rsidRPr="00DD62CA" w:rsidRDefault="002F3ADA">
            <w:pPr>
              <w:rPr>
                <w:rFonts w:ascii="Calibri" w:hAnsi="Calibri"/>
                <w:sz w:val="24"/>
                <w:szCs w:val="24"/>
              </w:rPr>
            </w:pPr>
          </w:p>
        </w:tc>
        <w:tc>
          <w:tcPr>
            <w:tcW w:w="1456" w:type="dxa"/>
          </w:tcPr>
          <w:p w14:paraId="6ECFF7AE" w14:textId="77777777" w:rsidR="002F3ADA" w:rsidRPr="00DD62CA" w:rsidRDefault="002F3ADA">
            <w:pPr>
              <w:rPr>
                <w:rFonts w:ascii="Calibri" w:hAnsi="Calibri"/>
                <w:sz w:val="24"/>
                <w:szCs w:val="24"/>
              </w:rPr>
            </w:pPr>
          </w:p>
        </w:tc>
        <w:tc>
          <w:tcPr>
            <w:tcW w:w="4830" w:type="dxa"/>
            <w:gridSpan w:val="3"/>
            <w:vMerge/>
          </w:tcPr>
          <w:p w14:paraId="3B5DB2C4" w14:textId="77777777" w:rsidR="002F3ADA" w:rsidRPr="00DD62CA" w:rsidRDefault="002F3ADA">
            <w:pPr>
              <w:rPr>
                <w:rFonts w:ascii="Calibri" w:hAnsi="Calibri"/>
                <w:sz w:val="24"/>
                <w:szCs w:val="24"/>
              </w:rPr>
            </w:pPr>
          </w:p>
        </w:tc>
      </w:tr>
      <w:tr w:rsidR="002F3ADA" w:rsidRPr="00DD62CA" w14:paraId="1EB12367" w14:textId="77777777" w:rsidTr="00F92BEF">
        <w:trPr>
          <w:cantSplit/>
        </w:trPr>
        <w:tc>
          <w:tcPr>
            <w:tcW w:w="4123" w:type="dxa"/>
            <w:gridSpan w:val="2"/>
            <w:vMerge/>
          </w:tcPr>
          <w:p w14:paraId="537CFE30" w14:textId="77777777" w:rsidR="002F3ADA" w:rsidRPr="00DD62CA" w:rsidRDefault="002F3ADA">
            <w:pPr>
              <w:rPr>
                <w:rFonts w:ascii="Calibri" w:hAnsi="Calibri"/>
                <w:sz w:val="24"/>
                <w:szCs w:val="24"/>
              </w:rPr>
            </w:pPr>
          </w:p>
        </w:tc>
        <w:tc>
          <w:tcPr>
            <w:tcW w:w="1456" w:type="dxa"/>
          </w:tcPr>
          <w:p w14:paraId="7D304CA1" w14:textId="77777777" w:rsidR="002F3ADA" w:rsidRPr="00DD62CA" w:rsidRDefault="002F3ADA">
            <w:pPr>
              <w:rPr>
                <w:rFonts w:ascii="Calibri" w:hAnsi="Calibri"/>
                <w:sz w:val="24"/>
                <w:szCs w:val="24"/>
              </w:rPr>
            </w:pPr>
          </w:p>
        </w:tc>
        <w:tc>
          <w:tcPr>
            <w:tcW w:w="4830" w:type="dxa"/>
            <w:gridSpan w:val="3"/>
            <w:vMerge/>
          </w:tcPr>
          <w:p w14:paraId="40F8AA7C" w14:textId="77777777" w:rsidR="002F3ADA" w:rsidRPr="00DD62CA" w:rsidRDefault="002F3ADA">
            <w:pPr>
              <w:rPr>
                <w:rFonts w:ascii="Calibri" w:hAnsi="Calibri"/>
                <w:sz w:val="24"/>
                <w:szCs w:val="24"/>
              </w:rPr>
            </w:pPr>
          </w:p>
        </w:tc>
      </w:tr>
      <w:tr w:rsidR="002F3ADA" w:rsidRPr="00DD62CA" w14:paraId="26711E9B" w14:textId="77777777" w:rsidTr="00F92BEF">
        <w:trPr>
          <w:cantSplit/>
        </w:trPr>
        <w:tc>
          <w:tcPr>
            <w:tcW w:w="4123" w:type="dxa"/>
            <w:gridSpan w:val="2"/>
            <w:vMerge/>
          </w:tcPr>
          <w:p w14:paraId="0CA7DD6B" w14:textId="77777777" w:rsidR="002F3ADA" w:rsidRPr="00DD62CA" w:rsidRDefault="002F3ADA">
            <w:pPr>
              <w:rPr>
                <w:rFonts w:ascii="Calibri" w:hAnsi="Calibri"/>
                <w:sz w:val="24"/>
                <w:szCs w:val="24"/>
              </w:rPr>
            </w:pPr>
          </w:p>
        </w:tc>
        <w:tc>
          <w:tcPr>
            <w:tcW w:w="1456" w:type="dxa"/>
          </w:tcPr>
          <w:p w14:paraId="1EE611CA" w14:textId="77777777" w:rsidR="002F3ADA" w:rsidRPr="00DD62CA" w:rsidRDefault="002F3ADA">
            <w:pPr>
              <w:rPr>
                <w:rFonts w:ascii="Calibri" w:hAnsi="Calibri"/>
                <w:sz w:val="24"/>
                <w:szCs w:val="24"/>
              </w:rPr>
            </w:pPr>
          </w:p>
        </w:tc>
        <w:tc>
          <w:tcPr>
            <w:tcW w:w="4830" w:type="dxa"/>
            <w:gridSpan w:val="3"/>
            <w:vMerge/>
          </w:tcPr>
          <w:p w14:paraId="7B452388" w14:textId="77777777" w:rsidR="002F3ADA" w:rsidRPr="00DD62CA" w:rsidRDefault="002F3ADA">
            <w:pPr>
              <w:rPr>
                <w:rFonts w:ascii="Calibri" w:hAnsi="Calibri"/>
                <w:sz w:val="24"/>
                <w:szCs w:val="24"/>
              </w:rPr>
            </w:pPr>
          </w:p>
        </w:tc>
      </w:tr>
    </w:tbl>
    <w:p w14:paraId="5CAFE012" w14:textId="67E5E3BB" w:rsidR="002F3ADA" w:rsidRPr="00DD62CA" w:rsidRDefault="00EE3330">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A9FC7C8" w14:textId="77777777" w:rsidTr="003243B5">
        <w:trPr>
          <w:cantSplit/>
          <w:trHeight w:val="512"/>
        </w:trPr>
        <w:tc>
          <w:tcPr>
            <w:tcW w:w="1970" w:type="dxa"/>
            <w:gridSpan w:val="2"/>
          </w:tcPr>
          <w:p w14:paraId="6234027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550234A" w14:textId="77777777" w:rsidR="002F3ADA" w:rsidRDefault="00EE3330">
            <w:pPr>
              <w:pStyle w:val="TableText"/>
              <w:rPr>
                <w:rFonts w:ascii="Calibri" w:hAnsi="Calibri"/>
                <w:sz w:val="24"/>
                <w:szCs w:val="24"/>
              </w:rPr>
            </w:pPr>
            <w:r>
              <w:rPr>
                <w:rFonts w:ascii="Calibri" w:hAnsi="Calibri"/>
                <w:sz w:val="24"/>
                <w:szCs w:val="24"/>
              </w:rPr>
              <w:t>Proposed erection of 37 affordable residential units with access, parking and landscaping.  Conversion and extension of former dairy outbuilding to open-market residential unit and refurbishment/modernisation of Crow Trees Farmhouse (open-market dwelling) including reconfiguration, rooflights, side window and extension of two outbuildings to form garages.</w:t>
            </w:r>
          </w:p>
          <w:p w14:paraId="005010C3" w14:textId="07746D00" w:rsidR="00EE3330" w:rsidRPr="00DD62CA" w:rsidRDefault="00EE3330">
            <w:pPr>
              <w:pStyle w:val="TableText"/>
              <w:rPr>
                <w:rFonts w:ascii="Calibri" w:hAnsi="Calibri"/>
                <w:sz w:val="24"/>
                <w:szCs w:val="24"/>
              </w:rPr>
            </w:pPr>
          </w:p>
        </w:tc>
      </w:tr>
      <w:tr w:rsidR="002F3ADA" w:rsidRPr="00DD62CA" w14:paraId="23F14F81" w14:textId="77777777" w:rsidTr="003243B5">
        <w:trPr>
          <w:cantSplit/>
          <w:trHeight w:val="264"/>
        </w:trPr>
        <w:tc>
          <w:tcPr>
            <w:tcW w:w="988" w:type="dxa"/>
          </w:tcPr>
          <w:p w14:paraId="7EC00D4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2124355" w14:textId="77777777" w:rsidR="002F3ADA" w:rsidRDefault="00EE3330">
            <w:pPr>
              <w:pStyle w:val="TableText"/>
              <w:rPr>
                <w:rFonts w:ascii="Calibri" w:hAnsi="Calibri"/>
                <w:sz w:val="24"/>
                <w:szCs w:val="24"/>
              </w:rPr>
            </w:pPr>
            <w:r>
              <w:rPr>
                <w:rFonts w:ascii="Calibri" w:hAnsi="Calibri"/>
                <w:sz w:val="24"/>
                <w:szCs w:val="24"/>
              </w:rPr>
              <w:t>Crow Trees Farm Crow Trees Brow Chatburn BB7 4AA</w:t>
            </w:r>
          </w:p>
          <w:p w14:paraId="28CB8D1D" w14:textId="72815DE1" w:rsidR="00EE3330" w:rsidRPr="00DD62CA" w:rsidRDefault="00EE3330">
            <w:pPr>
              <w:pStyle w:val="TableText"/>
              <w:rPr>
                <w:rFonts w:ascii="Calibri" w:hAnsi="Calibri"/>
                <w:sz w:val="24"/>
                <w:szCs w:val="24"/>
              </w:rPr>
            </w:pPr>
          </w:p>
        </w:tc>
      </w:tr>
      <w:tr w:rsidR="002F3ADA" w:rsidRPr="00DD62CA" w14:paraId="5B02C91F" w14:textId="77777777" w:rsidTr="003243B5">
        <w:trPr>
          <w:cantSplit/>
          <w:trHeight w:val="868"/>
        </w:trPr>
        <w:tc>
          <w:tcPr>
            <w:tcW w:w="10353" w:type="dxa"/>
            <w:gridSpan w:val="3"/>
          </w:tcPr>
          <w:p w14:paraId="5CE5BDB4" w14:textId="77777777" w:rsidR="00EE3330"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8F5DBED" w14:textId="56D45B55" w:rsidR="00EE3330" w:rsidRPr="00EE3330" w:rsidRDefault="00EE3330">
            <w:pPr>
              <w:jc w:val="both"/>
              <w:rPr>
                <w:rFonts w:ascii="Calibri" w:hAnsi="Calibri"/>
                <w:sz w:val="24"/>
                <w:szCs w:val="24"/>
                <w:u w:val="single"/>
              </w:rPr>
            </w:pPr>
          </w:p>
        </w:tc>
      </w:tr>
      <w:tr w:rsidR="002F3ADA" w:rsidRPr="00DD62CA" w14:paraId="47A99B5D" w14:textId="77777777" w:rsidTr="00EE3330">
        <w:trPr>
          <w:cantSplit/>
          <w:trHeight w:val="527"/>
        </w:trPr>
        <w:tc>
          <w:tcPr>
            <w:tcW w:w="988" w:type="dxa"/>
          </w:tcPr>
          <w:p w14:paraId="14EA82A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C5AEA0A" w14:textId="5AD18931" w:rsidR="00EE3330" w:rsidRDefault="00EE3330">
            <w:pPr>
              <w:pStyle w:val="TableText"/>
              <w:rPr>
                <w:rFonts w:ascii="Calibri" w:hAnsi="Calibri"/>
                <w:sz w:val="24"/>
                <w:szCs w:val="24"/>
              </w:rPr>
            </w:pPr>
            <w:r>
              <w:rPr>
                <w:rFonts w:ascii="Calibri" w:hAnsi="Calibri"/>
                <w:sz w:val="24"/>
                <w:szCs w:val="24"/>
              </w:rPr>
              <w:tab/>
              <w:t>The development must be begun not later than the expiration of three years beginning with the date of this permission.</w:t>
            </w:r>
          </w:p>
          <w:p w14:paraId="6BBCDF86" w14:textId="77777777" w:rsidR="00EE3330" w:rsidRDefault="00EE3330">
            <w:pPr>
              <w:pStyle w:val="TableText"/>
              <w:rPr>
                <w:rFonts w:ascii="Calibri" w:hAnsi="Calibri"/>
                <w:sz w:val="24"/>
                <w:szCs w:val="24"/>
              </w:rPr>
            </w:pPr>
          </w:p>
          <w:p w14:paraId="47D12E28" w14:textId="77777777" w:rsidR="00EE3330" w:rsidRDefault="00EE333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049B57D" w14:textId="77777777" w:rsidR="00EE3330" w:rsidRDefault="00EE3330">
            <w:pPr>
              <w:pStyle w:val="TableText"/>
              <w:rPr>
                <w:rFonts w:ascii="Calibri" w:hAnsi="Calibri"/>
                <w:sz w:val="24"/>
                <w:szCs w:val="24"/>
              </w:rPr>
            </w:pPr>
          </w:p>
          <w:p w14:paraId="4DFB19D2" w14:textId="77777777" w:rsidR="00EE3330" w:rsidRDefault="00EE3330">
            <w:pPr>
              <w:pStyle w:val="TableText"/>
              <w:rPr>
                <w:rFonts w:ascii="Calibri" w:hAnsi="Calibri"/>
                <w:sz w:val="24"/>
                <w:szCs w:val="24"/>
              </w:rPr>
            </w:pPr>
          </w:p>
          <w:p w14:paraId="5238000C" w14:textId="77777777" w:rsidR="00EE3330" w:rsidRDefault="00EE3330">
            <w:pPr>
              <w:pStyle w:val="TableText"/>
              <w:rPr>
                <w:rFonts w:ascii="Calibri" w:hAnsi="Calibri"/>
                <w:sz w:val="24"/>
                <w:szCs w:val="24"/>
              </w:rPr>
            </w:pPr>
          </w:p>
          <w:p w14:paraId="717378FC" w14:textId="77777777" w:rsidR="00EE3330" w:rsidRDefault="00EE3330">
            <w:pPr>
              <w:pStyle w:val="TableText"/>
              <w:rPr>
                <w:rFonts w:ascii="Calibri" w:hAnsi="Calibri"/>
                <w:sz w:val="24"/>
                <w:szCs w:val="24"/>
              </w:rPr>
            </w:pPr>
          </w:p>
          <w:p w14:paraId="5C445ABE" w14:textId="77777777" w:rsidR="00EE3330" w:rsidRDefault="00EE3330">
            <w:pPr>
              <w:pStyle w:val="TableText"/>
              <w:rPr>
                <w:rFonts w:ascii="Calibri" w:hAnsi="Calibri"/>
                <w:sz w:val="24"/>
                <w:szCs w:val="24"/>
              </w:rPr>
            </w:pPr>
          </w:p>
          <w:p w14:paraId="2CC0BE32" w14:textId="77777777" w:rsidR="00EE3330" w:rsidRDefault="00EE3330">
            <w:pPr>
              <w:pStyle w:val="TableText"/>
              <w:rPr>
                <w:rFonts w:ascii="Calibri" w:hAnsi="Calibri"/>
                <w:sz w:val="24"/>
                <w:szCs w:val="24"/>
              </w:rPr>
            </w:pPr>
          </w:p>
          <w:p w14:paraId="03A40D94" w14:textId="40E98010" w:rsidR="00EE3330" w:rsidRPr="00DD62CA" w:rsidRDefault="00EE3330" w:rsidP="00EE3330">
            <w:pPr>
              <w:pStyle w:val="TableText"/>
              <w:jc w:val="right"/>
              <w:rPr>
                <w:rFonts w:ascii="Calibri" w:hAnsi="Calibri"/>
                <w:sz w:val="24"/>
                <w:szCs w:val="24"/>
              </w:rPr>
            </w:pPr>
            <w:r>
              <w:rPr>
                <w:rFonts w:ascii="Calibri" w:hAnsi="Calibri"/>
                <w:sz w:val="24"/>
                <w:szCs w:val="24"/>
              </w:rPr>
              <w:t>P.T.O.</w:t>
            </w:r>
          </w:p>
        </w:tc>
      </w:tr>
      <w:tr w:rsidR="00EE3330" w:rsidRPr="00DD62CA" w14:paraId="685833B6" w14:textId="77777777" w:rsidTr="00EE3330">
        <w:trPr>
          <w:cantSplit/>
          <w:trHeight w:val="527"/>
        </w:trPr>
        <w:tc>
          <w:tcPr>
            <w:tcW w:w="988" w:type="dxa"/>
          </w:tcPr>
          <w:p w14:paraId="04D05BCC" w14:textId="77777777" w:rsidR="00EE3330" w:rsidRPr="00DD62CA" w:rsidRDefault="00EE3330">
            <w:pPr>
              <w:pStyle w:val="TableText"/>
              <w:numPr>
                <w:ilvl w:val="0"/>
                <w:numId w:val="3"/>
              </w:numPr>
              <w:rPr>
                <w:rFonts w:ascii="Calibri" w:hAnsi="Calibri"/>
                <w:sz w:val="24"/>
                <w:szCs w:val="24"/>
              </w:rPr>
            </w:pPr>
          </w:p>
        </w:tc>
        <w:tc>
          <w:tcPr>
            <w:tcW w:w="9365" w:type="dxa"/>
            <w:gridSpan w:val="2"/>
          </w:tcPr>
          <w:p w14:paraId="616D41BA" w14:textId="79E72D5B" w:rsidR="00EE3330" w:rsidRDefault="00EE333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accordance with the proposals as detailed on drawings:</w:t>
            </w:r>
          </w:p>
          <w:p w14:paraId="2AD52F4F" w14:textId="77777777" w:rsidR="00EE3330" w:rsidRDefault="00EE3330">
            <w:pPr>
              <w:pStyle w:val="TableText"/>
              <w:rPr>
                <w:rFonts w:ascii="Calibri" w:hAnsi="Calibri"/>
                <w:sz w:val="24"/>
                <w:szCs w:val="24"/>
              </w:rPr>
            </w:pPr>
          </w:p>
          <w:p w14:paraId="32AA7E2D"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Location Plan Ref 21/139/L01</w:t>
            </w:r>
          </w:p>
          <w:p w14:paraId="034901BE"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Proposed Site Layout Ref 21/139/P01D</w:t>
            </w:r>
          </w:p>
          <w:p w14:paraId="75BD8EEB"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Mews Block Proposed Floor Plans &amp; Elevations Ref 21/138/AF01B</w:t>
            </w:r>
          </w:p>
          <w:p w14:paraId="78420051"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The Bristow (Apartment Block) Proposed Floor Plans &amp; Elevations Ref 21/139/AF02B</w:t>
            </w:r>
          </w:p>
          <w:p w14:paraId="54A3C54D"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The Marsden (2H795) Proposed Floor Plans &amp; Elevations Ref 21/139/AF03A</w:t>
            </w:r>
          </w:p>
          <w:p w14:paraId="5AFCE0FB"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The Bransfield (3H951) Proposed Floor Plans &amp; Elevations Ref 21/139/AF04A</w:t>
            </w:r>
          </w:p>
          <w:p w14:paraId="40991D92"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The Wainwright (3H1079) Proposed Floor Plans &amp; Elevations Ref 21/139/AF05A</w:t>
            </w:r>
          </w:p>
          <w:p w14:paraId="027C3243"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The Wainwright (3H1057) Proposed Floor Plans &amp; Elevations Ref 21/139/AF06A</w:t>
            </w:r>
          </w:p>
          <w:p w14:paraId="07D73E8D"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The Ruxton (2B719) Proposed Floor Plans &amp; Elevations Ref 21/139/AF07B</w:t>
            </w:r>
          </w:p>
          <w:p w14:paraId="4CFD4A3A"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The Hastings and Burton Semi (2B744) Proposed Floor Plans &amp; Elevations Ref 21/139/AF09A</w:t>
            </w:r>
          </w:p>
          <w:p w14:paraId="4E338A7A"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Proposed Main House Refurbishment and Extension of Store to form Garage Ref 21/139/CO1A</w:t>
            </w:r>
          </w:p>
          <w:p w14:paraId="6B7DFC67"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Proposed Barn Conversion &amp; Extension Floor Plans &amp; Elevations Ref 21/139/C02A</w:t>
            </w:r>
          </w:p>
          <w:p w14:paraId="15215725"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Proposed Dutch Barn Conversion (Annex accommodation to dwelling) Floor Plans &amp; Elevations Ref 21/139/C03A</w:t>
            </w:r>
          </w:p>
          <w:p w14:paraId="42E00461"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Site Sections and Street Scene Ref 21/139/SS01C</w:t>
            </w:r>
          </w:p>
          <w:p w14:paraId="66FEBB41"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Proposed Boundary Treatment Details Ref 21/139/PO4B</w:t>
            </w:r>
          </w:p>
          <w:p w14:paraId="0E6D78A1"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Detached Garage to Barn Conversion Ref 21/139/GO4</w:t>
            </w:r>
          </w:p>
          <w:p w14:paraId="1E751D20" w14:textId="77777777" w:rsidR="00EE3330" w:rsidRDefault="00EE3330">
            <w:pPr>
              <w:pStyle w:val="TableText"/>
              <w:rPr>
                <w:rFonts w:ascii="Calibri" w:hAnsi="Calibri"/>
                <w:sz w:val="24"/>
                <w:szCs w:val="24"/>
              </w:rPr>
            </w:pPr>
            <w:r>
              <w:rPr>
                <w:rFonts w:ascii="Calibri" w:hAnsi="Calibri"/>
                <w:sz w:val="24"/>
                <w:szCs w:val="24"/>
              </w:rPr>
              <w:t>-</w:t>
            </w:r>
            <w:r>
              <w:rPr>
                <w:rFonts w:ascii="Calibri" w:hAnsi="Calibri"/>
                <w:sz w:val="24"/>
                <w:szCs w:val="24"/>
              </w:rPr>
              <w:tab/>
              <w:t>Landscape Layout 4265/101D</w:t>
            </w:r>
          </w:p>
          <w:p w14:paraId="1062B3ED" w14:textId="77777777" w:rsidR="00EE3330" w:rsidRDefault="00EE3330">
            <w:pPr>
              <w:pStyle w:val="TableText"/>
              <w:rPr>
                <w:rFonts w:ascii="Calibri" w:hAnsi="Calibri"/>
                <w:sz w:val="24"/>
                <w:szCs w:val="24"/>
              </w:rPr>
            </w:pPr>
          </w:p>
          <w:p w14:paraId="6D1757D4" w14:textId="77777777" w:rsidR="00EE3330" w:rsidRDefault="00EE3330">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6AFCD7E6" w14:textId="77777777" w:rsidR="00EE3330" w:rsidRDefault="00EE3330">
            <w:pPr>
              <w:pStyle w:val="TableText"/>
              <w:rPr>
                <w:rFonts w:ascii="Calibri" w:hAnsi="Calibri"/>
                <w:sz w:val="24"/>
                <w:szCs w:val="24"/>
              </w:rPr>
            </w:pPr>
          </w:p>
          <w:p w14:paraId="485E6512" w14:textId="33915F2C" w:rsidR="00EE3330" w:rsidRDefault="00EE3330">
            <w:pPr>
              <w:pStyle w:val="TableText"/>
              <w:rPr>
                <w:rFonts w:ascii="Calibri" w:hAnsi="Calibri"/>
                <w:sz w:val="24"/>
                <w:szCs w:val="24"/>
              </w:rPr>
            </w:pPr>
          </w:p>
        </w:tc>
      </w:tr>
      <w:tr w:rsidR="00EE3330" w:rsidRPr="00DD62CA" w14:paraId="21864CE0" w14:textId="77777777" w:rsidTr="003243B5">
        <w:trPr>
          <w:cantSplit/>
          <w:trHeight w:val="527"/>
        </w:trPr>
        <w:tc>
          <w:tcPr>
            <w:tcW w:w="988" w:type="dxa"/>
          </w:tcPr>
          <w:p w14:paraId="4958CC56" w14:textId="77777777" w:rsidR="00EE3330" w:rsidRPr="00DD62CA" w:rsidRDefault="00EE3330">
            <w:pPr>
              <w:pStyle w:val="TableText"/>
              <w:numPr>
                <w:ilvl w:val="0"/>
                <w:numId w:val="3"/>
              </w:numPr>
              <w:rPr>
                <w:rFonts w:ascii="Calibri" w:hAnsi="Calibri"/>
                <w:sz w:val="24"/>
                <w:szCs w:val="24"/>
              </w:rPr>
            </w:pPr>
          </w:p>
        </w:tc>
        <w:tc>
          <w:tcPr>
            <w:tcW w:w="9365" w:type="dxa"/>
            <w:gridSpan w:val="2"/>
          </w:tcPr>
          <w:p w14:paraId="413AED74" w14:textId="0435B6E6" w:rsidR="00EE3330" w:rsidRDefault="00EE3330">
            <w:pPr>
              <w:pStyle w:val="TableText"/>
              <w:rPr>
                <w:rFonts w:ascii="Calibri" w:hAnsi="Calibri"/>
                <w:sz w:val="24"/>
                <w:szCs w:val="24"/>
              </w:rPr>
            </w:pPr>
            <w:r>
              <w:rPr>
                <w:rFonts w:ascii="Calibri" w:hAnsi="Calibri"/>
                <w:sz w:val="24"/>
                <w:szCs w:val="24"/>
              </w:rPr>
              <w:t>Notwithstanding the submitted details, the details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7F47EAA4" w14:textId="77777777" w:rsidR="00EE3330" w:rsidRDefault="00EE3330">
            <w:pPr>
              <w:pStyle w:val="TableText"/>
              <w:rPr>
                <w:rFonts w:ascii="Calibri" w:hAnsi="Calibri"/>
                <w:sz w:val="24"/>
                <w:szCs w:val="24"/>
              </w:rPr>
            </w:pPr>
          </w:p>
          <w:p w14:paraId="4F157246" w14:textId="77777777" w:rsidR="00EE3330" w:rsidRDefault="00EE3330">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3C757A0F" w14:textId="77777777" w:rsidR="00EE3330" w:rsidRDefault="00EE3330">
            <w:pPr>
              <w:pStyle w:val="TableText"/>
              <w:rPr>
                <w:rFonts w:ascii="Calibri" w:hAnsi="Calibri"/>
                <w:sz w:val="24"/>
                <w:szCs w:val="24"/>
              </w:rPr>
            </w:pPr>
          </w:p>
          <w:p w14:paraId="67288116" w14:textId="77777777" w:rsidR="00EE3330" w:rsidRDefault="00EE3330">
            <w:pPr>
              <w:pStyle w:val="TableText"/>
              <w:rPr>
                <w:rFonts w:ascii="Calibri" w:hAnsi="Calibri"/>
                <w:sz w:val="24"/>
                <w:szCs w:val="24"/>
              </w:rPr>
            </w:pPr>
          </w:p>
          <w:p w14:paraId="7E1EE52F" w14:textId="77777777" w:rsidR="00EE3330" w:rsidRDefault="00EE3330">
            <w:pPr>
              <w:pStyle w:val="TableText"/>
              <w:rPr>
                <w:rFonts w:ascii="Calibri" w:hAnsi="Calibri"/>
                <w:sz w:val="24"/>
                <w:szCs w:val="24"/>
              </w:rPr>
            </w:pPr>
          </w:p>
          <w:p w14:paraId="1A37AE45" w14:textId="77777777" w:rsidR="00EE3330" w:rsidRDefault="00EE3330">
            <w:pPr>
              <w:pStyle w:val="TableText"/>
              <w:rPr>
                <w:rFonts w:ascii="Calibri" w:hAnsi="Calibri"/>
                <w:sz w:val="24"/>
                <w:szCs w:val="24"/>
              </w:rPr>
            </w:pPr>
          </w:p>
          <w:p w14:paraId="64BEF3EA" w14:textId="77777777" w:rsidR="00EE3330" w:rsidRDefault="00EE3330">
            <w:pPr>
              <w:pStyle w:val="TableText"/>
              <w:rPr>
                <w:rFonts w:ascii="Calibri" w:hAnsi="Calibri"/>
                <w:sz w:val="24"/>
                <w:szCs w:val="24"/>
              </w:rPr>
            </w:pPr>
          </w:p>
          <w:p w14:paraId="7B6E036E" w14:textId="77777777" w:rsidR="00EE3330" w:rsidRDefault="00EE3330">
            <w:pPr>
              <w:pStyle w:val="TableText"/>
              <w:rPr>
                <w:rFonts w:ascii="Calibri" w:hAnsi="Calibri"/>
                <w:sz w:val="24"/>
                <w:szCs w:val="24"/>
              </w:rPr>
            </w:pPr>
          </w:p>
          <w:p w14:paraId="6EA3EB49" w14:textId="3DC69781" w:rsidR="00EE3330" w:rsidRDefault="00EE3330" w:rsidP="00EE3330">
            <w:pPr>
              <w:pStyle w:val="TableText"/>
              <w:jc w:val="right"/>
              <w:rPr>
                <w:rFonts w:ascii="Calibri" w:hAnsi="Calibri"/>
                <w:sz w:val="24"/>
                <w:szCs w:val="24"/>
              </w:rPr>
            </w:pPr>
            <w:r>
              <w:rPr>
                <w:rFonts w:ascii="Calibri" w:hAnsi="Calibri"/>
                <w:sz w:val="24"/>
                <w:szCs w:val="24"/>
              </w:rPr>
              <w:t>P.T.O.</w:t>
            </w:r>
          </w:p>
        </w:tc>
      </w:tr>
      <w:tr w:rsidR="00EE3330" w:rsidRPr="00DD62CA" w14:paraId="79708832" w14:textId="77777777" w:rsidTr="003243B5">
        <w:trPr>
          <w:cantSplit/>
          <w:trHeight w:val="527"/>
        </w:trPr>
        <w:tc>
          <w:tcPr>
            <w:tcW w:w="988" w:type="dxa"/>
          </w:tcPr>
          <w:p w14:paraId="3E82D466" w14:textId="77777777" w:rsidR="00EE3330" w:rsidRPr="00DD62CA" w:rsidRDefault="00EE3330">
            <w:pPr>
              <w:pStyle w:val="TableText"/>
              <w:numPr>
                <w:ilvl w:val="0"/>
                <w:numId w:val="3"/>
              </w:numPr>
              <w:rPr>
                <w:rFonts w:ascii="Calibri" w:hAnsi="Calibri"/>
                <w:sz w:val="24"/>
                <w:szCs w:val="24"/>
              </w:rPr>
            </w:pPr>
          </w:p>
        </w:tc>
        <w:tc>
          <w:tcPr>
            <w:tcW w:w="9365" w:type="dxa"/>
            <w:gridSpan w:val="2"/>
          </w:tcPr>
          <w:p w14:paraId="096366BF" w14:textId="164E9E4A" w:rsidR="00EE3330" w:rsidRDefault="00EE3330">
            <w:pPr>
              <w:pStyle w:val="TableText"/>
              <w:rPr>
                <w:rFonts w:ascii="Calibri" w:hAnsi="Calibri"/>
                <w:sz w:val="24"/>
                <w:szCs w:val="24"/>
              </w:rPr>
            </w:pPr>
            <w:r>
              <w:rPr>
                <w:rFonts w:ascii="Calibri" w:hAnsi="Calibri"/>
                <w:sz w:val="24"/>
                <w:szCs w:val="24"/>
              </w:rPr>
              <w:t>No development shall take place until full details of both hard and soft landscaping works have been submitted to and approved in writing by the Local Planning Authority. These details shall include areas of soft landscaping (including any retained trees, hedgerows and other planting and any replanted or transplanted hedgerows), hard surfaced areas and materials, planting plans specifications and schedules (including plant size, species and number/ densities), existing landscaping to be retained, and shall show how account has been taken of any underground services. The details will be expected to be in general accordance with the approved Landscape layout plan (4265/101D).</w:t>
            </w:r>
          </w:p>
          <w:p w14:paraId="7465AA98" w14:textId="77777777" w:rsidR="00EE3330" w:rsidRDefault="00EE3330">
            <w:pPr>
              <w:pStyle w:val="TableText"/>
              <w:rPr>
                <w:rFonts w:ascii="Calibri" w:hAnsi="Calibri"/>
                <w:sz w:val="24"/>
                <w:szCs w:val="24"/>
              </w:rPr>
            </w:pPr>
          </w:p>
          <w:p w14:paraId="224260A4" w14:textId="77777777" w:rsidR="00EE3330" w:rsidRDefault="00EE3330">
            <w:pPr>
              <w:pStyle w:val="TableText"/>
              <w:rPr>
                <w:rFonts w:ascii="Calibri" w:hAnsi="Calibri"/>
                <w:sz w:val="24"/>
                <w:szCs w:val="24"/>
              </w:rPr>
            </w:pPr>
            <w:r>
              <w:rPr>
                <w:rFonts w:ascii="Calibri" w:hAnsi="Calibri"/>
                <w:sz w:val="24"/>
                <w:szCs w:val="24"/>
              </w:rPr>
              <w:t>The soft landscaping works shall be carried out in accordance with the approved details within the first planting season following occupation of the dwelling to which they relate to, or in the case of landscaping within public areas, prior to occupation of the 20th dwelling hereby approved. The hard landscaping works shall be carried out in accordance with the approved details prior to first occupation of the dwelling to which they relate.</w:t>
            </w:r>
          </w:p>
          <w:p w14:paraId="074953F3" w14:textId="77777777" w:rsidR="00EE3330" w:rsidRDefault="00EE3330">
            <w:pPr>
              <w:pStyle w:val="TableText"/>
              <w:rPr>
                <w:rFonts w:ascii="Calibri" w:hAnsi="Calibri"/>
                <w:sz w:val="24"/>
                <w:szCs w:val="24"/>
              </w:rPr>
            </w:pPr>
          </w:p>
          <w:p w14:paraId="54A40DA8" w14:textId="77777777" w:rsidR="00EE3330" w:rsidRDefault="00EE3330">
            <w:pPr>
              <w:pStyle w:val="TableText"/>
              <w:rPr>
                <w:rFonts w:ascii="Calibri" w:hAnsi="Calibri"/>
                <w:sz w:val="24"/>
                <w:szCs w:val="24"/>
              </w:rPr>
            </w:pPr>
            <w:r>
              <w:rPr>
                <w:rFonts w:ascii="Calibri" w:hAnsi="Calibri"/>
                <w:sz w:val="24"/>
                <w:szCs w:val="24"/>
              </w:rPr>
              <w:t>Any trees or shrubs planted in accordance with this condition which are removed, uprooted, destroyed, die, or become severely damaged or seriously diseased within 10 years of planting, or any trees or shrubs planted as replacements shall be replaced within the next planting season by trees or shrubs of similar size and species to those originally required to be planted, unless the Local Planning Authority gives its written consent to any variation.</w:t>
            </w:r>
          </w:p>
          <w:p w14:paraId="6186287A" w14:textId="77777777" w:rsidR="00EE3330" w:rsidRDefault="00EE3330">
            <w:pPr>
              <w:pStyle w:val="TableText"/>
              <w:rPr>
                <w:rFonts w:ascii="Calibri" w:hAnsi="Calibri"/>
                <w:sz w:val="24"/>
                <w:szCs w:val="24"/>
              </w:rPr>
            </w:pPr>
          </w:p>
          <w:p w14:paraId="0BFAE52C" w14:textId="77777777" w:rsidR="00EE3330" w:rsidRDefault="00EE3330">
            <w:pPr>
              <w:pStyle w:val="TableText"/>
              <w:rPr>
                <w:rFonts w:ascii="Calibri" w:hAnsi="Calibri"/>
                <w:sz w:val="24"/>
                <w:szCs w:val="24"/>
              </w:rPr>
            </w:pPr>
            <w:r>
              <w:rPr>
                <w:rFonts w:ascii="Calibri" w:hAnsi="Calibri"/>
                <w:sz w:val="24"/>
                <w:szCs w:val="24"/>
              </w:rPr>
              <w:t>REASON:  To ensure the site is satisfactorily landscaped in the interests of visual amenity and ecology and to ensure compliance with the Wildlife and Countryside Act 1981.</w:t>
            </w:r>
          </w:p>
          <w:p w14:paraId="3C1B2BEA" w14:textId="72CBB565" w:rsidR="00EE3330" w:rsidRDefault="00EE3330">
            <w:pPr>
              <w:pStyle w:val="TableText"/>
              <w:rPr>
                <w:rFonts w:ascii="Calibri" w:hAnsi="Calibri"/>
                <w:sz w:val="24"/>
                <w:szCs w:val="24"/>
              </w:rPr>
            </w:pPr>
          </w:p>
        </w:tc>
      </w:tr>
      <w:tr w:rsidR="00EE3330" w:rsidRPr="00DD62CA" w14:paraId="6FC198D8" w14:textId="77777777" w:rsidTr="003243B5">
        <w:trPr>
          <w:cantSplit/>
          <w:trHeight w:val="527"/>
        </w:trPr>
        <w:tc>
          <w:tcPr>
            <w:tcW w:w="988" w:type="dxa"/>
          </w:tcPr>
          <w:p w14:paraId="225D9074" w14:textId="77777777" w:rsidR="00EE3330" w:rsidRPr="00DD62CA" w:rsidRDefault="00EE3330">
            <w:pPr>
              <w:pStyle w:val="TableText"/>
              <w:numPr>
                <w:ilvl w:val="0"/>
                <w:numId w:val="3"/>
              </w:numPr>
              <w:rPr>
                <w:rFonts w:ascii="Calibri" w:hAnsi="Calibri"/>
                <w:sz w:val="24"/>
                <w:szCs w:val="24"/>
              </w:rPr>
            </w:pPr>
          </w:p>
        </w:tc>
        <w:tc>
          <w:tcPr>
            <w:tcW w:w="9365" w:type="dxa"/>
            <w:gridSpan w:val="2"/>
          </w:tcPr>
          <w:p w14:paraId="5DEEEA85" w14:textId="6DA2B72E" w:rsidR="00EE3330" w:rsidRDefault="00BB4059" w:rsidP="00BB4059">
            <w:pPr>
              <w:pStyle w:val="TableText"/>
              <w:rPr>
                <w:rFonts w:ascii="Calibri" w:hAnsi="Calibri"/>
                <w:sz w:val="24"/>
                <w:szCs w:val="24"/>
              </w:rPr>
            </w:pPr>
            <w:r>
              <w:rPr>
                <w:rFonts w:ascii="Calibri" w:hAnsi="Calibri"/>
                <w:sz w:val="24"/>
                <w:szCs w:val="24"/>
              </w:rPr>
              <w:t xml:space="preserve">(a) The new estate road for the new build dwellings phase of development shall be constructed in </w:t>
            </w:r>
            <w:r w:rsidR="00EE3330">
              <w:rPr>
                <w:rFonts w:ascii="Calibri" w:hAnsi="Calibri"/>
                <w:sz w:val="24"/>
                <w:szCs w:val="24"/>
              </w:rPr>
              <w:t>accordance with the Lancashire County Council Specification for Construction of Estate Roads to at least base course level for a distance of 10 metres into the site from the highway before any other development associated with that phase takes place within the site.</w:t>
            </w:r>
          </w:p>
          <w:p w14:paraId="0D6D8D6C" w14:textId="77777777" w:rsidR="00EE3330" w:rsidRDefault="00EE3330">
            <w:pPr>
              <w:pStyle w:val="TableText"/>
              <w:rPr>
                <w:rFonts w:ascii="Calibri" w:hAnsi="Calibri"/>
                <w:sz w:val="24"/>
                <w:szCs w:val="24"/>
              </w:rPr>
            </w:pPr>
          </w:p>
          <w:p w14:paraId="3AE59202" w14:textId="77777777" w:rsidR="00EE3330" w:rsidRDefault="00EE3330">
            <w:pPr>
              <w:pStyle w:val="TableText"/>
              <w:rPr>
                <w:rFonts w:ascii="Calibri" w:hAnsi="Calibri"/>
                <w:sz w:val="24"/>
                <w:szCs w:val="24"/>
              </w:rPr>
            </w:pPr>
            <w:r>
              <w:rPr>
                <w:rFonts w:ascii="Calibri" w:hAnsi="Calibri"/>
                <w:sz w:val="24"/>
                <w:szCs w:val="24"/>
              </w:rPr>
              <w:t>(b) No new build dwelling hereby approved shall be first occupied until the new estate road(s) affording access to those dwelling(s) has been constructed in accordance with the Lancashire County Council Specification for Construction of Estate Roads to at least base course level.</w:t>
            </w:r>
          </w:p>
          <w:p w14:paraId="0A3E0BDF" w14:textId="77777777" w:rsidR="00EE3330" w:rsidRDefault="00EE3330">
            <w:pPr>
              <w:pStyle w:val="TableText"/>
              <w:rPr>
                <w:rFonts w:ascii="Calibri" w:hAnsi="Calibri"/>
                <w:sz w:val="24"/>
                <w:szCs w:val="24"/>
              </w:rPr>
            </w:pPr>
          </w:p>
          <w:p w14:paraId="49850A78" w14:textId="77777777" w:rsidR="00EE3330" w:rsidRDefault="00EE3330">
            <w:pPr>
              <w:pStyle w:val="TableText"/>
              <w:rPr>
                <w:rFonts w:ascii="Calibri" w:hAnsi="Calibri"/>
                <w:sz w:val="24"/>
                <w:szCs w:val="24"/>
              </w:rPr>
            </w:pPr>
            <w:r>
              <w:rPr>
                <w:rFonts w:ascii="Calibri" w:hAnsi="Calibri"/>
                <w:sz w:val="24"/>
                <w:szCs w:val="24"/>
              </w:rPr>
              <w:t>(c) In the event that the new estate road is not proposed for adoption by the Local Highway Authority then details of their road construction (surface materials and depth) and highway infrastructure (footways, street lighting, drainage) shall be submitted to, and approved in writing by, the Local Planning Authority. No new build dwellings hereby approved shall be first occupied until the new estate road(s) affording access to such dwellings has been constructed in accordance with the approved details.</w:t>
            </w:r>
          </w:p>
          <w:p w14:paraId="72A89944" w14:textId="77777777" w:rsidR="00EE3330" w:rsidRDefault="00EE3330">
            <w:pPr>
              <w:pStyle w:val="TableText"/>
              <w:rPr>
                <w:rFonts w:ascii="Calibri" w:hAnsi="Calibri"/>
                <w:sz w:val="24"/>
                <w:szCs w:val="24"/>
              </w:rPr>
            </w:pPr>
          </w:p>
          <w:p w14:paraId="62D2AF2E" w14:textId="77777777" w:rsidR="00EE3330" w:rsidRDefault="00EE3330">
            <w:pPr>
              <w:pStyle w:val="TableText"/>
              <w:rPr>
                <w:rFonts w:ascii="Calibri" w:hAnsi="Calibri"/>
                <w:sz w:val="24"/>
                <w:szCs w:val="24"/>
              </w:rPr>
            </w:pPr>
            <w:r>
              <w:rPr>
                <w:rFonts w:ascii="Calibri" w:hAnsi="Calibri"/>
                <w:sz w:val="24"/>
                <w:szCs w:val="24"/>
              </w:rPr>
              <w:t>REASON: To ensure that the road surfaces are visually acceptable and that any private roads are of sufficiently adequate construction to support any loading applied to them to enable effective waste management and emergency services access, and that the necessary infrastructure is provided.</w:t>
            </w:r>
          </w:p>
          <w:p w14:paraId="6D54317C" w14:textId="77777777" w:rsidR="00EE3330" w:rsidRDefault="00EE3330">
            <w:pPr>
              <w:pStyle w:val="TableText"/>
              <w:rPr>
                <w:rFonts w:ascii="Calibri" w:hAnsi="Calibri"/>
                <w:sz w:val="24"/>
                <w:szCs w:val="24"/>
              </w:rPr>
            </w:pPr>
          </w:p>
          <w:p w14:paraId="7A7B859C" w14:textId="33D81F19" w:rsidR="00EE3330" w:rsidRDefault="00EE3330" w:rsidP="00EE3330">
            <w:pPr>
              <w:pStyle w:val="TableText"/>
              <w:jc w:val="right"/>
              <w:rPr>
                <w:rFonts w:ascii="Calibri" w:hAnsi="Calibri"/>
                <w:sz w:val="24"/>
                <w:szCs w:val="24"/>
              </w:rPr>
            </w:pPr>
            <w:r>
              <w:rPr>
                <w:rFonts w:ascii="Calibri" w:hAnsi="Calibri"/>
                <w:sz w:val="24"/>
                <w:szCs w:val="24"/>
              </w:rPr>
              <w:t>P.T.O.</w:t>
            </w:r>
          </w:p>
        </w:tc>
      </w:tr>
      <w:tr w:rsidR="00EE3330" w:rsidRPr="00DD62CA" w14:paraId="5B566817" w14:textId="77777777" w:rsidTr="003243B5">
        <w:trPr>
          <w:cantSplit/>
          <w:trHeight w:val="527"/>
        </w:trPr>
        <w:tc>
          <w:tcPr>
            <w:tcW w:w="988" w:type="dxa"/>
          </w:tcPr>
          <w:p w14:paraId="14455B17" w14:textId="671EAA55" w:rsidR="00EE3330" w:rsidRPr="00DD62CA" w:rsidRDefault="00BB4059" w:rsidP="00BB4059">
            <w:pPr>
              <w:pStyle w:val="TableText"/>
              <w:ind w:left="720"/>
              <w:rPr>
                <w:rFonts w:ascii="Calibri" w:hAnsi="Calibri"/>
                <w:sz w:val="24"/>
                <w:szCs w:val="24"/>
              </w:rPr>
            </w:pPr>
            <w:r>
              <w:rPr>
                <w:rFonts w:ascii="Calibri" w:hAnsi="Calibri"/>
                <w:sz w:val="24"/>
                <w:szCs w:val="24"/>
              </w:rPr>
              <w:lastRenderedPageBreak/>
              <w:t>6</w:t>
            </w:r>
          </w:p>
        </w:tc>
        <w:tc>
          <w:tcPr>
            <w:tcW w:w="9365" w:type="dxa"/>
            <w:gridSpan w:val="2"/>
          </w:tcPr>
          <w:p w14:paraId="55DA8CF6" w14:textId="1FCE976B" w:rsidR="00EE3330" w:rsidRDefault="00EE3330">
            <w:pPr>
              <w:pStyle w:val="TableText"/>
              <w:rPr>
                <w:rFonts w:ascii="Calibri" w:hAnsi="Calibri"/>
                <w:sz w:val="24"/>
                <w:szCs w:val="24"/>
              </w:rPr>
            </w:pPr>
            <w:r>
              <w:rPr>
                <w:rFonts w:ascii="Calibri" w:hAnsi="Calibri"/>
                <w:sz w:val="24"/>
                <w:szCs w:val="24"/>
              </w:rPr>
              <w:tab/>
              <w:t xml:space="preserve">(a) Prior to the first occupation of any new build dwelling, the proposed arrangements for future management and maintenance of the roads/ footways/ cycleways associated with that phase of the development shall be submitted to, and approved in writing by, the Local Planning Authority. These details shall include a plan showing areas of highway proposed for adoption by the Local Highway Authority and any areas proposed for private management. </w:t>
            </w:r>
          </w:p>
          <w:p w14:paraId="144D7DE7" w14:textId="77777777" w:rsidR="00EE3330" w:rsidRDefault="00EE3330">
            <w:pPr>
              <w:pStyle w:val="TableText"/>
              <w:rPr>
                <w:rFonts w:ascii="Calibri" w:hAnsi="Calibri"/>
                <w:sz w:val="24"/>
                <w:szCs w:val="24"/>
              </w:rPr>
            </w:pPr>
          </w:p>
          <w:p w14:paraId="4403B0AD" w14:textId="77777777" w:rsidR="00EE3330" w:rsidRDefault="00EE3330">
            <w:pPr>
              <w:pStyle w:val="TableText"/>
              <w:rPr>
                <w:rFonts w:ascii="Calibri" w:hAnsi="Calibri"/>
                <w:sz w:val="24"/>
                <w:szCs w:val="24"/>
              </w:rPr>
            </w:pPr>
            <w:r>
              <w:rPr>
                <w:rFonts w:ascii="Calibri" w:hAnsi="Calibri"/>
                <w:sz w:val="24"/>
                <w:szCs w:val="24"/>
              </w:rPr>
              <w:t>(b) Should the plan required as per the above show that any highway within the estate would be privately managed, details of a Road Management Plan to detail how those sections of highway would be maintained in perpetuity, such as a private management and maintenance company to be established if applicable, shall be submitted to and approved in writing by the Local Planning Authority. The highway shall thereafter be maintained in accordance with the approved management and maintenance details or until such time as an agreement has been entered into under section 38 of the Highways Act 1980.</w:t>
            </w:r>
          </w:p>
          <w:p w14:paraId="2A876353" w14:textId="77777777" w:rsidR="00EE3330" w:rsidRDefault="00EE3330">
            <w:pPr>
              <w:pStyle w:val="TableText"/>
              <w:rPr>
                <w:rFonts w:ascii="Calibri" w:hAnsi="Calibri"/>
                <w:sz w:val="24"/>
                <w:szCs w:val="24"/>
              </w:rPr>
            </w:pPr>
          </w:p>
          <w:p w14:paraId="55473070" w14:textId="77777777" w:rsidR="00EE3330" w:rsidRDefault="00EE3330">
            <w:pPr>
              <w:pStyle w:val="TableText"/>
              <w:rPr>
                <w:rFonts w:ascii="Calibri" w:hAnsi="Calibri"/>
                <w:sz w:val="24"/>
                <w:szCs w:val="24"/>
              </w:rPr>
            </w:pPr>
            <w:r>
              <w:rPr>
                <w:rFonts w:ascii="Calibri" w:hAnsi="Calibri"/>
                <w:sz w:val="24"/>
                <w:szCs w:val="24"/>
              </w:rPr>
              <w:t xml:space="preserve">(c) Should the plan required as per the above show that any highway within the estate would be proposed for adoption by the Local Highway Authority, those roads/ footways/ cycleways shall be made up to, and retained thereafter to, the Local Highway Authority's Adoptable Standards.  </w:t>
            </w:r>
          </w:p>
          <w:p w14:paraId="31CC2E1C" w14:textId="77777777" w:rsidR="00EE3330" w:rsidRDefault="00EE3330">
            <w:pPr>
              <w:pStyle w:val="TableText"/>
              <w:rPr>
                <w:rFonts w:ascii="Calibri" w:hAnsi="Calibri"/>
                <w:sz w:val="24"/>
                <w:szCs w:val="24"/>
              </w:rPr>
            </w:pPr>
          </w:p>
          <w:p w14:paraId="1D086FE8" w14:textId="77777777" w:rsidR="00EE3330" w:rsidRDefault="00EE3330">
            <w:pPr>
              <w:pStyle w:val="TableText"/>
              <w:rPr>
                <w:rFonts w:ascii="Calibri" w:hAnsi="Calibri"/>
                <w:sz w:val="24"/>
                <w:szCs w:val="24"/>
              </w:rPr>
            </w:pPr>
            <w:r>
              <w:rPr>
                <w:rFonts w:ascii="Calibri" w:hAnsi="Calibri"/>
                <w:sz w:val="24"/>
                <w:szCs w:val="24"/>
              </w:rPr>
              <w:t>REASON:  To ensure that all highways, footways and cycleways will be maintained to a sufficient standard by either the Local Highway Authority or by a site management company</w:t>
            </w:r>
          </w:p>
          <w:p w14:paraId="43C4434B" w14:textId="0111A58B" w:rsidR="00EE3330" w:rsidRDefault="00EE3330">
            <w:pPr>
              <w:pStyle w:val="TableText"/>
              <w:rPr>
                <w:rFonts w:ascii="Calibri" w:hAnsi="Calibri"/>
                <w:sz w:val="24"/>
                <w:szCs w:val="24"/>
              </w:rPr>
            </w:pPr>
          </w:p>
        </w:tc>
      </w:tr>
      <w:tr w:rsidR="00EE3330" w:rsidRPr="00DD62CA" w14:paraId="2E371EDC" w14:textId="77777777" w:rsidTr="003243B5">
        <w:trPr>
          <w:cantSplit/>
          <w:trHeight w:val="527"/>
        </w:trPr>
        <w:tc>
          <w:tcPr>
            <w:tcW w:w="988" w:type="dxa"/>
          </w:tcPr>
          <w:p w14:paraId="612781CF" w14:textId="2BE540E3" w:rsidR="00EE3330" w:rsidRPr="00DD62CA" w:rsidRDefault="00BB4059" w:rsidP="00BB4059">
            <w:pPr>
              <w:pStyle w:val="TableText"/>
              <w:jc w:val="right"/>
              <w:rPr>
                <w:rFonts w:ascii="Calibri" w:hAnsi="Calibri"/>
                <w:sz w:val="24"/>
                <w:szCs w:val="24"/>
              </w:rPr>
            </w:pPr>
            <w:r>
              <w:rPr>
                <w:rFonts w:ascii="Calibri" w:hAnsi="Calibri"/>
                <w:sz w:val="24"/>
                <w:szCs w:val="24"/>
              </w:rPr>
              <w:t>7.</w:t>
            </w:r>
          </w:p>
        </w:tc>
        <w:tc>
          <w:tcPr>
            <w:tcW w:w="9365" w:type="dxa"/>
            <w:gridSpan w:val="2"/>
          </w:tcPr>
          <w:p w14:paraId="624A5C1B" w14:textId="3E6C8DB1" w:rsidR="00EE3330" w:rsidRDefault="00EE3330">
            <w:pPr>
              <w:pStyle w:val="TableText"/>
              <w:rPr>
                <w:rFonts w:ascii="Calibri" w:hAnsi="Calibri"/>
                <w:sz w:val="24"/>
                <w:szCs w:val="24"/>
              </w:rPr>
            </w:pPr>
            <w:r>
              <w:rPr>
                <w:rFonts w:ascii="Calibri" w:hAnsi="Calibri"/>
                <w:sz w:val="24"/>
                <w:szCs w:val="24"/>
              </w:rPr>
              <w:tab/>
              <w:t xml:space="preserve">No part of the new build phase of development hereby permitted shall be occupied until such time as the western site access arrangements shown on LMP drawing number 21/139/P01 Rev D have been implemented in full. </w:t>
            </w:r>
          </w:p>
          <w:p w14:paraId="2DBC839E" w14:textId="77777777" w:rsidR="00EE3330" w:rsidRDefault="00EE3330">
            <w:pPr>
              <w:pStyle w:val="TableText"/>
              <w:rPr>
                <w:rFonts w:ascii="Calibri" w:hAnsi="Calibri"/>
                <w:sz w:val="24"/>
                <w:szCs w:val="24"/>
              </w:rPr>
            </w:pPr>
          </w:p>
          <w:p w14:paraId="220EE798" w14:textId="77777777" w:rsidR="00EE3330" w:rsidRDefault="00EE3330">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in the interests of general highway safety and in accordance with the National Planning Policy Framework (2021).</w:t>
            </w:r>
          </w:p>
          <w:p w14:paraId="43ABBB24" w14:textId="344A50EA" w:rsidR="00EE3330" w:rsidRDefault="00EE3330">
            <w:pPr>
              <w:pStyle w:val="TableText"/>
              <w:rPr>
                <w:rFonts w:ascii="Calibri" w:hAnsi="Calibri"/>
                <w:sz w:val="24"/>
                <w:szCs w:val="24"/>
              </w:rPr>
            </w:pPr>
          </w:p>
        </w:tc>
      </w:tr>
      <w:tr w:rsidR="00EE3330" w:rsidRPr="00DD62CA" w14:paraId="3499835F" w14:textId="77777777" w:rsidTr="003243B5">
        <w:trPr>
          <w:cantSplit/>
          <w:trHeight w:val="527"/>
        </w:trPr>
        <w:tc>
          <w:tcPr>
            <w:tcW w:w="988" w:type="dxa"/>
          </w:tcPr>
          <w:p w14:paraId="1EE6C070" w14:textId="359A1F7A" w:rsidR="00EE3330" w:rsidRPr="00DD62CA" w:rsidRDefault="00BB4059" w:rsidP="00BB4059">
            <w:pPr>
              <w:pStyle w:val="TableText"/>
              <w:jc w:val="right"/>
              <w:rPr>
                <w:rFonts w:ascii="Calibri" w:hAnsi="Calibri"/>
                <w:sz w:val="24"/>
                <w:szCs w:val="24"/>
              </w:rPr>
            </w:pPr>
            <w:r>
              <w:rPr>
                <w:rFonts w:ascii="Calibri" w:hAnsi="Calibri"/>
                <w:sz w:val="24"/>
                <w:szCs w:val="24"/>
              </w:rPr>
              <w:t>8.</w:t>
            </w:r>
          </w:p>
        </w:tc>
        <w:tc>
          <w:tcPr>
            <w:tcW w:w="9365" w:type="dxa"/>
            <w:gridSpan w:val="2"/>
          </w:tcPr>
          <w:p w14:paraId="5300685A" w14:textId="103796E7" w:rsidR="00EE3330" w:rsidRDefault="00EE3330">
            <w:pPr>
              <w:pStyle w:val="TableText"/>
              <w:rPr>
                <w:rFonts w:ascii="Calibri" w:hAnsi="Calibri"/>
                <w:sz w:val="24"/>
                <w:szCs w:val="24"/>
              </w:rPr>
            </w:pPr>
            <w:r>
              <w:rPr>
                <w:rFonts w:ascii="Calibri" w:hAnsi="Calibri"/>
                <w:sz w:val="24"/>
                <w:szCs w:val="24"/>
              </w:rPr>
              <w:tab/>
              <w:t>No part of the new build phase of development hereby approved shall commence until a scheme for the construction of the site access and the off-site works of highway mitigation namely:</w:t>
            </w:r>
          </w:p>
          <w:p w14:paraId="6DA43306" w14:textId="77777777" w:rsidR="00EE3330" w:rsidRDefault="00EE3330">
            <w:pPr>
              <w:pStyle w:val="TableText"/>
              <w:rPr>
                <w:rFonts w:ascii="Calibri" w:hAnsi="Calibri"/>
                <w:sz w:val="24"/>
                <w:szCs w:val="24"/>
              </w:rPr>
            </w:pPr>
          </w:p>
          <w:p w14:paraId="1759FED8"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Tactile paving provided on both sides of the footway at the two junctions serving the site. </w:t>
            </w:r>
          </w:p>
          <w:p w14:paraId="7316B2A7"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Highway signage improvement scheme (from the site to Mill Hay Barn, Sawley Road, Chatburn). </w:t>
            </w:r>
          </w:p>
          <w:p w14:paraId="0774BFE7" w14:textId="77777777" w:rsidR="00EE3330" w:rsidRDefault="00EE3330">
            <w:pPr>
              <w:pStyle w:val="TableText"/>
              <w:rPr>
                <w:rFonts w:ascii="Calibri" w:hAnsi="Calibri"/>
                <w:sz w:val="24"/>
                <w:szCs w:val="24"/>
              </w:rPr>
            </w:pPr>
          </w:p>
          <w:p w14:paraId="2B8E3B59" w14:textId="77777777" w:rsidR="00EE3330" w:rsidRDefault="00EE3330">
            <w:pPr>
              <w:pStyle w:val="TableText"/>
              <w:rPr>
                <w:rFonts w:ascii="Calibri" w:hAnsi="Calibri"/>
                <w:sz w:val="24"/>
                <w:szCs w:val="24"/>
              </w:rPr>
            </w:pPr>
            <w:r>
              <w:rPr>
                <w:rFonts w:ascii="Calibri" w:hAnsi="Calibri"/>
                <w:sz w:val="24"/>
                <w:szCs w:val="24"/>
              </w:rPr>
              <w:t xml:space="preserve">has been submitted to, and approved in writing by, the Local Planning Authority including a timetable for implementation. The works shall be completed in accordance with the approved details including approved timetable. </w:t>
            </w:r>
          </w:p>
          <w:p w14:paraId="102BAA13" w14:textId="77777777" w:rsidR="00EE3330" w:rsidRDefault="00EE3330">
            <w:pPr>
              <w:pStyle w:val="TableText"/>
              <w:rPr>
                <w:rFonts w:ascii="Calibri" w:hAnsi="Calibri"/>
                <w:sz w:val="24"/>
                <w:szCs w:val="24"/>
              </w:rPr>
            </w:pPr>
          </w:p>
          <w:p w14:paraId="0267FB85" w14:textId="77777777" w:rsidR="00EE3330" w:rsidRDefault="00EE3330">
            <w:pPr>
              <w:pStyle w:val="TableText"/>
              <w:rPr>
                <w:rFonts w:ascii="Calibri" w:hAnsi="Calibri"/>
                <w:sz w:val="24"/>
                <w:szCs w:val="24"/>
              </w:rPr>
            </w:pPr>
            <w:r>
              <w:rPr>
                <w:rFonts w:ascii="Calibri" w:hAnsi="Calibri"/>
                <w:sz w:val="24"/>
                <w:szCs w:val="24"/>
              </w:rPr>
              <w:t>REASON: In order to satisfy the Local Planning Authority that the final details of the highway scheme/works are acceptable before work commences on site.</w:t>
            </w:r>
          </w:p>
          <w:p w14:paraId="39B3DADF" w14:textId="77777777" w:rsidR="00EE3330" w:rsidRDefault="00EE3330">
            <w:pPr>
              <w:pStyle w:val="TableText"/>
              <w:rPr>
                <w:rFonts w:ascii="Calibri" w:hAnsi="Calibri"/>
                <w:sz w:val="24"/>
                <w:szCs w:val="24"/>
              </w:rPr>
            </w:pPr>
          </w:p>
          <w:p w14:paraId="15713F63" w14:textId="0B34E6EB" w:rsidR="00EE3330" w:rsidRDefault="00BB4059" w:rsidP="00BB4059">
            <w:pPr>
              <w:pStyle w:val="TableText"/>
              <w:jc w:val="right"/>
              <w:rPr>
                <w:rFonts w:ascii="Calibri" w:hAnsi="Calibri"/>
                <w:sz w:val="24"/>
                <w:szCs w:val="24"/>
              </w:rPr>
            </w:pPr>
            <w:r>
              <w:rPr>
                <w:rFonts w:ascii="Calibri" w:hAnsi="Calibri"/>
                <w:sz w:val="24"/>
                <w:szCs w:val="24"/>
              </w:rPr>
              <w:t>P.T.O.</w:t>
            </w:r>
          </w:p>
        </w:tc>
      </w:tr>
      <w:tr w:rsidR="00EE3330" w:rsidRPr="00DD62CA" w14:paraId="2D3A3629" w14:textId="77777777" w:rsidTr="003243B5">
        <w:trPr>
          <w:cantSplit/>
          <w:trHeight w:val="527"/>
        </w:trPr>
        <w:tc>
          <w:tcPr>
            <w:tcW w:w="988" w:type="dxa"/>
          </w:tcPr>
          <w:p w14:paraId="583F7FDB" w14:textId="0B82BBB3" w:rsidR="00EE3330" w:rsidRPr="00DD62CA" w:rsidRDefault="00BB4059" w:rsidP="00BB4059">
            <w:pPr>
              <w:pStyle w:val="TableText"/>
              <w:jc w:val="right"/>
              <w:rPr>
                <w:rFonts w:ascii="Calibri" w:hAnsi="Calibri"/>
                <w:sz w:val="24"/>
                <w:szCs w:val="24"/>
              </w:rPr>
            </w:pPr>
            <w:r>
              <w:rPr>
                <w:rFonts w:ascii="Calibri" w:hAnsi="Calibri"/>
                <w:sz w:val="24"/>
                <w:szCs w:val="24"/>
              </w:rPr>
              <w:lastRenderedPageBreak/>
              <w:t>9.</w:t>
            </w:r>
          </w:p>
        </w:tc>
        <w:tc>
          <w:tcPr>
            <w:tcW w:w="9365" w:type="dxa"/>
            <w:gridSpan w:val="2"/>
          </w:tcPr>
          <w:p w14:paraId="4BA1EF7C" w14:textId="68C32B27" w:rsidR="00EE3330" w:rsidRDefault="00EE3330">
            <w:pPr>
              <w:pStyle w:val="TableText"/>
              <w:rPr>
                <w:rFonts w:ascii="Calibri" w:hAnsi="Calibri"/>
                <w:sz w:val="24"/>
                <w:szCs w:val="24"/>
              </w:rPr>
            </w:pPr>
            <w:r>
              <w:rPr>
                <w:rFonts w:ascii="Calibri" w:hAnsi="Calibri"/>
                <w:sz w:val="24"/>
                <w:szCs w:val="24"/>
              </w:rPr>
              <w:tab/>
              <w:t>No part of the new build phase of development shall take place, including any works of demolition or site clearance, until a Construction Management Plan (CMP) or Construction Method Statement (CMS) has been submitted to, and approved in writing by the local planning authority. The approved plan / statement shall provide:</w:t>
            </w:r>
          </w:p>
          <w:p w14:paraId="635F9249" w14:textId="77777777" w:rsidR="00EE3330" w:rsidRDefault="00EE3330">
            <w:pPr>
              <w:pStyle w:val="TableText"/>
              <w:rPr>
                <w:rFonts w:ascii="Calibri" w:hAnsi="Calibri"/>
                <w:sz w:val="24"/>
                <w:szCs w:val="24"/>
              </w:rPr>
            </w:pPr>
          </w:p>
          <w:p w14:paraId="0199708A"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24 Hour emergency contact number;</w:t>
            </w:r>
          </w:p>
          <w:p w14:paraId="05A50A66"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Details of the parking of vehicles of site operatives and visitors; </w:t>
            </w:r>
          </w:p>
          <w:p w14:paraId="5803E094"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Details of loading and unloading of plant and materials; </w:t>
            </w:r>
          </w:p>
          <w:p w14:paraId="5279A854"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Arrangements for turning of vehicles within the site;</w:t>
            </w:r>
          </w:p>
          <w:p w14:paraId="07D7F907"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Swept path analysis showing access for the largest vehicles regularly accessing the site and measures to ensure adequate space is available and maintained, including any necessary temporary traffic management measures;</w:t>
            </w:r>
          </w:p>
          <w:p w14:paraId="59F42982"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Measures to protect vulnerable road users (pedestrians and cyclists);</w:t>
            </w:r>
          </w:p>
          <w:p w14:paraId="3D06689B"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The erection and maintenance of security hoarding including decorative displays and facilities for public viewing, where appropriate; </w:t>
            </w:r>
          </w:p>
          <w:p w14:paraId="0ECD314A"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Wheel washing facilities; </w:t>
            </w:r>
          </w:p>
          <w:p w14:paraId="7B268CB4"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Measures to deal with dirt, debris, mud or loose material deposited on the highway as a result of construction;</w:t>
            </w:r>
          </w:p>
          <w:p w14:paraId="7F7EB9B9"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Measures to control the emission of dust and dirt during construction; </w:t>
            </w:r>
          </w:p>
          <w:p w14:paraId="48931A89"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 xml:space="preserve">Details of a scheme for recycling/disposing of waste resulting from demolition and construction works; </w:t>
            </w:r>
          </w:p>
          <w:p w14:paraId="6564A477"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Construction vehicle routing;</w:t>
            </w:r>
          </w:p>
          <w:p w14:paraId="49954C35" w14:textId="77777777" w:rsidR="00EE3330" w:rsidRDefault="00EE3330">
            <w:pPr>
              <w:pStyle w:val="TableText"/>
              <w:rPr>
                <w:rFonts w:ascii="Calibri" w:hAnsi="Calibri"/>
                <w:sz w:val="24"/>
                <w:szCs w:val="24"/>
              </w:rPr>
            </w:pPr>
            <w:r>
              <w:rPr>
                <w:rFonts w:ascii="Calibri" w:hAnsi="Calibri"/>
                <w:sz w:val="24"/>
                <w:szCs w:val="24"/>
              </w:rPr>
              <w:t xml:space="preserve">o </w:t>
            </w:r>
            <w:r>
              <w:rPr>
                <w:rFonts w:ascii="Calibri" w:hAnsi="Calibri"/>
                <w:sz w:val="24"/>
                <w:szCs w:val="24"/>
              </w:rPr>
              <w:tab/>
              <w:t>Delivery, demolition and construction working hours.</w:t>
            </w:r>
          </w:p>
          <w:p w14:paraId="3E1CF279" w14:textId="77777777" w:rsidR="00EE3330" w:rsidRDefault="00EE3330">
            <w:pPr>
              <w:pStyle w:val="TableText"/>
              <w:rPr>
                <w:rFonts w:ascii="Calibri" w:hAnsi="Calibri"/>
                <w:sz w:val="24"/>
                <w:szCs w:val="24"/>
              </w:rPr>
            </w:pPr>
          </w:p>
          <w:p w14:paraId="31AF4712" w14:textId="77777777" w:rsidR="00EE3330" w:rsidRDefault="00EE3330">
            <w:pPr>
              <w:pStyle w:val="TableText"/>
              <w:rPr>
                <w:rFonts w:ascii="Calibri" w:hAnsi="Calibri"/>
                <w:sz w:val="24"/>
                <w:szCs w:val="24"/>
              </w:rPr>
            </w:pPr>
            <w:r>
              <w:rPr>
                <w:rFonts w:ascii="Calibri" w:hAnsi="Calibri"/>
                <w:sz w:val="24"/>
                <w:szCs w:val="24"/>
              </w:rPr>
              <w:t>The approved Construction Management Plan or Construction Method Statement shall be adhered to throughout the construction period for the development.</w:t>
            </w:r>
          </w:p>
          <w:p w14:paraId="21791714" w14:textId="77777777" w:rsidR="00EE3330" w:rsidRDefault="00EE3330">
            <w:pPr>
              <w:pStyle w:val="TableText"/>
              <w:rPr>
                <w:rFonts w:ascii="Calibri" w:hAnsi="Calibri"/>
                <w:sz w:val="24"/>
                <w:szCs w:val="24"/>
              </w:rPr>
            </w:pPr>
          </w:p>
          <w:p w14:paraId="1B14E6AC" w14:textId="77777777" w:rsidR="00EE3330" w:rsidRDefault="00EE3330">
            <w:pPr>
              <w:pStyle w:val="TableText"/>
              <w:rPr>
                <w:rFonts w:ascii="Calibri" w:hAnsi="Calibri"/>
                <w:sz w:val="24"/>
                <w:szCs w:val="24"/>
              </w:rPr>
            </w:pPr>
            <w:r>
              <w:rPr>
                <w:rFonts w:ascii="Calibri" w:hAnsi="Calibri"/>
                <w:sz w:val="24"/>
                <w:szCs w:val="24"/>
              </w:rPr>
              <w:t>REASON: In the interests of the safe operation of the adopted highway during the demolition and construction phases.</w:t>
            </w:r>
          </w:p>
          <w:p w14:paraId="1718CB41" w14:textId="3D770C05" w:rsidR="00EE3330" w:rsidRDefault="00EE3330">
            <w:pPr>
              <w:pStyle w:val="TableText"/>
              <w:rPr>
                <w:rFonts w:ascii="Calibri" w:hAnsi="Calibri"/>
                <w:sz w:val="24"/>
                <w:szCs w:val="24"/>
              </w:rPr>
            </w:pPr>
          </w:p>
        </w:tc>
      </w:tr>
      <w:tr w:rsidR="00EE3330" w:rsidRPr="00DD62CA" w14:paraId="668889B8" w14:textId="77777777" w:rsidTr="003243B5">
        <w:trPr>
          <w:cantSplit/>
          <w:trHeight w:val="527"/>
        </w:trPr>
        <w:tc>
          <w:tcPr>
            <w:tcW w:w="988" w:type="dxa"/>
          </w:tcPr>
          <w:p w14:paraId="6FFC8479" w14:textId="651A95AE" w:rsidR="00EE3330" w:rsidRPr="00DD62CA" w:rsidRDefault="00BB4059" w:rsidP="00BB4059">
            <w:pPr>
              <w:pStyle w:val="TableText"/>
              <w:jc w:val="right"/>
              <w:rPr>
                <w:rFonts w:ascii="Calibri" w:hAnsi="Calibri"/>
                <w:sz w:val="24"/>
                <w:szCs w:val="24"/>
              </w:rPr>
            </w:pPr>
            <w:r>
              <w:rPr>
                <w:rFonts w:ascii="Calibri" w:hAnsi="Calibri"/>
                <w:sz w:val="24"/>
                <w:szCs w:val="24"/>
              </w:rPr>
              <w:t>10.</w:t>
            </w:r>
          </w:p>
        </w:tc>
        <w:tc>
          <w:tcPr>
            <w:tcW w:w="9365" w:type="dxa"/>
            <w:gridSpan w:val="2"/>
          </w:tcPr>
          <w:p w14:paraId="035A9F55" w14:textId="0878B625" w:rsidR="00EE3330" w:rsidRDefault="00EE3330">
            <w:pPr>
              <w:pStyle w:val="TableText"/>
              <w:rPr>
                <w:rFonts w:ascii="Calibri" w:hAnsi="Calibri"/>
                <w:sz w:val="24"/>
                <w:szCs w:val="24"/>
              </w:rPr>
            </w:pPr>
            <w:r>
              <w:rPr>
                <w:rFonts w:ascii="Calibri" w:hAnsi="Calibri"/>
                <w:sz w:val="24"/>
                <w:szCs w:val="24"/>
              </w:rPr>
              <w:tab/>
              <w:t>No part of the new build development hereby permitted shall be occupied until such time as vehicular visibility splays of 2.4 metres by 63 metres to the north and 2.4 metres by 61 metres to the south have been provided at the western site access. These shall thereafter be permanently maintained with nothing within those splays higher than 1 metres above the level of the adjacent footway/verge/highway.</w:t>
            </w:r>
          </w:p>
          <w:p w14:paraId="64767C3F" w14:textId="77777777" w:rsidR="00EE3330" w:rsidRDefault="00EE3330">
            <w:pPr>
              <w:pStyle w:val="TableText"/>
              <w:rPr>
                <w:rFonts w:ascii="Calibri" w:hAnsi="Calibri"/>
                <w:sz w:val="24"/>
                <w:szCs w:val="24"/>
              </w:rPr>
            </w:pPr>
          </w:p>
          <w:p w14:paraId="5C537B83" w14:textId="77777777" w:rsidR="00EE3330" w:rsidRDefault="00EE3330">
            <w:pPr>
              <w:pStyle w:val="TableText"/>
              <w:rPr>
                <w:rFonts w:ascii="Calibri" w:hAnsi="Calibri"/>
                <w:sz w:val="24"/>
                <w:szCs w:val="24"/>
              </w:rPr>
            </w:pPr>
            <w:r>
              <w:rPr>
                <w:rFonts w:ascii="Calibri" w:hAnsi="Calibri"/>
                <w:sz w:val="24"/>
                <w:szCs w:val="24"/>
              </w:rPr>
              <w:t>REASON: To afford adequate visibility at the access to cater for the expected volume of traffic joining the existing highway network, in the interests of general highway safety, and in accordance with the National Planning Policy Framework (2021).</w:t>
            </w:r>
          </w:p>
          <w:p w14:paraId="35A7EF5B" w14:textId="77777777" w:rsidR="00EE3330" w:rsidRDefault="00EE3330">
            <w:pPr>
              <w:pStyle w:val="TableText"/>
              <w:rPr>
                <w:rFonts w:ascii="Calibri" w:hAnsi="Calibri"/>
                <w:sz w:val="24"/>
                <w:szCs w:val="24"/>
              </w:rPr>
            </w:pPr>
          </w:p>
          <w:p w14:paraId="4B456D1D" w14:textId="77777777" w:rsidR="00BB4059" w:rsidRDefault="00BB4059">
            <w:pPr>
              <w:pStyle w:val="TableText"/>
              <w:rPr>
                <w:rFonts w:ascii="Calibri" w:hAnsi="Calibri"/>
                <w:sz w:val="24"/>
                <w:szCs w:val="24"/>
              </w:rPr>
            </w:pPr>
          </w:p>
          <w:p w14:paraId="296C0E73" w14:textId="77777777" w:rsidR="00BB4059" w:rsidRDefault="00BB4059">
            <w:pPr>
              <w:pStyle w:val="TableText"/>
              <w:rPr>
                <w:rFonts w:ascii="Calibri" w:hAnsi="Calibri"/>
                <w:sz w:val="24"/>
                <w:szCs w:val="24"/>
              </w:rPr>
            </w:pPr>
          </w:p>
          <w:p w14:paraId="26860A4D" w14:textId="77777777" w:rsidR="00BB4059" w:rsidRDefault="00BB4059">
            <w:pPr>
              <w:pStyle w:val="TableText"/>
              <w:rPr>
                <w:rFonts w:ascii="Calibri" w:hAnsi="Calibri"/>
                <w:sz w:val="24"/>
                <w:szCs w:val="24"/>
              </w:rPr>
            </w:pPr>
          </w:p>
          <w:p w14:paraId="4572F75D" w14:textId="3BE5456F" w:rsidR="00BB4059" w:rsidRDefault="00BB4059" w:rsidP="00BB4059">
            <w:pPr>
              <w:pStyle w:val="TableText"/>
              <w:jc w:val="right"/>
              <w:rPr>
                <w:rFonts w:ascii="Calibri" w:hAnsi="Calibri"/>
                <w:sz w:val="24"/>
                <w:szCs w:val="24"/>
              </w:rPr>
            </w:pPr>
            <w:r>
              <w:rPr>
                <w:rFonts w:ascii="Calibri" w:hAnsi="Calibri"/>
                <w:sz w:val="24"/>
                <w:szCs w:val="24"/>
              </w:rPr>
              <w:t>P.T.O.</w:t>
            </w:r>
          </w:p>
        </w:tc>
      </w:tr>
      <w:tr w:rsidR="00EE3330" w:rsidRPr="00DD62CA" w14:paraId="0B0E02C5" w14:textId="77777777" w:rsidTr="003243B5">
        <w:trPr>
          <w:cantSplit/>
          <w:trHeight w:val="527"/>
        </w:trPr>
        <w:tc>
          <w:tcPr>
            <w:tcW w:w="988" w:type="dxa"/>
          </w:tcPr>
          <w:p w14:paraId="2E9A2084" w14:textId="5D428EC8" w:rsidR="00EE3330" w:rsidRPr="00DD62CA" w:rsidRDefault="00BB4059" w:rsidP="00BB4059">
            <w:pPr>
              <w:pStyle w:val="TableText"/>
              <w:jc w:val="right"/>
              <w:rPr>
                <w:rFonts w:ascii="Calibri" w:hAnsi="Calibri"/>
                <w:sz w:val="24"/>
                <w:szCs w:val="24"/>
              </w:rPr>
            </w:pPr>
            <w:r>
              <w:rPr>
                <w:rFonts w:ascii="Calibri" w:hAnsi="Calibri"/>
                <w:sz w:val="24"/>
                <w:szCs w:val="24"/>
              </w:rPr>
              <w:lastRenderedPageBreak/>
              <w:t>11.</w:t>
            </w:r>
          </w:p>
        </w:tc>
        <w:tc>
          <w:tcPr>
            <w:tcW w:w="9365" w:type="dxa"/>
            <w:gridSpan w:val="2"/>
          </w:tcPr>
          <w:p w14:paraId="5A19C52D" w14:textId="1136D805" w:rsidR="00EE3330" w:rsidRDefault="00EE3330">
            <w:pPr>
              <w:pStyle w:val="TableText"/>
              <w:rPr>
                <w:rFonts w:ascii="Calibri" w:hAnsi="Calibri"/>
                <w:sz w:val="24"/>
                <w:szCs w:val="24"/>
              </w:rPr>
            </w:pPr>
            <w:r>
              <w:rPr>
                <w:rFonts w:ascii="Calibri" w:hAnsi="Calibri"/>
                <w:sz w:val="24"/>
                <w:szCs w:val="24"/>
              </w:rPr>
              <w:t>No dwelling hereby permitted shall be occupied until such time as the applicable parking and turning facilities serving that dwelling have been implemented in accordance with LMP drawing number 21/139/P01 Rev D. Thereafter the onsite parking provision shall be so maintained in perpetuity.</w:t>
            </w:r>
          </w:p>
          <w:p w14:paraId="1D123E36" w14:textId="77777777" w:rsidR="00EE3330" w:rsidRDefault="00EE3330">
            <w:pPr>
              <w:pStyle w:val="TableText"/>
              <w:rPr>
                <w:rFonts w:ascii="Calibri" w:hAnsi="Calibri"/>
                <w:sz w:val="24"/>
                <w:szCs w:val="24"/>
              </w:rPr>
            </w:pPr>
          </w:p>
          <w:p w14:paraId="5BA6D270" w14:textId="77777777" w:rsidR="00EE3330" w:rsidRDefault="00EE3330">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(2021).</w:t>
            </w:r>
          </w:p>
          <w:p w14:paraId="69DE2A6A" w14:textId="15E70B3D" w:rsidR="00EE3330" w:rsidRDefault="00EE3330">
            <w:pPr>
              <w:pStyle w:val="TableText"/>
              <w:rPr>
                <w:rFonts w:ascii="Calibri" w:hAnsi="Calibri"/>
                <w:sz w:val="24"/>
                <w:szCs w:val="24"/>
              </w:rPr>
            </w:pPr>
          </w:p>
        </w:tc>
      </w:tr>
      <w:tr w:rsidR="00EE3330" w:rsidRPr="00DD62CA" w14:paraId="092934E2" w14:textId="77777777" w:rsidTr="00547AFA">
        <w:trPr>
          <w:cantSplit/>
          <w:trHeight w:val="527"/>
        </w:trPr>
        <w:tc>
          <w:tcPr>
            <w:tcW w:w="988" w:type="dxa"/>
          </w:tcPr>
          <w:p w14:paraId="0E1A374E" w14:textId="6D443437" w:rsidR="00EE3330" w:rsidRPr="00DD62CA" w:rsidRDefault="00BB4059" w:rsidP="00BB4059">
            <w:pPr>
              <w:pStyle w:val="TableText"/>
              <w:jc w:val="right"/>
              <w:rPr>
                <w:rFonts w:ascii="Calibri" w:hAnsi="Calibri"/>
                <w:sz w:val="24"/>
                <w:szCs w:val="24"/>
              </w:rPr>
            </w:pPr>
            <w:r>
              <w:rPr>
                <w:rFonts w:ascii="Calibri" w:hAnsi="Calibri"/>
                <w:sz w:val="24"/>
                <w:szCs w:val="24"/>
              </w:rPr>
              <w:t>12.</w:t>
            </w:r>
          </w:p>
        </w:tc>
        <w:tc>
          <w:tcPr>
            <w:tcW w:w="9365" w:type="dxa"/>
            <w:gridSpan w:val="2"/>
          </w:tcPr>
          <w:p w14:paraId="4BC6396E" w14:textId="27704006" w:rsidR="00EE3330" w:rsidRDefault="00EE3330">
            <w:pPr>
              <w:pStyle w:val="TableText"/>
              <w:rPr>
                <w:rFonts w:ascii="Calibri" w:hAnsi="Calibri"/>
                <w:sz w:val="24"/>
                <w:szCs w:val="24"/>
              </w:rPr>
            </w:pPr>
            <w:r>
              <w:rPr>
                <w:rFonts w:ascii="Calibri" w:hAnsi="Calibri"/>
                <w:sz w:val="24"/>
                <w:szCs w:val="24"/>
              </w:rPr>
              <w:tab/>
              <w:t>The development permitted by this planning permission shall be carried out in accordance with the principles set out within the site-specific flood risk assessment (September 2022 / Flood Risk Assessment and Drainage Strategy - 22.1150 / Reford Consulting Engineering Limited).</w:t>
            </w:r>
          </w:p>
          <w:p w14:paraId="2BDBBB26" w14:textId="77777777" w:rsidR="00EE3330" w:rsidRDefault="00EE3330">
            <w:pPr>
              <w:pStyle w:val="TableText"/>
              <w:rPr>
                <w:rFonts w:ascii="Calibri" w:hAnsi="Calibri"/>
                <w:sz w:val="24"/>
                <w:szCs w:val="24"/>
              </w:rPr>
            </w:pPr>
          </w:p>
          <w:p w14:paraId="5E6A0442" w14:textId="77777777" w:rsidR="00EE3330" w:rsidRDefault="00EE3330">
            <w:pPr>
              <w:pStyle w:val="TableText"/>
              <w:rPr>
                <w:rFonts w:ascii="Calibri" w:hAnsi="Calibri"/>
                <w:sz w:val="24"/>
                <w:szCs w:val="24"/>
              </w:rPr>
            </w:pPr>
            <w:r>
              <w:rPr>
                <w:rFonts w:ascii="Calibri" w:hAnsi="Calibri"/>
                <w:sz w:val="24"/>
                <w:szCs w:val="24"/>
              </w:rPr>
              <w:t>The measures shall be fully implemented prior to occupation of the development and in accordance with the timing / phasing arrangements embodied within the scheme, or within any other period as may subsequently be agreed, in writing, by the Local Planning Authority in consultation with the Lead Local Flood Authority.</w:t>
            </w:r>
          </w:p>
          <w:p w14:paraId="345A9459" w14:textId="77777777" w:rsidR="00EE3330" w:rsidRDefault="00EE3330">
            <w:pPr>
              <w:pStyle w:val="TableText"/>
              <w:rPr>
                <w:rFonts w:ascii="Calibri" w:hAnsi="Calibri"/>
                <w:sz w:val="24"/>
                <w:szCs w:val="24"/>
              </w:rPr>
            </w:pPr>
          </w:p>
          <w:p w14:paraId="59C1ABA0" w14:textId="77777777" w:rsidR="00EE3330" w:rsidRDefault="00EE3330">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the Paragraphs 167 and 169 of the National Planning Policy Framework, Planning Practice Guidance and Defra Technical Standards for Sustainable Drainage Systems.</w:t>
            </w:r>
          </w:p>
          <w:p w14:paraId="796EF12C" w14:textId="77777777" w:rsidR="00EE3330" w:rsidRDefault="00EE3330">
            <w:pPr>
              <w:pStyle w:val="TableText"/>
              <w:rPr>
                <w:rFonts w:ascii="Calibri" w:hAnsi="Calibri"/>
                <w:sz w:val="24"/>
                <w:szCs w:val="24"/>
              </w:rPr>
            </w:pPr>
          </w:p>
          <w:p w14:paraId="0C4E1B44" w14:textId="77777777" w:rsidR="00EE3330" w:rsidRDefault="00EE3330">
            <w:pPr>
              <w:pStyle w:val="TableText"/>
              <w:rPr>
                <w:rFonts w:ascii="Calibri" w:hAnsi="Calibri"/>
                <w:sz w:val="24"/>
                <w:szCs w:val="24"/>
              </w:rPr>
            </w:pPr>
          </w:p>
          <w:p w14:paraId="4EAFF234" w14:textId="77777777" w:rsidR="006668E5" w:rsidRDefault="006668E5">
            <w:pPr>
              <w:pStyle w:val="TableText"/>
              <w:rPr>
                <w:rFonts w:ascii="Calibri" w:hAnsi="Calibri"/>
                <w:sz w:val="24"/>
                <w:szCs w:val="24"/>
              </w:rPr>
            </w:pPr>
          </w:p>
          <w:p w14:paraId="3F703ADB" w14:textId="77777777" w:rsidR="006668E5" w:rsidRDefault="006668E5">
            <w:pPr>
              <w:pStyle w:val="TableText"/>
              <w:rPr>
                <w:rFonts w:ascii="Calibri" w:hAnsi="Calibri"/>
                <w:sz w:val="24"/>
                <w:szCs w:val="24"/>
              </w:rPr>
            </w:pPr>
          </w:p>
          <w:p w14:paraId="2EA38AA8" w14:textId="77777777" w:rsidR="006668E5" w:rsidRDefault="006668E5">
            <w:pPr>
              <w:pStyle w:val="TableText"/>
              <w:rPr>
                <w:rFonts w:ascii="Calibri" w:hAnsi="Calibri"/>
                <w:sz w:val="24"/>
                <w:szCs w:val="24"/>
              </w:rPr>
            </w:pPr>
          </w:p>
          <w:p w14:paraId="6A46518F" w14:textId="77777777" w:rsidR="006668E5" w:rsidRDefault="006668E5">
            <w:pPr>
              <w:pStyle w:val="TableText"/>
              <w:rPr>
                <w:rFonts w:ascii="Calibri" w:hAnsi="Calibri"/>
                <w:sz w:val="24"/>
                <w:szCs w:val="24"/>
              </w:rPr>
            </w:pPr>
          </w:p>
          <w:p w14:paraId="58AF8998" w14:textId="77777777" w:rsidR="006668E5" w:rsidRDefault="006668E5">
            <w:pPr>
              <w:pStyle w:val="TableText"/>
              <w:rPr>
                <w:rFonts w:ascii="Calibri" w:hAnsi="Calibri"/>
                <w:sz w:val="24"/>
                <w:szCs w:val="24"/>
              </w:rPr>
            </w:pPr>
          </w:p>
          <w:p w14:paraId="34A9DEEC" w14:textId="77777777" w:rsidR="006668E5" w:rsidRDefault="006668E5">
            <w:pPr>
              <w:pStyle w:val="TableText"/>
              <w:rPr>
                <w:rFonts w:ascii="Calibri" w:hAnsi="Calibri"/>
                <w:sz w:val="24"/>
                <w:szCs w:val="24"/>
              </w:rPr>
            </w:pPr>
          </w:p>
          <w:p w14:paraId="03B7F463" w14:textId="77777777" w:rsidR="006668E5" w:rsidRDefault="006668E5">
            <w:pPr>
              <w:pStyle w:val="TableText"/>
              <w:rPr>
                <w:rFonts w:ascii="Calibri" w:hAnsi="Calibri"/>
                <w:sz w:val="24"/>
                <w:szCs w:val="24"/>
              </w:rPr>
            </w:pPr>
          </w:p>
          <w:p w14:paraId="4FBF6877" w14:textId="77777777" w:rsidR="006668E5" w:rsidRDefault="006668E5">
            <w:pPr>
              <w:pStyle w:val="TableText"/>
              <w:rPr>
                <w:rFonts w:ascii="Calibri" w:hAnsi="Calibri"/>
                <w:sz w:val="24"/>
                <w:szCs w:val="24"/>
              </w:rPr>
            </w:pPr>
          </w:p>
          <w:p w14:paraId="0998AFB2" w14:textId="77777777" w:rsidR="006668E5" w:rsidRDefault="006668E5">
            <w:pPr>
              <w:pStyle w:val="TableText"/>
              <w:rPr>
                <w:rFonts w:ascii="Calibri" w:hAnsi="Calibri"/>
                <w:sz w:val="24"/>
                <w:szCs w:val="24"/>
              </w:rPr>
            </w:pPr>
          </w:p>
          <w:p w14:paraId="2449F707" w14:textId="77777777" w:rsidR="006668E5" w:rsidRDefault="006668E5">
            <w:pPr>
              <w:pStyle w:val="TableText"/>
              <w:rPr>
                <w:rFonts w:ascii="Calibri" w:hAnsi="Calibri"/>
                <w:sz w:val="24"/>
                <w:szCs w:val="24"/>
              </w:rPr>
            </w:pPr>
          </w:p>
          <w:p w14:paraId="5E4A65D8" w14:textId="77777777" w:rsidR="006668E5" w:rsidRDefault="006668E5">
            <w:pPr>
              <w:pStyle w:val="TableText"/>
              <w:rPr>
                <w:rFonts w:ascii="Calibri" w:hAnsi="Calibri"/>
                <w:sz w:val="24"/>
                <w:szCs w:val="24"/>
              </w:rPr>
            </w:pPr>
          </w:p>
          <w:p w14:paraId="05C11479" w14:textId="77777777" w:rsidR="006668E5" w:rsidRDefault="006668E5">
            <w:pPr>
              <w:pStyle w:val="TableText"/>
              <w:rPr>
                <w:rFonts w:ascii="Calibri" w:hAnsi="Calibri"/>
                <w:sz w:val="24"/>
                <w:szCs w:val="24"/>
              </w:rPr>
            </w:pPr>
          </w:p>
          <w:p w14:paraId="03B35B5D" w14:textId="77777777" w:rsidR="006668E5" w:rsidRDefault="006668E5">
            <w:pPr>
              <w:pStyle w:val="TableText"/>
              <w:rPr>
                <w:rFonts w:ascii="Calibri" w:hAnsi="Calibri"/>
                <w:sz w:val="24"/>
                <w:szCs w:val="24"/>
              </w:rPr>
            </w:pPr>
          </w:p>
          <w:p w14:paraId="205BF5FA" w14:textId="77777777" w:rsidR="006668E5" w:rsidRDefault="006668E5">
            <w:pPr>
              <w:pStyle w:val="TableText"/>
              <w:rPr>
                <w:rFonts w:ascii="Calibri" w:hAnsi="Calibri"/>
                <w:sz w:val="24"/>
                <w:szCs w:val="24"/>
              </w:rPr>
            </w:pPr>
          </w:p>
          <w:p w14:paraId="0978E80E" w14:textId="77777777" w:rsidR="006668E5" w:rsidRDefault="006668E5">
            <w:pPr>
              <w:pStyle w:val="TableText"/>
              <w:rPr>
                <w:rFonts w:ascii="Calibri" w:hAnsi="Calibri"/>
                <w:sz w:val="24"/>
                <w:szCs w:val="24"/>
              </w:rPr>
            </w:pPr>
          </w:p>
          <w:p w14:paraId="6E70B06C" w14:textId="77777777" w:rsidR="006668E5" w:rsidRDefault="006668E5">
            <w:pPr>
              <w:pStyle w:val="TableText"/>
              <w:rPr>
                <w:rFonts w:ascii="Calibri" w:hAnsi="Calibri"/>
                <w:sz w:val="24"/>
                <w:szCs w:val="24"/>
              </w:rPr>
            </w:pPr>
          </w:p>
          <w:p w14:paraId="7FD7378E" w14:textId="77777777" w:rsidR="006668E5" w:rsidRDefault="006668E5">
            <w:pPr>
              <w:pStyle w:val="TableText"/>
              <w:rPr>
                <w:rFonts w:ascii="Calibri" w:hAnsi="Calibri"/>
                <w:sz w:val="24"/>
                <w:szCs w:val="24"/>
              </w:rPr>
            </w:pPr>
          </w:p>
          <w:p w14:paraId="590059AA" w14:textId="77777777" w:rsidR="006668E5" w:rsidRDefault="006668E5">
            <w:pPr>
              <w:pStyle w:val="TableText"/>
              <w:rPr>
                <w:rFonts w:ascii="Calibri" w:hAnsi="Calibri"/>
                <w:sz w:val="24"/>
                <w:szCs w:val="24"/>
              </w:rPr>
            </w:pPr>
          </w:p>
          <w:p w14:paraId="1EC86722" w14:textId="2D0B34E5" w:rsidR="006668E5" w:rsidRDefault="006668E5" w:rsidP="006668E5">
            <w:pPr>
              <w:pStyle w:val="TableText"/>
              <w:jc w:val="right"/>
              <w:rPr>
                <w:rFonts w:ascii="Calibri" w:hAnsi="Calibri"/>
                <w:sz w:val="24"/>
                <w:szCs w:val="24"/>
              </w:rPr>
            </w:pPr>
            <w:r>
              <w:rPr>
                <w:rFonts w:ascii="Calibri" w:hAnsi="Calibri"/>
                <w:sz w:val="24"/>
                <w:szCs w:val="24"/>
              </w:rPr>
              <w:t>P.T.O.</w:t>
            </w:r>
          </w:p>
        </w:tc>
      </w:tr>
      <w:tr w:rsidR="00EE3330" w:rsidRPr="00DD62CA" w14:paraId="5A7C9BB4" w14:textId="77777777" w:rsidTr="00547AFA">
        <w:trPr>
          <w:cantSplit/>
          <w:trHeight w:val="527"/>
        </w:trPr>
        <w:tc>
          <w:tcPr>
            <w:tcW w:w="988" w:type="dxa"/>
          </w:tcPr>
          <w:p w14:paraId="01CCC879" w14:textId="2177CB76" w:rsidR="00EE3330" w:rsidRPr="00DD62CA" w:rsidRDefault="006668E5" w:rsidP="006668E5">
            <w:pPr>
              <w:pStyle w:val="TableText"/>
              <w:jc w:val="right"/>
              <w:rPr>
                <w:rFonts w:ascii="Calibri" w:hAnsi="Calibri"/>
                <w:sz w:val="24"/>
                <w:szCs w:val="24"/>
              </w:rPr>
            </w:pPr>
            <w:r>
              <w:rPr>
                <w:rFonts w:ascii="Calibri" w:hAnsi="Calibri"/>
                <w:sz w:val="24"/>
                <w:szCs w:val="24"/>
              </w:rPr>
              <w:lastRenderedPageBreak/>
              <w:t>13.</w:t>
            </w:r>
          </w:p>
        </w:tc>
        <w:tc>
          <w:tcPr>
            <w:tcW w:w="9365" w:type="dxa"/>
            <w:gridSpan w:val="2"/>
          </w:tcPr>
          <w:p w14:paraId="220C75D0" w14:textId="78697592" w:rsidR="00EE3330" w:rsidRDefault="006668E5">
            <w:pPr>
              <w:pStyle w:val="TableText"/>
              <w:rPr>
                <w:rFonts w:ascii="Calibri" w:hAnsi="Calibri"/>
                <w:sz w:val="24"/>
                <w:szCs w:val="24"/>
              </w:rPr>
            </w:pPr>
            <w:r>
              <w:rPr>
                <w:rFonts w:ascii="Calibri" w:hAnsi="Calibri"/>
                <w:sz w:val="24"/>
                <w:szCs w:val="24"/>
              </w:rPr>
              <w:t xml:space="preserve">No </w:t>
            </w:r>
            <w:r w:rsidR="00EE3330">
              <w:rPr>
                <w:rFonts w:ascii="Calibri" w:hAnsi="Calibri"/>
                <w:sz w:val="24"/>
                <w:szCs w:val="24"/>
              </w:rPr>
              <w:t xml:space="preserve">development shall commence in any phase (one phase being the new build development, the other phase being the dwelling conversion) until a detailed, final surface water sustainable drainage strategy for that phase has been submitted to and approved in writing by the Local Planning Authority. </w:t>
            </w:r>
          </w:p>
          <w:p w14:paraId="0AC13DF7" w14:textId="77777777" w:rsidR="006668E5" w:rsidRDefault="006668E5">
            <w:pPr>
              <w:pStyle w:val="TableText"/>
              <w:rPr>
                <w:rFonts w:ascii="Calibri" w:hAnsi="Calibri"/>
                <w:sz w:val="24"/>
                <w:szCs w:val="24"/>
              </w:rPr>
            </w:pPr>
          </w:p>
          <w:p w14:paraId="26B852BF" w14:textId="77777777" w:rsidR="00EE3330" w:rsidRDefault="00EE3330">
            <w:pPr>
              <w:pStyle w:val="TableText"/>
              <w:rPr>
                <w:rFonts w:ascii="Calibri" w:hAnsi="Calibri"/>
                <w:sz w:val="24"/>
                <w:szCs w:val="24"/>
              </w:rPr>
            </w:pPr>
            <w:r>
              <w:rPr>
                <w:rFonts w:ascii="Calibri" w:hAnsi="Calibri"/>
                <w:sz w:val="24"/>
                <w:szCs w:val="24"/>
              </w:rPr>
              <w:t xml:space="preserve">The detailed surface water sustainable drainage strategy shall be based upon the site specific flood risk assessment [and indicative surface water sustainable drainage strategy] submitted and sustainable drainage principles and requirements set out in the National Planning Policy Framework, Planning Practice Guidance and Defra Technical Standards for Sustainable Drainage Systems. No surface water shall be allowed to discharge to the public foul sewer(s), directly or indirectly. </w:t>
            </w:r>
          </w:p>
          <w:p w14:paraId="7BDF451F" w14:textId="77777777" w:rsidR="006668E5" w:rsidRDefault="006668E5">
            <w:pPr>
              <w:pStyle w:val="TableText"/>
              <w:rPr>
                <w:rFonts w:ascii="Calibri" w:hAnsi="Calibri"/>
                <w:sz w:val="24"/>
                <w:szCs w:val="24"/>
              </w:rPr>
            </w:pPr>
          </w:p>
          <w:p w14:paraId="0F8ADEE8" w14:textId="77777777" w:rsidR="00EE3330" w:rsidRDefault="00EE3330">
            <w:pPr>
              <w:pStyle w:val="TableText"/>
              <w:rPr>
                <w:rFonts w:ascii="Calibri" w:hAnsi="Calibri"/>
                <w:sz w:val="24"/>
                <w:szCs w:val="24"/>
              </w:rPr>
            </w:pPr>
            <w:r>
              <w:rPr>
                <w:rFonts w:ascii="Calibri" w:hAnsi="Calibri"/>
                <w:sz w:val="24"/>
                <w:szCs w:val="24"/>
              </w:rPr>
              <w:t>The details of the drainage strategy to be submitted for approval shall include, as a minimum:</w:t>
            </w:r>
          </w:p>
          <w:p w14:paraId="327CF23C" w14:textId="30C45FB2" w:rsidR="00EE3330" w:rsidRDefault="00EE3330" w:rsidP="006668E5">
            <w:pPr>
              <w:pStyle w:val="TableText"/>
              <w:numPr>
                <w:ilvl w:val="0"/>
                <w:numId w:val="7"/>
              </w:numPr>
              <w:rPr>
                <w:rFonts w:ascii="Calibri" w:hAnsi="Calibri"/>
                <w:sz w:val="24"/>
                <w:szCs w:val="24"/>
              </w:rPr>
            </w:pPr>
            <w:r>
              <w:rPr>
                <w:rFonts w:ascii="Calibri" w:hAnsi="Calibri"/>
                <w:sz w:val="24"/>
                <w:szCs w:val="24"/>
              </w:rPr>
              <w:t>Sustainable drainage calculations for peak flow control and volume control for the:</w:t>
            </w:r>
          </w:p>
          <w:p w14:paraId="2132B131" w14:textId="77777777" w:rsidR="006668E5" w:rsidRDefault="006668E5" w:rsidP="006668E5">
            <w:pPr>
              <w:pStyle w:val="TableText"/>
              <w:ind w:left="360"/>
              <w:rPr>
                <w:rFonts w:ascii="Calibri" w:hAnsi="Calibri"/>
                <w:sz w:val="24"/>
                <w:szCs w:val="24"/>
              </w:rPr>
            </w:pPr>
          </w:p>
          <w:p w14:paraId="603E9A18" w14:textId="2E08AD37" w:rsidR="006668E5" w:rsidRPr="006668E5" w:rsidRDefault="006668E5" w:rsidP="006668E5">
            <w:pPr>
              <w:pStyle w:val="TableText"/>
              <w:numPr>
                <w:ilvl w:val="0"/>
                <w:numId w:val="8"/>
              </w:numPr>
              <w:rPr>
                <w:rFonts w:ascii="Calibri" w:hAnsi="Calibri"/>
                <w:sz w:val="24"/>
                <w:szCs w:val="24"/>
              </w:rPr>
            </w:pPr>
            <w:r>
              <w:rPr>
                <w:rFonts w:ascii="Calibri" w:hAnsi="Calibri"/>
                <w:sz w:val="24"/>
                <w:szCs w:val="24"/>
              </w:rPr>
              <w:t xml:space="preserve"> </w:t>
            </w:r>
            <w:r w:rsidR="00EE3330">
              <w:rPr>
                <w:rFonts w:ascii="Calibri" w:hAnsi="Calibri"/>
                <w:sz w:val="24"/>
                <w:szCs w:val="24"/>
              </w:rPr>
              <w:t xml:space="preserve">100% (1 in 1-year) annual exceedance probability event; </w:t>
            </w:r>
          </w:p>
          <w:p w14:paraId="45B0AC87" w14:textId="25D782CC" w:rsidR="006668E5" w:rsidRDefault="00EE3330" w:rsidP="006668E5">
            <w:pPr>
              <w:pStyle w:val="TableText"/>
              <w:numPr>
                <w:ilvl w:val="0"/>
                <w:numId w:val="8"/>
              </w:numPr>
              <w:rPr>
                <w:rFonts w:ascii="Calibri" w:hAnsi="Calibri"/>
                <w:sz w:val="24"/>
                <w:szCs w:val="24"/>
              </w:rPr>
            </w:pPr>
            <w:r>
              <w:rPr>
                <w:rFonts w:ascii="Calibri" w:hAnsi="Calibri"/>
                <w:sz w:val="24"/>
                <w:szCs w:val="24"/>
              </w:rPr>
              <w:t xml:space="preserve">3.3% (1 in 30-year) annual exceedance probability event + 40% climate change allowance, with an allowance for urban creep; </w:t>
            </w:r>
          </w:p>
          <w:p w14:paraId="27F447B9" w14:textId="7DD1D066" w:rsidR="006668E5" w:rsidRDefault="00EE3330" w:rsidP="006668E5">
            <w:pPr>
              <w:pStyle w:val="TableText"/>
              <w:numPr>
                <w:ilvl w:val="0"/>
                <w:numId w:val="8"/>
              </w:numPr>
              <w:rPr>
                <w:rFonts w:ascii="Calibri" w:hAnsi="Calibri"/>
                <w:sz w:val="24"/>
                <w:szCs w:val="24"/>
              </w:rPr>
            </w:pPr>
            <w:r>
              <w:rPr>
                <w:rFonts w:ascii="Calibri" w:hAnsi="Calibri"/>
                <w:sz w:val="24"/>
                <w:szCs w:val="24"/>
              </w:rPr>
              <w:t>1% (1 in 100-year) annual exceedance probability event + 50% climate change allowance, with an allowance for urban creep.</w:t>
            </w:r>
          </w:p>
          <w:p w14:paraId="063219BB" w14:textId="77777777" w:rsidR="006668E5" w:rsidRPr="006668E5" w:rsidRDefault="006668E5" w:rsidP="006668E5">
            <w:pPr>
              <w:pStyle w:val="TableText"/>
              <w:ind w:left="780"/>
              <w:rPr>
                <w:rFonts w:ascii="Calibri" w:hAnsi="Calibri"/>
                <w:sz w:val="24"/>
                <w:szCs w:val="24"/>
              </w:rPr>
            </w:pPr>
          </w:p>
          <w:p w14:paraId="40F2CC0B" w14:textId="77777777" w:rsidR="00EE3330" w:rsidRDefault="00EE3330">
            <w:pPr>
              <w:pStyle w:val="TableText"/>
              <w:rPr>
                <w:rFonts w:ascii="Calibri" w:hAnsi="Calibri"/>
                <w:sz w:val="24"/>
                <w:szCs w:val="24"/>
              </w:rPr>
            </w:pPr>
            <w:r>
              <w:rPr>
                <w:rFonts w:ascii="Calibri" w:hAnsi="Calibri"/>
                <w:sz w:val="24"/>
                <w:szCs w:val="24"/>
              </w:rPr>
              <w:t>Calculations must be provided for the whole site, including all existing and proposed surface water drainage systems.</w:t>
            </w:r>
          </w:p>
          <w:p w14:paraId="030BFC22" w14:textId="77777777" w:rsidR="006668E5" w:rsidRDefault="006668E5">
            <w:pPr>
              <w:pStyle w:val="TableText"/>
              <w:rPr>
                <w:rFonts w:ascii="Calibri" w:hAnsi="Calibri"/>
                <w:sz w:val="24"/>
                <w:szCs w:val="24"/>
              </w:rPr>
            </w:pPr>
          </w:p>
          <w:p w14:paraId="0DE483B0" w14:textId="77777777" w:rsidR="00EE3330" w:rsidRDefault="00EE3330">
            <w:pPr>
              <w:pStyle w:val="TableText"/>
              <w:rPr>
                <w:rFonts w:ascii="Calibri" w:hAnsi="Calibri"/>
                <w:sz w:val="24"/>
                <w:szCs w:val="24"/>
              </w:rPr>
            </w:pPr>
            <w:r>
              <w:rPr>
                <w:rFonts w:ascii="Calibri" w:hAnsi="Calibri"/>
                <w:sz w:val="24"/>
                <w:szCs w:val="24"/>
              </w:rPr>
              <w:t>b)</w:t>
            </w:r>
            <w:r>
              <w:rPr>
                <w:rFonts w:ascii="Calibri" w:hAnsi="Calibri"/>
                <w:sz w:val="24"/>
                <w:szCs w:val="24"/>
              </w:rPr>
              <w:tab/>
              <w:t xml:space="preserve">Final sustainable drainage plans appropriately labelled to include, as a minimum: </w:t>
            </w:r>
          </w:p>
          <w:p w14:paraId="31A720F5" w14:textId="77777777" w:rsidR="00EE3330" w:rsidRDefault="00EE3330">
            <w:pPr>
              <w:pStyle w:val="TableText"/>
              <w:rPr>
                <w:rFonts w:ascii="Calibri" w:hAnsi="Calibri"/>
                <w:sz w:val="24"/>
                <w:szCs w:val="24"/>
              </w:rPr>
            </w:pPr>
            <w:r>
              <w:rPr>
                <w:rFonts w:ascii="Calibri" w:hAnsi="Calibri"/>
                <w:sz w:val="24"/>
                <w:szCs w:val="24"/>
              </w:rPr>
              <w:t xml:space="preserve">i. Site plan showing all permeable and impermeable areas that contribute to the drainage network either directly or indirectly, including surface water flows from outside the curtilage as necessary; </w:t>
            </w:r>
          </w:p>
          <w:p w14:paraId="274E395F" w14:textId="77777777" w:rsidR="00EE3330" w:rsidRDefault="00EE3330">
            <w:pPr>
              <w:pStyle w:val="TableText"/>
              <w:rPr>
                <w:rFonts w:ascii="Calibri" w:hAnsi="Calibri"/>
                <w:sz w:val="24"/>
                <w:szCs w:val="24"/>
              </w:rPr>
            </w:pPr>
            <w:r>
              <w:rPr>
                <w:rFonts w:ascii="Calibri" w:hAnsi="Calibri"/>
                <w:sz w:val="24"/>
                <w:szCs w:val="24"/>
              </w:rPr>
              <w:t xml:space="preserve">ii. Sustainable drainage system layout showing all pipe and structure references, dimensions and design levels; to include all existing and proposed surface water drainage systems up to and including the final outfall; </w:t>
            </w:r>
          </w:p>
          <w:p w14:paraId="1884F8F7" w14:textId="0F6BFF21" w:rsidR="00EE3330" w:rsidRDefault="00EE3330" w:rsidP="006668E5">
            <w:pPr>
              <w:pStyle w:val="TableText"/>
              <w:numPr>
                <w:ilvl w:val="0"/>
                <w:numId w:val="9"/>
              </w:numPr>
              <w:rPr>
                <w:rFonts w:ascii="Calibri" w:hAnsi="Calibri"/>
                <w:sz w:val="24"/>
                <w:szCs w:val="24"/>
              </w:rPr>
            </w:pPr>
            <w:r>
              <w:rPr>
                <w:rFonts w:ascii="Calibri" w:hAnsi="Calibri"/>
                <w:sz w:val="24"/>
                <w:szCs w:val="24"/>
              </w:rPr>
              <w:t xml:space="preserve">Details of all sustainable drainage components, including landscape drawings showing topography and slope gradient as appropriate; </w:t>
            </w:r>
          </w:p>
          <w:p w14:paraId="53D23323" w14:textId="77777777" w:rsidR="00EE3330" w:rsidRDefault="00EE3330">
            <w:pPr>
              <w:pStyle w:val="TableText"/>
              <w:rPr>
                <w:rFonts w:ascii="Calibri" w:hAnsi="Calibri"/>
                <w:sz w:val="24"/>
                <w:szCs w:val="24"/>
              </w:rPr>
            </w:pPr>
            <w:r>
              <w:rPr>
                <w:rFonts w:ascii="Calibri" w:hAnsi="Calibri"/>
                <w:sz w:val="24"/>
                <w:szCs w:val="24"/>
              </w:rPr>
              <w:t xml:space="preserve">iv. Drainage plan showing flood water exceedance routes in accordance with Defra Technical Standards for Sustainable Drainage Systems; </w:t>
            </w:r>
          </w:p>
          <w:p w14:paraId="2DFD1A3B" w14:textId="4E2DD41E" w:rsidR="00EE3330" w:rsidRDefault="00EE3330" w:rsidP="006668E5">
            <w:pPr>
              <w:pStyle w:val="TableText"/>
              <w:numPr>
                <w:ilvl w:val="0"/>
                <w:numId w:val="10"/>
              </w:numPr>
              <w:rPr>
                <w:rFonts w:ascii="Calibri" w:hAnsi="Calibri"/>
                <w:sz w:val="24"/>
                <w:szCs w:val="24"/>
              </w:rPr>
            </w:pPr>
            <w:r>
              <w:rPr>
                <w:rFonts w:ascii="Calibri" w:hAnsi="Calibri"/>
                <w:sz w:val="24"/>
                <w:szCs w:val="24"/>
              </w:rPr>
              <w:t xml:space="preserve">Existing and Finished Floor Levels (FFL) in AOD with adjacent ground levels for all sides of each building and connecting cover levels to confirm minimum 150 mm+ difference for FFL; </w:t>
            </w:r>
          </w:p>
          <w:p w14:paraId="03503DF9" w14:textId="77777777" w:rsidR="00EE3330" w:rsidRDefault="00EE3330">
            <w:pPr>
              <w:pStyle w:val="TableText"/>
              <w:rPr>
                <w:rFonts w:ascii="Calibri" w:hAnsi="Calibri"/>
                <w:sz w:val="24"/>
                <w:szCs w:val="24"/>
              </w:rPr>
            </w:pPr>
            <w:r>
              <w:rPr>
                <w:rFonts w:ascii="Calibri" w:hAnsi="Calibri"/>
                <w:sz w:val="24"/>
                <w:szCs w:val="24"/>
              </w:rPr>
              <w:t xml:space="preserve">vi. Details of proposals to collect and mitigate surface water runoff from the development boundary; </w:t>
            </w:r>
          </w:p>
          <w:p w14:paraId="421AEC71" w14:textId="77777777" w:rsidR="00EE3330" w:rsidRDefault="00EE3330">
            <w:pPr>
              <w:pStyle w:val="TableText"/>
              <w:rPr>
                <w:rFonts w:ascii="Calibri" w:hAnsi="Calibri"/>
                <w:sz w:val="24"/>
                <w:szCs w:val="24"/>
              </w:rPr>
            </w:pPr>
            <w:r>
              <w:rPr>
                <w:rFonts w:ascii="Calibri" w:hAnsi="Calibri"/>
                <w:sz w:val="24"/>
                <w:szCs w:val="24"/>
              </w:rPr>
              <w:t>vii. Measures taken to manage the quality of the surface water runoff to prevent pollution, protect groundwater and surface waters, and delivers suitably clean water to sustainable drainage components.</w:t>
            </w:r>
          </w:p>
          <w:p w14:paraId="28337E2F" w14:textId="2AC20017" w:rsidR="00EE3330" w:rsidRDefault="006668E5" w:rsidP="006668E5">
            <w:pPr>
              <w:pStyle w:val="TableText"/>
              <w:jc w:val="right"/>
              <w:rPr>
                <w:rFonts w:ascii="Calibri" w:hAnsi="Calibri"/>
                <w:sz w:val="24"/>
                <w:szCs w:val="24"/>
              </w:rPr>
            </w:pPr>
            <w:r>
              <w:rPr>
                <w:rFonts w:ascii="Calibri" w:hAnsi="Calibri"/>
                <w:sz w:val="24"/>
                <w:szCs w:val="24"/>
              </w:rPr>
              <w:t>P.T.O.</w:t>
            </w:r>
          </w:p>
        </w:tc>
      </w:tr>
      <w:tr w:rsidR="006668E5" w:rsidRPr="00DD62CA" w14:paraId="6EAAE9DB" w14:textId="77777777" w:rsidTr="00547AFA">
        <w:trPr>
          <w:cantSplit/>
          <w:trHeight w:val="527"/>
        </w:trPr>
        <w:tc>
          <w:tcPr>
            <w:tcW w:w="988" w:type="dxa"/>
          </w:tcPr>
          <w:p w14:paraId="7923C103" w14:textId="77777777" w:rsidR="006668E5" w:rsidRDefault="006668E5" w:rsidP="006668E5">
            <w:pPr>
              <w:pStyle w:val="TableText"/>
              <w:jc w:val="right"/>
              <w:rPr>
                <w:rFonts w:ascii="Calibri" w:hAnsi="Calibri"/>
                <w:sz w:val="24"/>
                <w:szCs w:val="24"/>
              </w:rPr>
            </w:pPr>
          </w:p>
        </w:tc>
        <w:tc>
          <w:tcPr>
            <w:tcW w:w="9365" w:type="dxa"/>
            <w:gridSpan w:val="2"/>
          </w:tcPr>
          <w:p w14:paraId="2283C66C" w14:textId="5152F391" w:rsidR="006668E5" w:rsidRPr="006668E5" w:rsidRDefault="006668E5" w:rsidP="006668E5">
            <w:pPr>
              <w:pStyle w:val="TableText"/>
              <w:numPr>
                <w:ilvl w:val="0"/>
                <w:numId w:val="11"/>
              </w:numPr>
              <w:rPr>
                <w:rFonts w:ascii="Calibri" w:hAnsi="Calibri"/>
                <w:sz w:val="24"/>
                <w:szCs w:val="24"/>
              </w:rPr>
            </w:pPr>
            <w:r>
              <w:rPr>
                <w:rFonts w:ascii="Calibri" w:hAnsi="Calibri"/>
                <w:sz w:val="24"/>
                <w:szCs w:val="24"/>
              </w:rPr>
              <w:t xml:space="preserve"> Evidence of an assessment of the site conditions to include site investigation and test results to confirm infiltrations rates and groundwater levels in accordance with BRE 365. </w:t>
            </w:r>
          </w:p>
          <w:p w14:paraId="167CDDDC" w14:textId="77777777" w:rsidR="006668E5" w:rsidRDefault="006668E5" w:rsidP="006668E5">
            <w:pPr>
              <w:pStyle w:val="TableText"/>
              <w:numPr>
                <w:ilvl w:val="0"/>
                <w:numId w:val="11"/>
              </w:numPr>
              <w:rPr>
                <w:rFonts w:ascii="Calibri" w:hAnsi="Calibri"/>
                <w:sz w:val="24"/>
                <w:szCs w:val="24"/>
              </w:rPr>
            </w:pPr>
            <w:r>
              <w:rPr>
                <w:rFonts w:ascii="Calibri" w:hAnsi="Calibri"/>
                <w:sz w:val="24"/>
                <w:szCs w:val="24"/>
              </w:rPr>
              <w:t>Evidence that a free-flowing outfall can be achieved. If this is not possible, evidence of a surcharged outfall applied to the sustainable drainage calculations will be required.</w:t>
            </w:r>
          </w:p>
          <w:p w14:paraId="33C04AE7" w14:textId="2D28EF9B" w:rsidR="006668E5" w:rsidRDefault="006668E5" w:rsidP="006668E5">
            <w:pPr>
              <w:pStyle w:val="TableText"/>
              <w:numPr>
                <w:ilvl w:val="0"/>
                <w:numId w:val="11"/>
              </w:numPr>
              <w:rPr>
                <w:rFonts w:ascii="Calibri" w:hAnsi="Calibri"/>
                <w:sz w:val="24"/>
                <w:szCs w:val="24"/>
              </w:rPr>
            </w:pPr>
            <w:r w:rsidRPr="006668E5">
              <w:rPr>
                <w:rFonts w:ascii="Calibri" w:hAnsi="Calibri"/>
                <w:sz w:val="24"/>
                <w:szCs w:val="24"/>
              </w:rPr>
              <w:t xml:space="preserve">Evidence of an agreement in principle with the third party Water and Sewerage Company to connect to the offsite combined sewer. </w:t>
            </w:r>
          </w:p>
          <w:p w14:paraId="7DCBCD44" w14:textId="77777777" w:rsidR="006668E5" w:rsidRPr="006668E5" w:rsidRDefault="006668E5" w:rsidP="00547AFA">
            <w:pPr>
              <w:pStyle w:val="TableText"/>
              <w:ind w:left="360"/>
              <w:rPr>
                <w:rFonts w:ascii="Calibri" w:hAnsi="Calibri"/>
                <w:sz w:val="24"/>
                <w:szCs w:val="24"/>
              </w:rPr>
            </w:pPr>
          </w:p>
          <w:p w14:paraId="73063D22" w14:textId="77777777" w:rsidR="006668E5" w:rsidRDefault="006668E5" w:rsidP="006668E5">
            <w:pPr>
              <w:pStyle w:val="TableText"/>
              <w:rPr>
                <w:rFonts w:ascii="Calibri" w:hAnsi="Calibri"/>
                <w:sz w:val="24"/>
                <w:szCs w:val="24"/>
              </w:rPr>
            </w:pPr>
            <w:r>
              <w:rPr>
                <w:rFonts w:ascii="Calibri" w:hAnsi="Calibri"/>
                <w:sz w:val="24"/>
                <w:szCs w:val="24"/>
              </w:rPr>
              <w:t>The sustainable drainage strategy shall be implemented in accordance with the approved details prior to occupation of the development of that phase and/or in accordance with the timing / phasing arrangements embodied within the approved scheme, and shall be retained thereafter for the lifetime of the development.</w:t>
            </w:r>
          </w:p>
          <w:p w14:paraId="2C6A9DDF" w14:textId="77777777" w:rsidR="006668E5" w:rsidRDefault="006668E5">
            <w:pPr>
              <w:pStyle w:val="TableText"/>
              <w:rPr>
                <w:rFonts w:ascii="Calibri" w:hAnsi="Calibri"/>
                <w:sz w:val="24"/>
                <w:szCs w:val="24"/>
              </w:rPr>
            </w:pPr>
          </w:p>
          <w:p w14:paraId="32BD2284" w14:textId="77777777" w:rsidR="006668E5" w:rsidRDefault="006668E5" w:rsidP="006668E5">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the Paragraphs 167 and 169 of the National Planning Policy Framework, Planning Practice Guidance and Defra Technical Standards for Sustainable Drainage Systems.</w:t>
            </w:r>
          </w:p>
          <w:p w14:paraId="6BB089FF" w14:textId="77777777" w:rsidR="006668E5" w:rsidRDefault="006668E5" w:rsidP="006668E5">
            <w:pPr>
              <w:pStyle w:val="TableText"/>
              <w:rPr>
                <w:rFonts w:ascii="Calibri" w:hAnsi="Calibri"/>
                <w:sz w:val="24"/>
                <w:szCs w:val="24"/>
              </w:rPr>
            </w:pPr>
          </w:p>
        </w:tc>
      </w:tr>
      <w:tr w:rsidR="00EE3330" w:rsidRPr="00DD62CA" w14:paraId="3D67A9CE" w14:textId="77777777" w:rsidTr="00547AFA">
        <w:trPr>
          <w:cantSplit/>
          <w:trHeight w:val="527"/>
        </w:trPr>
        <w:tc>
          <w:tcPr>
            <w:tcW w:w="988" w:type="dxa"/>
          </w:tcPr>
          <w:p w14:paraId="77EEC584" w14:textId="5A649405" w:rsidR="00EE3330" w:rsidRPr="00DD62CA" w:rsidRDefault="00547AFA" w:rsidP="00547AFA">
            <w:pPr>
              <w:pStyle w:val="TableText"/>
              <w:rPr>
                <w:rFonts w:ascii="Calibri" w:hAnsi="Calibri"/>
                <w:sz w:val="24"/>
                <w:szCs w:val="24"/>
              </w:rPr>
            </w:pPr>
            <w:r>
              <w:rPr>
                <w:rFonts w:ascii="Calibri" w:hAnsi="Calibri"/>
                <w:sz w:val="24"/>
                <w:szCs w:val="24"/>
              </w:rPr>
              <w:t>14.</w:t>
            </w:r>
          </w:p>
        </w:tc>
        <w:tc>
          <w:tcPr>
            <w:tcW w:w="9365" w:type="dxa"/>
            <w:gridSpan w:val="2"/>
          </w:tcPr>
          <w:p w14:paraId="6C36E2D8" w14:textId="2AAA6594" w:rsidR="00EE3330" w:rsidRDefault="00EE3330">
            <w:pPr>
              <w:pStyle w:val="TableText"/>
              <w:rPr>
                <w:rFonts w:ascii="Calibri" w:hAnsi="Calibri"/>
                <w:sz w:val="24"/>
                <w:szCs w:val="24"/>
              </w:rPr>
            </w:pPr>
            <w:r>
              <w:rPr>
                <w:rFonts w:ascii="Calibri" w:hAnsi="Calibri"/>
                <w:sz w:val="24"/>
                <w:szCs w:val="24"/>
              </w:rPr>
              <w:t>No development shall commence in the new build phase of development until a Construction Surface Water Management Plan for that phase, detailing how surface water and stormwater will be managed on the site during construction, including demolition and site clearance operations, has been submitted to and approved in writing by the Local Planning Authority.</w:t>
            </w:r>
          </w:p>
          <w:p w14:paraId="5053728F" w14:textId="77777777" w:rsidR="00EE3330" w:rsidRDefault="00EE3330">
            <w:pPr>
              <w:pStyle w:val="TableText"/>
              <w:rPr>
                <w:rFonts w:ascii="Calibri" w:hAnsi="Calibri"/>
                <w:sz w:val="24"/>
                <w:szCs w:val="24"/>
              </w:rPr>
            </w:pPr>
          </w:p>
          <w:p w14:paraId="01BA32AF" w14:textId="77777777" w:rsidR="00EE3330" w:rsidRDefault="00EE3330">
            <w:pPr>
              <w:pStyle w:val="TableText"/>
              <w:rPr>
                <w:rFonts w:ascii="Calibri" w:hAnsi="Calibri"/>
                <w:sz w:val="24"/>
                <w:szCs w:val="24"/>
              </w:rPr>
            </w:pPr>
            <w:r>
              <w:rPr>
                <w:rFonts w:ascii="Calibri" w:hAnsi="Calibri"/>
                <w:sz w:val="24"/>
                <w:szCs w:val="24"/>
              </w:rPr>
              <w:t>The details of the plan to be submitted for approval shall include method statements, scaled and dimensioned plans and drawings detailing surface water management proposals to include for each phase, as a minimum:</w:t>
            </w:r>
          </w:p>
          <w:p w14:paraId="60B8512B" w14:textId="77777777" w:rsidR="00EE3330" w:rsidRDefault="00EE3330">
            <w:pPr>
              <w:pStyle w:val="TableText"/>
              <w:rPr>
                <w:rFonts w:ascii="Calibri" w:hAnsi="Calibri"/>
                <w:sz w:val="24"/>
                <w:szCs w:val="24"/>
              </w:rPr>
            </w:pPr>
          </w:p>
          <w:p w14:paraId="3E41E256" w14:textId="77777777" w:rsidR="00EE3330" w:rsidRDefault="00EE3330">
            <w:pPr>
              <w:pStyle w:val="TableText"/>
              <w:rPr>
                <w:rFonts w:ascii="Calibri" w:hAnsi="Calibri"/>
                <w:sz w:val="24"/>
                <w:szCs w:val="24"/>
              </w:rPr>
            </w:pPr>
            <w:r>
              <w:rPr>
                <w:rFonts w:ascii="Calibri" w:hAnsi="Calibri"/>
                <w:sz w:val="24"/>
                <w:szCs w:val="24"/>
              </w:rPr>
              <w:t>a) 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w:t>
            </w:r>
          </w:p>
          <w:p w14:paraId="58709E4A" w14:textId="77777777" w:rsidR="00EE3330" w:rsidRDefault="00EE3330">
            <w:pPr>
              <w:pStyle w:val="TableText"/>
              <w:rPr>
                <w:rFonts w:ascii="Calibri" w:hAnsi="Calibri"/>
                <w:sz w:val="24"/>
                <w:szCs w:val="24"/>
              </w:rPr>
            </w:pPr>
            <w:r>
              <w:rPr>
                <w:rFonts w:ascii="Calibri" w:hAnsi="Calibri"/>
                <w:sz w:val="24"/>
                <w:szCs w:val="24"/>
              </w:rPr>
              <w:t>b) Measures taken to prevent siltation and pollutants from the site entering any receiving groundwater and/or surface waters, including watercourses, with reference to published guidance.</w:t>
            </w:r>
          </w:p>
          <w:p w14:paraId="7BF955EC" w14:textId="77777777" w:rsidR="00EE3330" w:rsidRDefault="00EE3330">
            <w:pPr>
              <w:pStyle w:val="TableText"/>
              <w:rPr>
                <w:rFonts w:ascii="Calibri" w:hAnsi="Calibri"/>
                <w:sz w:val="24"/>
                <w:szCs w:val="24"/>
              </w:rPr>
            </w:pPr>
          </w:p>
          <w:p w14:paraId="7D26E52D" w14:textId="77777777" w:rsidR="00EE3330" w:rsidRDefault="00EE3330">
            <w:pPr>
              <w:pStyle w:val="TableText"/>
              <w:rPr>
                <w:rFonts w:ascii="Calibri" w:hAnsi="Calibri"/>
                <w:sz w:val="24"/>
                <w:szCs w:val="24"/>
              </w:rPr>
            </w:pPr>
            <w:r>
              <w:rPr>
                <w:rFonts w:ascii="Calibri" w:hAnsi="Calibri"/>
                <w:sz w:val="24"/>
                <w:szCs w:val="24"/>
              </w:rPr>
              <w:t>The plan shall be implemented and thereafter managed and maintained in accordance with the approved plan for the duration of construction.</w:t>
            </w:r>
          </w:p>
          <w:p w14:paraId="33147D74" w14:textId="77777777" w:rsidR="00EE3330" w:rsidRDefault="00EE3330">
            <w:pPr>
              <w:pStyle w:val="TableText"/>
              <w:rPr>
                <w:rFonts w:ascii="Calibri" w:hAnsi="Calibri"/>
                <w:sz w:val="24"/>
                <w:szCs w:val="24"/>
              </w:rPr>
            </w:pPr>
          </w:p>
          <w:p w14:paraId="194B103E" w14:textId="77777777" w:rsidR="00EE3330" w:rsidRDefault="00EE3330">
            <w:pPr>
              <w:pStyle w:val="TableText"/>
              <w:rPr>
                <w:rFonts w:ascii="Calibri" w:hAnsi="Calibri"/>
                <w:sz w:val="24"/>
                <w:szCs w:val="24"/>
              </w:rPr>
            </w:pPr>
            <w:r>
              <w:rPr>
                <w:rFonts w:ascii="Calibri" w:hAnsi="Calibri"/>
                <w:sz w:val="24"/>
                <w:szCs w:val="24"/>
              </w:rPr>
              <w:t>REASON: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w:t>
            </w:r>
          </w:p>
          <w:p w14:paraId="6CF0A27F" w14:textId="77777777" w:rsidR="00547AFA" w:rsidRDefault="00547AFA">
            <w:pPr>
              <w:pStyle w:val="TableText"/>
              <w:rPr>
                <w:rFonts w:ascii="Calibri" w:hAnsi="Calibri"/>
                <w:sz w:val="24"/>
                <w:szCs w:val="24"/>
              </w:rPr>
            </w:pPr>
          </w:p>
          <w:p w14:paraId="43B58987" w14:textId="77777777" w:rsidR="00547AFA" w:rsidRDefault="00547AFA">
            <w:pPr>
              <w:pStyle w:val="TableText"/>
              <w:rPr>
                <w:rFonts w:ascii="Calibri" w:hAnsi="Calibri"/>
                <w:sz w:val="24"/>
                <w:szCs w:val="24"/>
              </w:rPr>
            </w:pPr>
          </w:p>
          <w:p w14:paraId="1E1C43F4" w14:textId="2C30F7D8" w:rsidR="00547AFA" w:rsidRDefault="00547AFA" w:rsidP="00547AFA">
            <w:pPr>
              <w:pStyle w:val="TableText"/>
              <w:jc w:val="right"/>
              <w:rPr>
                <w:rFonts w:ascii="Calibri" w:hAnsi="Calibri"/>
                <w:sz w:val="24"/>
                <w:szCs w:val="24"/>
              </w:rPr>
            </w:pPr>
            <w:r>
              <w:rPr>
                <w:rFonts w:ascii="Calibri" w:hAnsi="Calibri"/>
                <w:sz w:val="24"/>
                <w:szCs w:val="24"/>
              </w:rPr>
              <w:t>P.T.O.</w:t>
            </w:r>
          </w:p>
        </w:tc>
      </w:tr>
      <w:tr w:rsidR="00EE3330" w:rsidRPr="00DD62CA" w14:paraId="46DFD171" w14:textId="77777777" w:rsidTr="003243B5">
        <w:trPr>
          <w:cantSplit/>
          <w:trHeight w:val="527"/>
        </w:trPr>
        <w:tc>
          <w:tcPr>
            <w:tcW w:w="988" w:type="dxa"/>
          </w:tcPr>
          <w:p w14:paraId="428A1AEE" w14:textId="73774F7B" w:rsidR="00EE3330" w:rsidRPr="00DD62CA" w:rsidRDefault="00547AFA" w:rsidP="00547AFA">
            <w:pPr>
              <w:pStyle w:val="TableText"/>
              <w:rPr>
                <w:rFonts w:ascii="Calibri" w:hAnsi="Calibri"/>
                <w:sz w:val="24"/>
                <w:szCs w:val="24"/>
              </w:rPr>
            </w:pPr>
            <w:r>
              <w:rPr>
                <w:rFonts w:ascii="Calibri" w:hAnsi="Calibri"/>
                <w:sz w:val="24"/>
                <w:szCs w:val="24"/>
              </w:rPr>
              <w:lastRenderedPageBreak/>
              <w:t>15.</w:t>
            </w:r>
          </w:p>
        </w:tc>
        <w:tc>
          <w:tcPr>
            <w:tcW w:w="9365" w:type="dxa"/>
            <w:gridSpan w:val="2"/>
          </w:tcPr>
          <w:p w14:paraId="0D9E9434" w14:textId="2EA119A4" w:rsidR="00EE3330" w:rsidRDefault="00EE3330">
            <w:pPr>
              <w:pStyle w:val="TableText"/>
              <w:rPr>
                <w:rFonts w:ascii="Calibri" w:hAnsi="Calibri"/>
                <w:sz w:val="24"/>
                <w:szCs w:val="24"/>
              </w:rPr>
            </w:pPr>
            <w:r>
              <w:rPr>
                <w:rFonts w:ascii="Calibri" w:hAnsi="Calibri"/>
                <w:sz w:val="24"/>
                <w:szCs w:val="24"/>
              </w:rPr>
              <w:tab/>
              <w:t xml:space="preserve">The occupation of the new build phase of development shall not be permitted until a site-specific Operation and Maintenance Manual for the lifetime of that phase of the development, pertaining to the surface water drainage system and prepared by a suitably competent person, has been submitted to and approved in writing by the Local Planning Authority. The details of the manual to be submitted for approval shall include, as a minimum: </w:t>
            </w:r>
          </w:p>
          <w:p w14:paraId="2D5A3E12" w14:textId="77777777" w:rsidR="00EE3330" w:rsidRDefault="00EE3330">
            <w:pPr>
              <w:pStyle w:val="TableText"/>
              <w:rPr>
                <w:rFonts w:ascii="Calibri" w:hAnsi="Calibri"/>
                <w:sz w:val="24"/>
                <w:szCs w:val="24"/>
              </w:rPr>
            </w:pPr>
          </w:p>
          <w:p w14:paraId="3B6F0D51" w14:textId="77777777" w:rsidR="00EE3330" w:rsidRDefault="00EE3330">
            <w:pPr>
              <w:pStyle w:val="TableText"/>
              <w:rPr>
                <w:rFonts w:ascii="Calibri" w:hAnsi="Calibri"/>
                <w:sz w:val="24"/>
                <w:szCs w:val="24"/>
              </w:rPr>
            </w:pPr>
            <w:r>
              <w:rPr>
                <w:rFonts w:ascii="Calibri" w:hAnsi="Calibri"/>
                <w:sz w:val="24"/>
                <w:szCs w:val="24"/>
              </w:rPr>
              <w:t xml:space="preserve">a) </w:t>
            </w:r>
            <w:r>
              <w:rPr>
                <w:rFonts w:ascii="Calibri" w:hAnsi="Calibri"/>
                <w:sz w:val="24"/>
                <w:szCs w:val="24"/>
              </w:rPr>
              <w:tab/>
              <w:t xml:space="preserve">A timetable for its implementation; </w:t>
            </w:r>
          </w:p>
          <w:p w14:paraId="73A411CB" w14:textId="77777777" w:rsidR="00EE3330" w:rsidRDefault="00EE3330">
            <w:pPr>
              <w:pStyle w:val="TableText"/>
              <w:rPr>
                <w:rFonts w:ascii="Calibri" w:hAnsi="Calibri"/>
                <w:sz w:val="24"/>
                <w:szCs w:val="24"/>
              </w:rPr>
            </w:pPr>
            <w:r>
              <w:rPr>
                <w:rFonts w:ascii="Calibri" w:hAnsi="Calibri"/>
                <w:sz w:val="24"/>
                <w:szCs w:val="24"/>
              </w:rPr>
              <w:t xml:space="preserve">b) Details of the maintenance, operational and access requirement for all SuDS components and connecting drainage structures, including all watercourses and their ownership; </w:t>
            </w:r>
          </w:p>
          <w:p w14:paraId="0CFA5183" w14:textId="77777777" w:rsidR="00EE3330" w:rsidRDefault="00EE3330">
            <w:pPr>
              <w:pStyle w:val="TableText"/>
              <w:rPr>
                <w:rFonts w:ascii="Calibri" w:hAnsi="Calibri"/>
                <w:sz w:val="24"/>
                <w:szCs w:val="24"/>
              </w:rPr>
            </w:pPr>
            <w:r>
              <w:rPr>
                <w:rFonts w:ascii="Calibri" w:hAnsi="Calibri"/>
                <w:sz w:val="24"/>
                <w:szCs w:val="24"/>
              </w:rPr>
              <w:t xml:space="preserve">c) </w:t>
            </w:r>
            <w:r>
              <w:rPr>
                <w:rFonts w:ascii="Calibri" w:hAnsi="Calibri"/>
                <w:sz w:val="24"/>
                <w:szCs w:val="24"/>
              </w:rPr>
              <w:tab/>
              <w:t xml:space="preserve">Pro-forma to allow the recording of each inspection and maintenance activity, as well as allowing any faults to be recorded and actions taken to rectify issues; </w:t>
            </w:r>
          </w:p>
          <w:p w14:paraId="42C3A1F3" w14:textId="77777777" w:rsidR="00EE3330" w:rsidRDefault="00EE3330">
            <w:pPr>
              <w:pStyle w:val="TableText"/>
              <w:rPr>
                <w:rFonts w:ascii="Calibri" w:hAnsi="Calibri"/>
                <w:sz w:val="24"/>
                <w:szCs w:val="24"/>
              </w:rPr>
            </w:pPr>
            <w:r>
              <w:rPr>
                <w:rFonts w:ascii="Calibri" w:hAnsi="Calibri"/>
                <w:sz w:val="24"/>
                <w:szCs w:val="24"/>
              </w:rPr>
              <w:t xml:space="preserve">d) </w:t>
            </w:r>
            <w:r>
              <w:rPr>
                <w:rFonts w:ascii="Calibri" w:hAnsi="Calibri"/>
                <w:sz w:val="24"/>
                <w:szCs w:val="24"/>
              </w:rPr>
              <w:tab/>
              <w:t xml:space="preserve">The arrangements for adoption by any public body or statutory undertaker, or any other arrangements to secure the operation of the sustainable drainage scheme in perpetuity; e) Details of financial management including arrangements for the replacement of major components at the end of the manufacturer's recommended design life; </w:t>
            </w:r>
          </w:p>
          <w:p w14:paraId="43B39703" w14:textId="77777777" w:rsidR="00EE3330" w:rsidRDefault="00EE3330">
            <w:pPr>
              <w:pStyle w:val="TableText"/>
              <w:rPr>
                <w:rFonts w:ascii="Calibri" w:hAnsi="Calibri"/>
                <w:sz w:val="24"/>
                <w:szCs w:val="24"/>
              </w:rPr>
            </w:pPr>
            <w:r>
              <w:rPr>
                <w:rFonts w:ascii="Calibri" w:hAnsi="Calibri"/>
                <w:sz w:val="24"/>
                <w:szCs w:val="24"/>
              </w:rPr>
              <w:t xml:space="preserve">f) </w:t>
            </w:r>
            <w:r>
              <w:rPr>
                <w:rFonts w:ascii="Calibri" w:hAnsi="Calibri"/>
                <w:sz w:val="24"/>
                <w:szCs w:val="24"/>
              </w:rPr>
              <w:tab/>
              <w:t xml:space="preserve">Details of whom to contact if pollution is seen in the system or if it is not working correctly; and </w:t>
            </w:r>
          </w:p>
          <w:p w14:paraId="0C2FA042" w14:textId="77777777" w:rsidR="00EE3330" w:rsidRDefault="00EE3330">
            <w:pPr>
              <w:pStyle w:val="TableText"/>
              <w:rPr>
                <w:rFonts w:ascii="Calibri" w:hAnsi="Calibri"/>
                <w:sz w:val="24"/>
                <w:szCs w:val="24"/>
              </w:rPr>
            </w:pPr>
            <w:r>
              <w:rPr>
                <w:rFonts w:ascii="Calibri" w:hAnsi="Calibri"/>
                <w:sz w:val="24"/>
                <w:szCs w:val="24"/>
              </w:rPr>
              <w:t xml:space="preserve">g) </w:t>
            </w:r>
            <w:r>
              <w:rPr>
                <w:rFonts w:ascii="Calibri" w:hAnsi="Calibri"/>
                <w:sz w:val="24"/>
                <w:szCs w:val="24"/>
              </w:rPr>
              <w:tab/>
              <w:t xml:space="preserve">Means of access for maintenance and easements. Thereafter the drainage system shall be retained, managed, and maintained in accordance with the approved details. </w:t>
            </w:r>
          </w:p>
          <w:p w14:paraId="666178E6" w14:textId="77777777" w:rsidR="00EE3330" w:rsidRDefault="00EE3330">
            <w:pPr>
              <w:pStyle w:val="TableText"/>
              <w:rPr>
                <w:rFonts w:ascii="Calibri" w:hAnsi="Calibri"/>
                <w:sz w:val="24"/>
                <w:szCs w:val="24"/>
              </w:rPr>
            </w:pPr>
          </w:p>
          <w:p w14:paraId="60D598B1" w14:textId="77777777" w:rsidR="00EE3330" w:rsidRDefault="00EE3330">
            <w:pPr>
              <w:pStyle w:val="TableText"/>
              <w:rPr>
                <w:rFonts w:ascii="Calibri" w:hAnsi="Calibri"/>
                <w:sz w:val="24"/>
                <w:szCs w:val="24"/>
              </w:rPr>
            </w:pPr>
            <w:r>
              <w:rPr>
                <w:rFonts w:ascii="Calibri" w:hAnsi="Calibri"/>
                <w:sz w:val="24"/>
                <w:szCs w:val="24"/>
              </w:rPr>
              <w:t>REASON: To ensure that surface water flood risks from development to the future users of the land and neighbouring land are minimised, together with those risks to controlled waters, property, and ecological systems, and to ensure that the sustainable drainage system is subsequently maintained pursuant to the requirements of Paragraph 169 of the National Planning Policy Framework.</w:t>
            </w:r>
          </w:p>
          <w:p w14:paraId="4737E883" w14:textId="59CB219E" w:rsidR="00EE3330" w:rsidRDefault="00EE3330">
            <w:pPr>
              <w:pStyle w:val="TableText"/>
              <w:rPr>
                <w:rFonts w:ascii="Calibri" w:hAnsi="Calibri"/>
                <w:sz w:val="24"/>
                <w:szCs w:val="24"/>
              </w:rPr>
            </w:pPr>
          </w:p>
        </w:tc>
      </w:tr>
      <w:tr w:rsidR="00EE3330" w:rsidRPr="00DD62CA" w14:paraId="737F8958" w14:textId="77777777" w:rsidTr="003243B5">
        <w:trPr>
          <w:cantSplit/>
          <w:trHeight w:val="527"/>
        </w:trPr>
        <w:tc>
          <w:tcPr>
            <w:tcW w:w="988" w:type="dxa"/>
          </w:tcPr>
          <w:p w14:paraId="2DA292AB" w14:textId="488A22D7" w:rsidR="00EE3330" w:rsidRPr="00DD62CA" w:rsidRDefault="00547AFA" w:rsidP="00547AFA">
            <w:pPr>
              <w:pStyle w:val="TableText"/>
              <w:rPr>
                <w:rFonts w:ascii="Calibri" w:hAnsi="Calibri"/>
                <w:sz w:val="24"/>
                <w:szCs w:val="24"/>
              </w:rPr>
            </w:pPr>
            <w:r>
              <w:rPr>
                <w:rFonts w:ascii="Calibri" w:hAnsi="Calibri"/>
                <w:sz w:val="24"/>
                <w:szCs w:val="24"/>
              </w:rPr>
              <w:t>16.</w:t>
            </w:r>
          </w:p>
        </w:tc>
        <w:tc>
          <w:tcPr>
            <w:tcW w:w="9365" w:type="dxa"/>
            <w:gridSpan w:val="2"/>
          </w:tcPr>
          <w:p w14:paraId="40373A97" w14:textId="6083E06F" w:rsidR="00EE3330" w:rsidRDefault="00EE3330">
            <w:pPr>
              <w:pStyle w:val="TableText"/>
              <w:rPr>
                <w:rFonts w:ascii="Calibri" w:hAnsi="Calibri"/>
                <w:sz w:val="24"/>
                <w:szCs w:val="24"/>
              </w:rPr>
            </w:pPr>
            <w:r>
              <w:rPr>
                <w:rFonts w:ascii="Calibri" w:hAnsi="Calibri"/>
                <w:sz w:val="24"/>
                <w:szCs w:val="24"/>
              </w:rPr>
              <w:t xml:space="preserve">The occupation of the new build development phase shall not be permitted until a site-specific verification report for that phase, pertaining to the surface water sustainable drainage system, and prepared by a suitably competent person, has been submitted to and approved in writing by the Local Planning Authority. 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 </w:t>
            </w:r>
          </w:p>
          <w:p w14:paraId="2F08405C" w14:textId="77777777" w:rsidR="00EE3330" w:rsidRDefault="00EE3330">
            <w:pPr>
              <w:pStyle w:val="TableText"/>
              <w:rPr>
                <w:rFonts w:ascii="Calibri" w:hAnsi="Calibri"/>
                <w:sz w:val="24"/>
                <w:szCs w:val="24"/>
              </w:rPr>
            </w:pPr>
          </w:p>
          <w:p w14:paraId="3EEA7389" w14:textId="77777777" w:rsidR="00EE3330" w:rsidRDefault="00EE3330">
            <w:pPr>
              <w:pStyle w:val="TableText"/>
              <w:rPr>
                <w:rFonts w:ascii="Calibri" w:hAnsi="Calibri"/>
                <w:sz w:val="24"/>
                <w:szCs w:val="24"/>
              </w:rPr>
            </w:pPr>
            <w:r>
              <w:rPr>
                <w:rFonts w:ascii="Calibri" w:hAnsi="Calibri"/>
                <w:sz w:val="24"/>
                <w:szCs w:val="24"/>
              </w:rPr>
              <w:t>REASON: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w:t>
            </w:r>
          </w:p>
          <w:p w14:paraId="7F6B2A65" w14:textId="77777777" w:rsidR="00EE3330" w:rsidRDefault="00EE3330">
            <w:pPr>
              <w:pStyle w:val="TableText"/>
              <w:rPr>
                <w:rFonts w:ascii="Calibri" w:hAnsi="Calibri"/>
                <w:sz w:val="24"/>
                <w:szCs w:val="24"/>
              </w:rPr>
            </w:pPr>
          </w:p>
          <w:p w14:paraId="1D88BA52" w14:textId="77777777" w:rsidR="00276D1F" w:rsidRDefault="00276D1F">
            <w:pPr>
              <w:pStyle w:val="TableText"/>
              <w:rPr>
                <w:rFonts w:ascii="Calibri" w:hAnsi="Calibri"/>
                <w:sz w:val="24"/>
                <w:szCs w:val="24"/>
              </w:rPr>
            </w:pPr>
          </w:p>
          <w:p w14:paraId="144A6880" w14:textId="77777777" w:rsidR="00276D1F" w:rsidRDefault="00276D1F">
            <w:pPr>
              <w:pStyle w:val="TableText"/>
              <w:rPr>
                <w:rFonts w:ascii="Calibri" w:hAnsi="Calibri"/>
                <w:sz w:val="24"/>
                <w:szCs w:val="24"/>
              </w:rPr>
            </w:pPr>
          </w:p>
          <w:p w14:paraId="50E16F81" w14:textId="4CC708BB" w:rsidR="00276D1F" w:rsidRDefault="00276D1F" w:rsidP="00276D1F">
            <w:pPr>
              <w:pStyle w:val="TableText"/>
              <w:jc w:val="right"/>
              <w:rPr>
                <w:rFonts w:ascii="Calibri" w:hAnsi="Calibri"/>
                <w:sz w:val="24"/>
                <w:szCs w:val="24"/>
              </w:rPr>
            </w:pPr>
            <w:r>
              <w:rPr>
                <w:rFonts w:ascii="Calibri" w:hAnsi="Calibri"/>
                <w:sz w:val="24"/>
                <w:szCs w:val="24"/>
              </w:rPr>
              <w:t>P.T.O.</w:t>
            </w:r>
          </w:p>
        </w:tc>
      </w:tr>
      <w:tr w:rsidR="00EE3330" w:rsidRPr="00DD62CA" w14:paraId="11044AFF" w14:textId="77777777" w:rsidTr="003243B5">
        <w:trPr>
          <w:cantSplit/>
          <w:trHeight w:val="527"/>
        </w:trPr>
        <w:tc>
          <w:tcPr>
            <w:tcW w:w="988" w:type="dxa"/>
          </w:tcPr>
          <w:p w14:paraId="5CC358DF" w14:textId="6BE43B20" w:rsidR="00EE3330" w:rsidRPr="00DD62CA" w:rsidRDefault="00276D1F" w:rsidP="00276D1F">
            <w:pPr>
              <w:pStyle w:val="TableText"/>
              <w:rPr>
                <w:rFonts w:ascii="Calibri" w:hAnsi="Calibri"/>
                <w:sz w:val="24"/>
                <w:szCs w:val="24"/>
              </w:rPr>
            </w:pPr>
            <w:r>
              <w:rPr>
                <w:rFonts w:ascii="Calibri" w:hAnsi="Calibri"/>
                <w:sz w:val="24"/>
                <w:szCs w:val="24"/>
              </w:rPr>
              <w:lastRenderedPageBreak/>
              <w:t>17.</w:t>
            </w:r>
          </w:p>
        </w:tc>
        <w:tc>
          <w:tcPr>
            <w:tcW w:w="9365" w:type="dxa"/>
            <w:gridSpan w:val="2"/>
          </w:tcPr>
          <w:p w14:paraId="70B8E3D1" w14:textId="7FF4E64D" w:rsidR="00EE3330" w:rsidRDefault="00EE3330">
            <w:pPr>
              <w:pStyle w:val="TableText"/>
              <w:rPr>
                <w:rFonts w:ascii="Calibri" w:hAnsi="Calibri"/>
                <w:sz w:val="24"/>
                <w:szCs w:val="24"/>
              </w:rPr>
            </w:pPr>
            <w:r>
              <w:rPr>
                <w:rFonts w:ascii="Calibri" w:hAnsi="Calibri"/>
                <w:sz w:val="24"/>
                <w:szCs w:val="24"/>
              </w:rPr>
              <w:tab/>
              <w:t>Prior to the commencement of development of any phase (one phase being the new build dwelling development, the other phase being the dwelling conversion), a detailed site investigation for that phase shall be carried out in accordance with a written methodology, which shall first have been submitted to and approved in writing by the Local Planning Authority.  If remediation measures are then considered necessary, a scheme for decontamination of that phase shall be submitted to, and approved by, the Local Planning Authority in writing and the approved scheme implemented prior to any development of that phase, and validation of the approved measures shall be submitted to, and approved by, the Local Planning Authority in writing on completion of the works.  Any changes to the approved scheme must be approved in writing by the Local Planning Authority prior to any works being undertaken on that phase.</w:t>
            </w:r>
          </w:p>
          <w:p w14:paraId="6A6F5BDF" w14:textId="77777777" w:rsidR="00EE3330" w:rsidRDefault="00EE3330">
            <w:pPr>
              <w:pStyle w:val="TableText"/>
              <w:rPr>
                <w:rFonts w:ascii="Calibri" w:hAnsi="Calibri"/>
                <w:sz w:val="24"/>
                <w:szCs w:val="24"/>
              </w:rPr>
            </w:pPr>
          </w:p>
          <w:p w14:paraId="2D67BFB2" w14:textId="77777777" w:rsidR="00EE3330" w:rsidRDefault="00EE3330">
            <w:pPr>
              <w:pStyle w:val="TableText"/>
              <w:rPr>
                <w:rFonts w:ascii="Calibri" w:hAnsi="Calibri"/>
                <w:sz w:val="24"/>
                <w:szCs w:val="24"/>
              </w:rPr>
            </w:pPr>
            <w:r>
              <w:rPr>
                <w:rFonts w:ascii="Calibri" w:hAnsi="Calibri"/>
                <w:sz w:val="24"/>
                <w:szCs w:val="24"/>
              </w:rPr>
              <w:t>REASON: The development is for a sensitive end use and insufficient information has been submitted with the application as to the potential contamination risks of the site. The potential for contamination must therefore be addressed in order to safeguard the development in accordance.</w:t>
            </w:r>
          </w:p>
          <w:p w14:paraId="4D354E29" w14:textId="0BD60AC4" w:rsidR="00EE3330" w:rsidRDefault="00EE3330">
            <w:pPr>
              <w:pStyle w:val="TableText"/>
              <w:rPr>
                <w:rFonts w:ascii="Calibri" w:hAnsi="Calibri"/>
                <w:sz w:val="24"/>
                <w:szCs w:val="24"/>
              </w:rPr>
            </w:pPr>
          </w:p>
        </w:tc>
      </w:tr>
      <w:tr w:rsidR="00EE3330" w:rsidRPr="00DD62CA" w14:paraId="4AB8E71B" w14:textId="77777777" w:rsidTr="00276D1F">
        <w:trPr>
          <w:cantSplit/>
          <w:trHeight w:val="527"/>
        </w:trPr>
        <w:tc>
          <w:tcPr>
            <w:tcW w:w="988" w:type="dxa"/>
          </w:tcPr>
          <w:p w14:paraId="07A908FE" w14:textId="04E77E4E" w:rsidR="00EE3330" w:rsidRPr="00DD62CA" w:rsidRDefault="00276D1F" w:rsidP="00276D1F">
            <w:pPr>
              <w:pStyle w:val="TableText"/>
              <w:rPr>
                <w:rFonts w:ascii="Calibri" w:hAnsi="Calibri"/>
                <w:sz w:val="24"/>
                <w:szCs w:val="24"/>
              </w:rPr>
            </w:pPr>
            <w:r>
              <w:rPr>
                <w:rFonts w:ascii="Calibri" w:hAnsi="Calibri"/>
                <w:sz w:val="24"/>
                <w:szCs w:val="24"/>
              </w:rPr>
              <w:t>18.</w:t>
            </w:r>
          </w:p>
        </w:tc>
        <w:tc>
          <w:tcPr>
            <w:tcW w:w="9365" w:type="dxa"/>
            <w:gridSpan w:val="2"/>
          </w:tcPr>
          <w:p w14:paraId="6CCC2C11" w14:textId="2C20A704" w:rsidR="00C4703E" w:rsidRPr="00C4703E" w:rsidRDefault="00C4703E" w:rsidP="00C4703E">
            <w:pPr>
              <w:pStyle w:val="TableText"/>
              <w:rPr>
                <w:rFonts w:ascii="Calibri" w:hAnsi="Calibri"/>
                <w:sz w:val="24"/>
                <w:szCs w:val="24"/>
              </w:rPr>
            </w:pPr>
            <w:r w:rsidRPr="00C4703E">
              <w:rPr>
                <w:rFonts w:ascii="Calibri" w:hAnsi="Calibri"/>
                <w:sz w:val="24"/>
                <w:szCs w:val="24"/>
              </w:rPr>
              <w:t>No internal or external works in respect of the Grade II Listed Farmhouse or Dairy barn shall commence until the Local Planning Authority has been provided in writing with either:</w:t>
            </w:r>
          </w:p>
          <w:p w14:paraId="6FC38B5F" w14:textId="77777777" w:rsidR="00C4703E" w:rsidRPr="00C4703E" w:rsidRDefault="00C4703E" w:rsidP="00C4703E">
            <w:pPr>
              <w:pStyle w:val="TableText"/>
              <w:rPr>
                <w:rFonts w:ascii="Calibri" w:hAnsi="Calibri"/>
                <w:sz w:val="24"/>
                <w:szCs w:val="24"/>
              </w:rPr>
            </w:pPr>
          </w:p>
          <w:p w14:paraId="3BC6BDD0" w14:textId="77777777" w:rsidR="00C4703E" w:rsidRPr="00C4703E" w:rsidRDefault="00C4703E" w:rsidP="00C4703E">
            <w:pPr>
              <w:pStyle w:val="TableText"/>
              <w:rPr>
                <w:rFonts w:ascii="Calibri" w:hAnsi="Calibri"/>
                <w:sz w:val="24"/>
                <w:szCs w:val="24"/>
              </w:rPr>
            </w:pPr>
            <w:r w:rsidRPr="00C4703E">
              <w:rPr>
                <w:rFonts w:ascii="Calibri" w:hAnsi="Calibri"/>
                <w:sz w:val="24"/>
                <w:szCs w:val="24"/>
              </w:rPr>
              <w:t>•</w:t>
            </w:r>
            <w:r w:rsidRPr="00C4703E">
              <w:rPr>
                <w:rFonts w:ascii="Calibri" w:hAnsi="Calibri"/>
                <w:sz w:val="24"/>
                <w:szCs w:val="24"/>
              </w:rPr>
              <w:tab/>
              <w:t>a licence issued by Natural England pursuant to Regulation 39 of the Conservation of Habitats and Species Regulations 2010 in respect of the likely harm to bats as a result of the demolition / development authorising the specified activity / development go ahead; or</w:t>
            </w:r>
          </w:p>
          <w:p w14:paraId="526CA99B" w14:textId="77777777" w:rsidR="00C4703E" w:rsidRPr="00C4703E" w:rsidRDefault="00C4703E" w:rsidP="00C4703E">
            <w:pPr>
              <w:pStyle w:val="TableText"/>
              <w:rPr>
                <w:rFonts w:ascii="Calibri" w:hAnsi="Calibri"/>
                <w:sz w:val="24"/>
                <w:szCs w:val="24"/>
              </w:rPr>
            </w:pPr>
            <w:r w:rsidRPr="00C4703E">
              <w:rPr>
                <w:rFonts w:ascii="Calibri" w:hAnsi="Calibri"/>
                <w:sz w:val="24"/>
                <w:szCs w:val="24"/>
              </w:rPr>
              <w:t>•</w:t>
            </w:r>
            <w:r w:rsidRPr="00C4703E">
              <w:rPr>
                <w:rFonts w:ascii="Calibri" w:hAnsi="Calibri"/>
                <w:sz w:val="24"/>
                <w:szCs w:val="24"/>
              </w:rPr>
              <w:tab/>
              <w:t>a statement in writing from the relevant licensing body or a qualified ecologist to the effect that it does not consider that the specified development will require a licence.</w:t>
            </w:r>
          </w:p>
          <w:p w14:paraId="2DB37F5E" w14:textId="77777777" w:rsidR="00C4703E" w:rsidRPr="00C4703E" w:rsidRDefault="00C4703E" w:rsidP="00C4703E">
            <w:pPr>
              <w:pStyle w:val="TableText"/>
              <w:rPr>
                <w:rFonts w:ascii="Calibri" w:hAnsi="Calibri"/>
                <w:sz w:val="24"/>
                <w:szCs w:val="24"/>
              </w:rPr>
            </w:pPr>
          </w:p>
          <w:p w14:paraId="4579F1C2" w14:textId="77777777" w:rsidR="00EE3330" w:rsidRDefault="00C4703E" w:rsidP="00C4703E">
            <w:pPr>
              <w:pStyle w:val="TableText"/>
              <w:rPr>
                <w:rFonts w:ascii="Calibri" w:hAnsi="Calibri"/>
                <w:sz w:val="24"/>
                <w:szCs w:val="24"/>
              </w:rPr>
            </w:pPr>
            <w:r w:rsidRPr="00C4703E">
              <w:rPr>
                <w:rFonts w:ascii="Calibri" w:hAnsi="Calibri"/>
                <w:sz w:val="24"/>
                <w:szCs w:val="24"/>
              </w:rPr>
              <w:t>REASON: In the interests of protecting wildlife and biodiversity and to comply with the provisions of the Wildlife &amp; Countryside Act 1981 and Section 15 of the National Planning Policy Framework.</w:t>
            </w:r>
          </w:p>
          <w:p w14:paraId="7ACAA215" w14:textId="5A2A0DBE" w:rsidR="00C4703E" w:rsidRDefault="00C4703E" w:rsidP="00C4703E">
            <w:pPr>
              <w:pStyle w:val="TableText"/>
              <w:rPr>
                <w:rFonts w:ascii="Calibri" w:hAnsi="Calibri"/>
                <w:sz w:val="24"/>
                <w:szCs w:val="24"/>
              </w:rPr>
            </w:pPr>
          </w:p>
        </w:tc>
      </w:tr>
      <w:tr w:rsidR="00276D1F" w:rsidRPr="00DD62CA" w14:paraId="342F8D67" w14:textId="77777777" w:rsidTr="004336FE">
        <w:trPr>
          <w:cantSplit/>
          <w:trHeight w:val="527"/>
        </w:trPr>
        <w:tc>
          <w:tcPr>
            <w:tcW w:w="988" w:type="dxa"/>
          </w:tcPr>
          <w:p w14:paraId="537C15F6" w14:textId="24286D04" w:rsidR="00276D1F" w:rsidRDefault="00276D1F" w:rsidP="00276D1F">
            <w:pPr>
              <w:pStyle w:val="TableText"/>
              <w:rPr>
                <w:rFonts w:ascii="Calibri" w:hAnsi="Calibri"/>
                <w:sz w:val="24"/>
                <w:szCs w:val="24"/>
              </w:rPr>
            </w:pPr>
            <w:r>
              <w:rPr>
                <w:rFonts w:ascii="Calibri" w:hAnsi="Calibri"/>
                <w:sz w:val="24"/>
                <w:szCs w:val="24"/>
              </w:rPr>
              <w:t>19.</w:t>
            </w:r>
          </w:p>
        </w:tc>
        <w:tc>
          <w:tcPr>
            <w:tcW w:w="9365" w:type="dxa"/>
            <w:gridSpan w:val="2"/>
          </w:tcPr>
          <w:p w14:paraId="0345CBAA" w14:textId="77777777" w:rsidR="00276D1F" w:rsidRDefault="00276D1F" w:rsidP="00276D1F">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(or any Order revoking, amending or re-enacting that Order), all garages hereby permitted shall be maintained as such and shall not be converted to or used as additional living accommodation that would preclude its ability to accommodate parked motor vehicles unless a further planning permission has first been granted in respect thereof.</w:t>
            </w:r>
          </w:p>
          <w:p w14:paraId="27A2F3BA" w14:textId="77777777" w:rsidR="00276D1F" w:rsidRDefault="00276D1F" w:rsidP="00276D1F">
            <w:pPr>
              <w:pStyle w:val="TableText"/>
              <w:rPr>
                <w:rFonts w:ascii="Calibri" w:hAnsi="Calibri"/>
                <w:sz w:val="24"/>
                <w:szCs w:val="24"/>
              </w:rPr>
            </w:pPr>
          </w:p>
          <w:p w14:paraId="316CFE8A" w14:textId="77777777" w:rsidR="00276D1F" w:rsidRDefault="00276D1F" w:rsidP="00276D1F">
            <w:pPr>
              <w:pStyle w:val="TableText"/>
              <w:rPr>
                <w:rFonts w:ascii="Calibri" w:hAnsi="Calibri"/>
                <w:sz w:val="24"/>
                <w:szCs w:val="24"/>
              </w:rPr>
            </w:pPr>
            <w:r>
              <w:rPr>
                <w:rFonts w:ascii="Calibri" w:hAnsi="Calibri"/>
                <w:sz w:val="24"/>
                <w:szCs w:val="24"/>
              </w:rPr>
              <w:t>REASON: To allow for the effective use of the parking areas in accordance with Policy DMG3 of the Ribble Valley Core Strategy.</w:t>
            </w:r>
          </w:p>
          <w:p w14:paraId="55DC296F" w14:textId="77777777" w:rsidR="00276D1F" w:rsidRDefault="00276D1F">
            <w:pPr>
              <w:pStyle w:val="TableText"/>
              <w:rPr>
                <w:rFonts w:ascii="Calibri" w:hAnsi="Calibri"/>
                <w:sz w:val="24"/>
                <w:szCs w:val="24"/>
              </w:rPr>
            </w:pPr>
          </w:p>
          <w:p w14:paraId="620FE5E2" w14:textId="77777777" w:rsidR="00276D1F" w:rsidRDefault="00276D1F">
            <w:pPr>
              <w:pStyle w:val="TableText"/>
              <w:rPr>
                <w:rFonts w:ascii="Calibri" w:hAnsi="Calibri"/>
                <w:sz w:val="24"/>
                <w:szCs w:val="24"/>
              </w:rPr>
            </w:pPr>
          </w:p>
          <w:p w14:paraId="01D360B9" w14:textId="77777777" w:rsidR="00276D1F" w:rsidRDefault="00276D1F">
            <w:pPr>
              <w:pStyle w:val="TableText"/>
              <w:rPr>
                <w:rFonts w:ascii="Calibri" w:hAnsi="Calibri"/>
                <w:sz w:val="24"/>
                <w:szCs w:val="24"/>
              </w:rPr>
            </w:pPr>
          </w:p>
          <w:p w14:paraId="17699398" w14:textId="77777777" w:rsidR="00276D1F" w:rsidRDefault="00276D1F">
            <w:pPr>
              <w:pStyle w:val="TableText"/>
              <w:rPr>
                <w:rFonts w:ascii="Calibri" w:hAnsi="Calibri"/>
                <w:sz w:val="24"/>
                <w:szCs w:val="24"/>
              </w:rPr>
            </w:pPr>
          </w:p>
          <w:p w14:paraId="3D108A23" w14:textId="77777777" w:rsidR="00276D1F" w:rsidRDefault="00276D1F">
            <w:pPr>
              <w:pStyle w:val="TableText"/>
              <w:rPr>
                <w:rFonts w:ascii="Calibri" w:hAnsi="Calibri"/>
                <w:sz w:val="24"/>
                <w:szCs w:val="24"/>
              </w:rPr>
            </w:pPr>
          </w:p>
          <w:p w14:paraId="3C6B5F0C" w14:textId="77777777" w:rsidR="00276D1F" w:rsidRDefault="00276D1F">
            <w:pPr>
              <w:pStyle w:val="TableText"/>
              <w:rPr>
                <w:rFonts w:ascii="Calibri" w:hAnsi="Calibri"/>
                <w:sz w:val="24"/>
                <w:szCs w:val="24"/>
              </w:rPr>
            </w:pPr>
          </w:p>
          <w:p w14:paraId="5A637294" w14:textId="7E2A1317" w:rsidR="00276D1F" w:rsidRDefault="00276D1F" w:rsidP="00276D1F">
            <w:pPr>
              <w:pStyle w:val="TableText"/>
              <w:jc w:val="right"/>
              <w:rPr>
                <w:rFonts w:ascii="Calibri" w:hAnsi="Calibri"/>
                <w:sz w:val="24"/>
                <w:szCs w:val="24"/>
              </w:rPr>
            </w:pPr>
            <w:r>
              <w:rPr>
                <w:rFonts w:ascii="Calibri" w:hAnsi="Calibri"/>
                <w:sz w:val="24"/>
                <w:szCs w:val="24"/>
              </w:rPr>
              <w:t>P.T.O.</w:t>
            </w:r>
          </w:p>
        </w:tc>
      </w:tr>
      <w:tr w:rsidR="00EE3330" w:rsidRPr="00DD62CA" w14:paraId="1118B150" w14:textId="77777777" w:rsidTr="004336FE">
        <w:trPr>
          <w:cantSplit/>
          <w:trHeight w:val="1980"/>
        </w:trPr>
        <w:tc>
          <w:tcPr>
            <w:tcW w:w="988" w:type="dxa"/>
          </w:tcPr>
          <w:p w14:paraId="50C18349" w14:textId="4E9FD0E1" w:rsidR="00EE3330" w:rsidRDefault="00276D1F" w:rsidP="00276D1F">
            <w:pPr>
              <w:pStyle w:val="TableText"/>
              <w:rPr>
                <w:rFonts w:ascii="Calibri" w:hAnsi="Calibri"/>
                <w:sz w:val="24"/>
                <w:szCs w:val="24"/>
              </w:rPr>
            </w:pPr>
            <w:r>
              <w:rPr>
                <w:rFonts w:ascii="Calibri" w:hAnsi="Calibri"/>
                <w:sz w:val="24"/>
                <w:szCs w:val="24"/>
              </w:rPr>
              <w:lastRenderedPageBreak/>
              <w:t>20.</w:t>
            </w:r>
          </w:p>
          <w:p w14:paraId="78223D11" w14:textId="77777777" w:rsidR="00991201" w:rsidRDefault="00991201" w:rsidP="00276D1F">
            <w:pPr>
              <w:pStyle w:val="TableText"/>
              <w:rPr>
                <w:rFonts w:ascii="Calibri" w:hAnsi="Calibri"/>
                <w:sz w:val="24"/>
                <w:szCs w:val="24"/>
              </w:rPr>
            </w:pPr>
          </w:p>
          <w:p w14:paraId="59889206" w14:textId="77777777" w:rsidR="00991201" w:rsidRDefault="00991201" w:rsidP="00276D1F">
            <w:pPr>
              <w:pStyle w:val="TableText"/>
              <w:rPr>
                <w:rFonts w:ascii="Calibri" w:hAnsi="Calibri"/>
                <w:sz w:val="24"/>
                <w:szCs w:val="24"/>
              </w:rPr>
            </w:pPr>
          </w:p>
          <w:p w14:paraId="099EFBD3" w14:textId="77777777" w:rsidR="00991201" w:rsidRDefault="00991201" w:rsidP="00276D1F">
            <w:pPr>
              <w:pStyle w:val="TableText"/>
              <w:rPr>
                <w:rFonts w:ascii="Calibri" w:hAnsi="Calibri"/>
                <w:sz w:val="24"/>
                <w:szCs w:val="24"/>
              </w:rPr>
            </w:pPr>
          </w:p>
          <w:p w14:paraId="425F6ACE" w14:textId="77777777" w:rsidR="00991201" w:rsidRDefault="00991201" w:rsidP="00276D1F">
            <w:pPr>
              <w:pStyle w:val="TableText"/>
              <w:rPr>
                <w:rFonts w:ascii="Calibri" w:hAnsi="Calibri"/>
                <w:sz w:val="24"/>
                <w:szCs w:val="24"/>
              </w:rPr>
            </w:pPr>
          </w:p>
          <w:p w14:paraId="1A907B84" w14:textId="77777777" w:rsidR="00991201" w:rsidRDefault="00991201" w:rsidP="00276D1F">
            <w:pPr>
              <w:pStyle w:val="TableText"/>
              <w:rPr>
                <w:rFonts w:ascii="Calibri" w:hAnsi="Calibri"/>
                <w:sz w:val="24"/>
                <w:szCs w:val="24"/>
              </w:rPr>
            </w:pPr>
          </w:p>
          <w:p w14:paraId="5A1EA9BD" w14:textId="4C4BD31B" w:rsidR="00276D1F" w:rsidRPr="00DD62CA" w:rsidRDefault="00276D1F" w:rsidP="00991201">
            <w:pPr>
              <w:pStyle w:val="TableText"/>
              <w:rPr>
                <w:rFonts w:ascii="Calibri" w:hAnsi="Calibri"/>
                <w:sz w:val="24"/>
                <w:szCs w:val="24"/>
              </w:rPr>
            </w:pPr>
          </w:p>
        </w:tc>
        <w:tc>
          <w:tcPr>
            <w:tcW w:w="9365" w:type="dxa"/>
            <w:gridSpan w:val="2"/>
          </w:tcPr>
          <w:p w14:paraId="2A172EE9" w14:textId="77777777" w:rsidR="00276D1F" w:rsidRDefault="00276D1F" w:rsidP="00276D1F">
            <w:pPr>
              <w:pStyle w:val="TableText"/>
              <w:rPr>
                <w:rFonts w:ascii="Calibri" w:hAnsi="Calibri"/>
                <w:sz w:val="24"/>
                <w:szCs w:val="24"/>
              </w:rPr>
            </w:pPr>
            <w:r>
              <w:rPr>
                <w:rFonts w:ascii="Calibri" w:hAnsi="Calibri"/>
                <w:sz w:val="24"/>
                <w:szCs w:val="24"/>
              </w:rPr>
              <w:t>The development hereby approved shall be implemented in full accordance with the Ecological Appraisal submitted with the planning application [Preliminary Ecology Appraisal, Envirotech, 7903, 1/9/2022] including all the mitigation measures set out in that report.</w:t>
            </w:r>
          </w:p>
          <w:p w14:paraId="566F62BB" w14:textId="77777777" w:rsidR="00276D1F" w:rsidRDefault="00276D1F" w:rsidP="00276D1F">
            <w:pPr>
              <w:pStyle w:val="TableText"/>
              <w:rPr>
                <w:rFonts w:ascii="Calibri" w:hAnsi="Calibri"/>
                <w:sz w:val="24"/>
                <w:szCs w:val="24"/>
              </w:rPr>
            </w:pPr>
          </w:p>
          <w:p w14:paraId="0A2B81B8" w14:textId="77777777" w:rsidR="00276D1F" w:rsidRDefault="00276D1F" w:rsidP="00276D1F">
            <w:pPr>
              <w:pStyle w:val="TableText"/>
              <w:rPr>
                <w:rFonts w:ascii="Calibri" w:hAnsi="Calibri"/>
                <w:sz w:val="24"/>
                <w:szCs w:val="24"/>
              </w:rPr>
            </w:pPr>
            <w:r>
              <w:rPr>
                <w:rFonts w:ascii="Calibri" w:hAnsi="Calibri"/>
                <w:sz w:val="24"/>
                <w:szCs w:val="24"/>
              </w:rPr>
              <w:t>REASON: To ensure compliance with the Wildlife and Countryside Act 1981, Policy DME3 of the Ribble Valley Core Strategy and section 15 of the National Planning Policy Framework.</w:t>
            </w:r>
          </w:p>
          <w:p w14:paraId="65628F19" w14:textId="7CD62FD4" w:rsidR="00276D1F" w:rsidRDefault="00276D1F" w:rsidP="00276D1F">
            <w:pPr>
              <w:pStyle w:val="TableText"/>
              <w:rPr>
                <w:rFonts w:ascii="Calibri" w:hAnsi="Calibri"/>
                <w:sz w:val="24"/>
                <w:szCs w:val="24"/>
              </w:rPr>
            </w:pPr>
          </w:p>
        </w:tc>
      </w:tr>
      <w:tr w:rsidR="00991201" w:rsidRPr="00DD62CA" w14:paraId="0D95E112" w14:textId="77777777" w:rsidTr="004336FE">
        <w:trPr>
          <w:cantSplit/>
          <w:trHeight w:val="1980"/>
        </w:trPr>
        <w:tc>
          <w:tcPr>
            <w:tcW w:w="988" w:type="dxa"/>
          </w:tcPr>
          <w:p w14:paraId="7DC08EAC" w14:textId="5F8BBF0E" w:rsidR="00991201" w:rsidRDefault="00991201" w:rsidP="00276D1F">
            <w:pPr>
              <w:pStyle w:val="TableText"/>
              <w:rPr>
                <w:rFonts w:ascii="Calibri" w:hAnsi="Calibri"/>
                <w:sz w:val="24"/>
                <w:szCs w:val="24"/>
              </w:rPr>
            </w:pPr>
            <w:r>
              <w:rPr>
                <w:rFonts w:ascii="Calibri" w:hAnsi="Calibri"/>
                <w:sz w:val="24"/>
                <w:szCs w:val="24"/>
              </w:rPr>
              <w:t>21.</w:t>
            </w:r>
          </w:p>
        </w:tc>
        <w:tc>
          <w:tcPr>
            <w:tcW w:w="9365" w:type="dxa"/>
            <w:gridSpan w:val="2"/>
          </w:tcPr>
          <w:p w14:paraId="7C6A4593" w14:textId="77777777" w:rsidR="00991201" w:rsidRDefault="00991201" w:rsidP="00991201">
            <w:pPr>
              <w:pStyle w:val="TableText"/>
              <w:rPr>
                <w:rFonts w:ascii="Calibri" w:hAnsi="Calibri"/>
                <w:sz w:val="24"/>
                <w:szCs w:val="24"/>
              </w:rPr>
            </w:pPr>
            <w:r>
              <w:rPr>
                <w:rFonts w:ascii="Calibri" w:hAnsi="Calibri"/>
                <w:sz w:val="24"/>
                <w:szCs w:val="24"/>
              </w:rPr>
              <w:t>Prior to the first occupation of any dwelling hereby approved details of the provision of electric vehicle charging points within the boundary of the site shall have been submitted to and approved in writing by the local planning authority. These shall have been made available for use prior to the first occupation of the dwelling and thereafter retained as such.</w:t>
            </w:r>
          </w:p>
          <w:p w14:paraId="13FC2652" w14:textId="77777777" w:rsidR="00991201" w:rsidRDefault="00991201" w:rsidP="00991201">
            <w:pPr>
              <w:pStyle w:val="TableText"/>
              <w:rPr>
                <w:rFonts w:ascii="Calibri" w:hAnsi="Calibri"/>
                <w:sz w:val="24"/>
                <w:szCs w:val="24"/>
              </w:rPr>
            </w:pPr>
          </w:p>
          <w:p w14:paraId="4B56CC77" w14:textId="77777777" w:rsidR="00991201" w:rsidRDefault="00991201" w:rsidP="00991201">
            <w:pPr>
              <w:pStyle w:val="TableText"/>
              <w:rPr>
                <w:rFonts w:ascii="Calibri" w:hAnsi="Calibri"/>
                <w:sz w:val="24"/>
                <w:szCs w:val="24"/>
              </w:rPr>
            </w:pPr>
            <w:r>
              <w:rPr>
                <w:rFonts w:ascii="Calibri" w:hAnsi="Calibri"/>
                <w:sz w:val="24"/>
                <w:szCs w:val="24"/>
              </w:rPr>
              <w:t>REASON: To contribute towards sustainable transport objectives and the reduction of harmful vehicle emissions.</w:t>
            </w:r>
          </w:p>
          <w:p w14:paraId="5F2E483B" w14:textId="77777777" w:rsidR="00991201" w:rsidRDefault="00991201" w:rsidP="00276D1F">
            <w:pPr>
              <w:pStyle w:val="TableText"/>
              <w:rPr>
                <w:rFonts w:ascii="Calibri" w:hAnsi="Calibri"/>
                <w:sz w:val="24"/>
                <w:szCs w:val="24"/>
              </w:rPr>
            </w:pPr>
          </w:p>
        </w:tc>
      </w:tr>
      <w:tr w:rsidR="00991201" w:rsidRPr="00DD62CA" w14:paraId="4C984176" w14:textId="77777777" w:rsidTr="004336FE">
        <w:trPr>
          <w:cantSplit/>
          <w:trHeight w:val="1980"/>
        </w:trPr>
        <w:tc>
          <w:tcPr>
            <w:tcW w:w="988" w:type="dxa"/>
          </w:tcPr>
          <w:p w14:paraId="7D73A6F9" w14:textId="77777777" w:rsidR="00991201" w:rsidRDefault="00991201" w:rsidP="00276D1F">
            <w:pPr>
              <w:pStyle w:val="TableText"/>
              <w:rPr>
                <w:rFonts w:ascii="Calibri" w:hAnsi="Calibri"/>
                <w:sz w:val="24"/>
                <w:szCs w:val="24"/>
              </w:rPr>
            </w:pPr>
            <w:r>
              <w:rPr>
                <w:rFonts w:ascii="Calibri" w:hAnsi="Calibri"/>
                <w:sz w:val="24"/>
                <w:szCs w:val="24"/>
              </w:rPr>
              <w:t>22.</w:t>
            </w:r>
          </w:p>
          <w:p w14:paraId="30D93D6F" w14:textId="77777777" w:rsidR="00991201" w:rsidRDefault="00991201" w:rsidP="00276D1F">
            <w:pPr>
              <w:pStyle w:val="TableText"/>
              <w:rPr>
                <w:rFonts w:ascii="Calibri" w:hAnsi="Calibri"/>
                <w:sz w:val="24"/>
                <w:szCs w:val="24"/>
              </w:rPr>
            </w:pPr>
          </w:p>
          <w:p w14:paraId="138BFC4A" w14:textId="77777777" w:rsidR="00991201" w:rsidRDefault="00991201" w:rsidP="00276D1F">
            <w:pPr>
              <w:pStyle w:val="TableText"/>
              <w:rPr>
                <w:rFonts w:ascii="Calibri" w:hAnsi="Calibri"/>
                <w:sz w:val="24"/>
                <w:szCs w:val="24"/>
              </w:rPr>
            </w:pPr>
          </w:p>
          <w:p w14:paraId="302E7EEA" w14:textId="77777777" w:rsidR="00991201" w:rsidRDefault="00991201" w:rsidP="00276D1F">
            <w:pPr>
              <w:pStyle w:val="TableText"/>
              <w:rPr>
                <w:rFonts w:ascii="Calibri" w:hAnsi="Calibri"/>
                <w:sz w:val="24"/>
                <w:szCs w:val="24"/>
              </w:rPr>
            </w:pPr>
          </w:p>
          <w:p w14:paraId="40D59225" w14:textId="77777777" w:rsidR="00991201" w:rsidRDefault="00991201" w:rsidP="00276D1F">
            <w:pPr>
              <w:pStyle w:val="TableText"/>
              <w:rPr>
                <w:rFonts w:ascii="Calibri" w:hAnsi="Calibri"/>
                <w:sz w:val="24"/>
                <w:szCs w:val="24"/>
              </w:rPr>
            </w:pPr>
          </w:p>
          <w:p w14:paraId="2C441C98" w14:textId="77777777" w:rsidR="00991201" w:rsidRDefault="00991201" w:rsidP="00276D1F">
            <w:pPr>
              <w:pStyle w:val="TableText"/>
              <w:rPr>
                <w:rFonts w:ascii="Calibri" w:hAnsi="Calibri"/>
                <w:sz w:val="24"/>
                <w:szCs w:val="24"/>
              </w:rPr>
            </w:pPr>
          </w:p>
          <w:p w14:paraId="2D1580C1" w14:textId="77777777" w:rsidR="00991201" w:rsidRDefault="00991201" w:rsidP="00276D1F">
            <w:pPr>
              <w:pStyle w:val="TableText"/>
              <w:rPr>
                <w:rFonts w:ascii="Calibri" w:hAnsi="Calibri"/>
                <w:sz w:val="24"/>
                <w:szCs w:val="24"/>
              </w:rPr>
            </w:pPr>
          </w:p>
          <w:p w14:paraId="70C42168" w14:textId="77777777" w:rsidR="00991201" w:rsidRDefault="00991201" w:rsidP="00276D1F">
            <w:pPr>
              <w:pStyle w:val="TableText"/>
              <w:rPr>
                <w:rFonts w:ascii="Calibri" w:hAnsi="Calibri"/>
                <w:sz w:val="24"/>
                <w:szCs w:val="24"/>
              </w:rPr>
            </w:pPr>
          </w:p>
          <w:p w14:paraId="26501344" w14:textId="77777777" w:rsidR="00991201" w:rsidRDefault="00991201" w:rsidP="00276D1F">
            <w:pPr>
              <w:pStyle w:val="TableText"/>
              <w:rPr>
                <w:rFonts w:ascii="Calibri" w:hAnsi="Calibri"/>
                <w:sz w:val="24"/>
                <w:szCs w:val="24"/>
              </w:rPr>
            </w:pPr>
          </w:p>
          <w:p w14:paraId="3BCE6B18" w14:textId="77777777" w:rsidR="00991201" w:rsidRDefault="00991201" w:rsidP="00276D1F">
            <w:pPr>
              <w:pStyle w:val="TableText"/>
              <w:rPr>
                <w:rFonts w:ascii="Calibri" w:hAnsi="Calibri"/>
                <w:sz w:val="24"/>
                <w:szCs w:val="24"/>
              </w:rPr>
            </w:pPr>
          </w:p>
          <w:p w14:paraId="0F4C95CE" w14:textId="77777777" w:rsidR="00991201" w:rsidRDefault="00991201" w:rsidP="00276D1F">
            <w:pPr>
              <w:pStyle w:val="TableText"/>
              <w:rPr>
                <w:rFonts w:ascii="Calibri" w:hAnsi="Calibri"/>
                <w:sz w:val="24"/>
                <w:szCs w:val="24"/>
              </w:rPr>
            </w:pPr>
          </w:p>
          <w:p w14:paraId="0B7D572D" w14:textId="779456F4" w:rsidR="00991201" w:rsidRDefault="00991201" w:rsidP="00276D1F">
            <w:pPr>
              <w:pStyle w:val="TableText"/>
              <w:rPr>
                <w:rFonts w:ascii="Calibri" w:hAnsi="Calibri"/>
                <w:sz w:val="24"/>
                <w:szCs w:val="24"/>
              </w:rPr>
            </w:pPr>
          </w:p>
        </w:tc>
        <w:tc>
          <w:tcPr>
            <w:tcW w:w="9365" w:type="dxa"/>
            <w:gridSpan w:val="2"/>
          </w:tcPr>
          <w:p w14:paraId="4B3A87A5" w14:textId="77777777" w:rsidR="00991201" w:rsidRDefault="00991201" w:rsidP="00991201">
            <w:pPr>
              <w:pStyle w:val="TableText"/>
              <w:rPr>
                <w:rFonts w:ascii="Calibri" w:hAnsi="Calibri"/>
                <w:sz w:val="24"/>
                <w:szCs w:val="24"/>
              </w:rPr>
            </w:pPr>
            <w:r>
              <w:rPr>
                <w:rFonts w:ascii="Calibri" w:hAnsi="Calibri"/>
                <w:sz w:val="24"/>
                <w:szCs w:val="24"/>
              </w:rPr>
              <w:tab/>
              <w:t xml:space="preserve">Prior to the commencement of development of any phase (one phase being the new build dwelling development, the other phase being the dwelling conversion) details of the existing and proposed ground, slab and finished floor levels shall be submitted to and approved in writing by the Local Planning Authority. </w:t>
            </w:r>
          </w:p>
          <w:p w14:paraId="1F72AF44" w14:textId="77777777" w:rsidR="00991201" w:rsidRDefault="00991201" w:rsidP="00991201">
            <w:pPr>
              <w:pStyle w:val="TableText"/>
              <w:rPr>
                <w:rFonts w:ascii="Calibri" w:hAnsi="Calibri"/>
                <w:sz w:val="24"/>
                <w:szCs w:val="24"/>
              </w:rPr>
            </w:pPr>
          </w:p>
          <w:p w14:paraId="0DBA93E1" w14:textId="77777777" w:rsidR="00991201" w:rsidRDefault="00991201" w:rsidP="00991201">
            <w:pPr>
              <w:pStyle w:val="TableText"/>
              <w:rPr>
                <w:rFonts w:ascii="Calibri" w:hAnsi="Calibri"/>
                <w:sz w:val="24"/>
                <w:szCs w:val="24"/>
              </w:rPr>
            </w:pPr>
            <w:r>
              <w:rPr>
                <w:rFonts w:ascii="Calibri" w:hAnsi="Calibri"/>
                <w:sz w:val="24"/>
                <w:szCs w:val="24"/>
              </w:rPr>
              <w:t>The ground, slab and finished floor levels shall be constructed and completed in accordance with the approved details.</w:t>
            </w:r>
          </w:p>
          <w:p w14:paraId="49C7DFDA" w14:textId="77777777" w:rsidR="00991201" w:rsidRDefault="00991201" w:rsidP="00991201">
            <w:pPr>
              <w:pStyle w:val="TableText"/>
              <w:rPr>
                <w:rFonts w:ascii="Calibri" w:hAnsi="Calibri"/>
                <w:sz w:val="24"/>
                <w:szCs w:val="24"/>
              </w:rPr>
            </w:pPr>
          </w:p>
          <w:p w14:paraId="6286131E" w14:textId="081BCAFE" w:rsidR="00991201" w:rsidRDefault="00991201" w:rsidP="00991201">
            <w:pPr>
              <w:pStyle w:val="TableText"/>
              <w:rPr>
                <w:rFonts w:ascii="Calibri" w:hAnsi="Calibri"/>
                <w:sz w:val="24"/>
                <w:szCs w:val="24"/>
              </w:rPr>
            </w:pPr>
            <w:r>
              <w:rPr>
                <w:rFonts w:ascii="Calibri" w:hAnsi="Calibri"/>
                <w:sz w:val="24"/>
                <w:szCs w:val="24"/>
              </w:rPr>
              <w:t>REASON: To ensure that the development has a satisfactory visual impact on the streetscene, a satisfactory impact on neighbouring residential amenity and has a minimum risk of flooding.</w:t>
            </w:r>
          </w:p>
        </w:tc>
      </w:tr>
      <w:tr w:rsidR="00991201" w:rsidRPr="00DD62CA" w14:paraId="4676DBBB" w14:textId="77777777" w:rsidTr="004336FE">
        <w:trPr>
          <w:cantSplit/>
          <w:trHeight w:val="1980"/>
        </w:trPr>
        <w:tc>
          <w:tcPr>
            <w:tcW w:w="988" w:type="dxa"/>
          </w:tcPr>
          <w:p w14:paraId="02C42BC3" w14:textId="3FF13C3D" w:rsidR="00991201" w:rsidRDefault="00991201" w:rsidP="00276D1F">
            <w:pPr>
              <w:pStyle w:val="TableText"/>
              <w:rPr>
                <w:rFonts w:ascii="Calibri" w:hAnsi="Calibri"/>
                <w:sz w:val="24"/>
                <w:szCs w:val="24"/>
              </w:rPr>
            </w:pPr>
            <w:r>
              <w:rPr>
                <w:rFonts w:ascii="Calibri" w:hAnsi="Calibri"/>
                <w:sz w:val="24"/>
                <w:szCs w:val="24"/>
              </w:rPr>
              <w:t>23.</w:t>
            </w:r>
          </w:p>
        </w:tc>
        <w:tc>
          <w:tcPr>
            <w:tcW w:w="9365" w:type="dxa"/>
            <w:gridSpan w:val="2"/>
          </w:tcPr>
          <w:p w14:paraId="330FA450" w14:textId="77777777" w:rsidR="00991201" w:rsidRDefault="00991201" w:rsidP="00991201">
            <w:pPr>
              <w:pStyle w:val="TableText"/>
              <w:rPr>
                <w:rFonts w:ascii="Calibri" w:hAnsi="Calibri"/>
                <w:sz w:val="24"/>
                <w:szCs w:val="24"/>
              </w:rPr>
            </w:pPr>
            <w:r>
              <w:rPr>
                <w:rFonts w:ascii="Calibri" w:hAnsi="Calibri"/>
                <w:sz w:val="24"/>
                <w:szCs w:val="24"/>
              </w:rPr>
              <w:tab/>
              <w:t>Notwithstanding the provisions of the Town and Country Planning (General Permitted Development) (England) Order 2015 (or any Order revoking and re-enacting that Order with or without modification), no fences, gates, walls, railings or other means of enclosure shall, at any time, be constructed/erected within the curtilage of any dwelling house forward of any wall of that dwelling house which fronts on to a highway without express planning permission first being obtained.</w:t>
            </w:r>
          </w:p>
          <w:p w14:paraId="7A1F5E03" w14:textId="77777777" w:rsidR="00991201" w:rsidRDefault="00991201" w:rsidP="00991201">
            <w:pPr>
              <w:pStyle w:val="TableText"/>
              <w:rPr>
                <w:rFonts w:ascii="Calibri" w:hAnsi="Calibri"/>
                <w:sz w:val="24"/>
                <w:szCs w:val="24"/>
              </w:rPr>
            </w:pPr>
          </w:p>
          <w:p w14:paraId="206687D6" w14:textId="77777777" w:rsidR="00991201" w:rsidRDefault="00991201" w:rsidP="00991201">
            <w:pPr>
              <w:pStyle w:val="TableText"/>
              <w:rPr>
                <w:rFonts w:ascii="Calibri" w:hAnsi="Calibri"/>
                <w:sz w:val="24"/>
                <w:szCs w:val="24"/>
              </w:rPr>
            </w:pPr>
            <w:r>
              <w:rPr>
                <w:rFonts w:ascii="Calibri" w:hAnsi="Calibri"/>
                <w:sz w:val="24"/>
                <w:szCs w:val="24"/>
              </w:rPr>
              <w:t>REASON: To safeguard the appearance of open plan development.</w:t>
            </w:r>
          </w:p>
          <w:p w14:paraId="3ACF86E5" w14:textId="77777777" w:rsidR="00991201" w:rsidRDefault="00991201" w:rsidP="00991201">
            <w:pPr>
              <w:pStyle w:val="TableText"/>
              <w:rPr>
                <w:rFonts w:ascii="Calibri" w:hAnsi="Calibri"/>
                <w:sz w:val="24"/>
                <w:szCs w:val="24"/>
              </w:rPr>
            </w:pPr>
          </w:p>
        </w:tc>
      </w:tr>
      <w:tr w:rsidR="00991201" w:rsidRPr="00DD62CA" w14:paraId="003DB1DB" w14:textId="77777777" w:rsidTr="004336FE">
        <w:trPr>
          <w:cantSplit/>
          <w:trHeight w:val="1980"/>
        </w:trPr>
        <w:tc>
          <w:tcPr>
            <w:tcW w:w="988" w:type="dxa"/>
          </w:tcPr>
          <w:p w14:paraId="4E65BBDE" w14:textId="2DB51C8F" w:rsidR="00991201" w:rsidRDefault="00991201" w:rsidP="00276D1F">
            <w:pPr>
              <w:pStyle w:val="TableText"/>
              <w:rPr>
                <w:rFonts w:ascii="Calibri" w:hAnsi="Calibri"/>
                <w:sz w:val="24"/>
                <w:szCs w:val="24"/>
              </w:rPr>
            </w:pPr>
            <w:r>
              <w:rPr>
                <w:rFonts w:ascii="Calibri" w:hAnsi="Calibri"/>
                <w:sz w:val="24"/>
                <w:szCs w:val="24"/>
              </w:rPr>
              <w:t>24.</w:t>
            </w:r>
          </w:p>
        </w:tc>
        <w:tc>
          <w:tcPr>
            <w:tcW w:w="9365" w:type="dxa"/>
            <w:gridSpan w:val="2"/>
          </w:tcPr>
          <w:p w14:paraId="25A7A17D" w14:textId="77777777" w:rsidR="00991201" w:rsidRDefault="00991201" w:rsidP="00991201">
            <w:pPr>
              <w:pStyle w:val="TableText"/>
              <w:rPr>
                <w:rFonts w:ascii="Calibri" w:hAnsi="Calibri"/>
                <w:sz w:val="24"/>
                <w:szCs w:val="24"/>
              </w:rPr>
            </w:pPr>
            <w:r>
              <w:rPr>
                <w:rFonts w:ascii="Calibri" w:hAnsi="Calibri"/>
                <w:sz w:val="24"/>
                <w:szCs w:val="24"/>
              </w:rPr>
              <w:t xml:space="preserve">Prior to slab level being reached, details of the location and appearance of cycle storage area(s) shall be submitted to and approved in writing by the Local Planning Authority for those plots which do not have garages within their curtilage. The development shall be implemented in accordance with the approved details, prior to first occupation of any relevant part of the approved development and thereafter maintained and retained. </w:t>
            </w:r>
          </w:p>
          <w:p w14:paraId="2AEAF448" w14:textId="77777777" w:rsidR="00991201" w:rsidRDefault="00991201" w:rsidP="00991201">
            <w:pPr>
              <w:pStyle w:val="TableText"/>
              <w:rPr>
                <w:rFonts w:ascii="Calibri" w:hAnsi="Calibri"/>
                <w:sz w:val="24"/>
                <w:szCs w:val="24"/>
              </w:rPr>
            </w:pPr>
          </w:p>
          <w:p w14:paraId="12AA26A8" w14:textId="77777777" w:rsidR="00991201" w:rsidRDefault="00991201" w:rsidP="00991201">
            <w:pPr>
              <w:pStyle w:val="TableText"/>
              <w:rPr>
                <w:rFonts w:ascii="Calibri" w:hAnsi="Calibri"/>
                <w:sz w:val="24"/>
                <w:szCs w:val="24"/>
              </w:rPr>
            </w:pPr>
            <w:r>
              <w:rPr>
                <w:rFonts w:ascii="Calibri" w:hAnsi="Calibri"/>
                <w:sz w:val="24"/>
                <w:szCs w:val="24"/>
              </w:rPr>
              <w:t>REASON:  In the interests of the appearance of the site and locality and to promote sustainable transport as a travel option, encourage healthy communities and reduce carbon emissions.</w:t>
            </w:r>
          </w:p>
          <w:p w14:paraId="2FE506AC" w14:textId="0CAFF3E9" w:rsidR="00991201" w:rsidRDefault="00991201" w:rsidP="00991201">
            <w:pPr>
              <w:pStyle w:val="TableText"/>
              <w:jc w:val="right"/>
              <w:rPr>
                <w:rFonts w:ascii="Calibri" w:hAnsi="Calibri"/>
                <w:sz w:val="24"/>
                <w:szCs w:val="24"/>
              </w:rPr>
            </w:pPr>
            <w:r>
              <w:rPr>
                <w:rFonts w:ascii="Calibri" w:hAnsi="Calibri"/>
                <w:sz w:val="24"/>
                <w:szCs w:val="24"/>
              </w:rPr>
              <w:t>P.T.O.</w:t>
            </w:r>
          </w:p>
        </w:tc>
      </w:tr>
      <w:tr w:rsidR="00991201" w:rsidRPr="00DD62CA" w14:paraId="463CADE6" w14:textId="77777777" w:rsidTr="004336FE">
        <w:trPr>
          <w:cantSplit/>
          <w:trHeight w:val="1980"/>
        </w:trPr>
        <w:tc>
          <w:tcPr>
            <w:tcW w:w="988" w:type="dxa"/>
          </w:tcPr>
          <w:p w14:paraId="428C534A" w14:textId="2442F2DB" w:rsidR="00991201" w:rsidRDefault="00991201" w:rsidP="00276D1F">
            <w:pPr>
              <w:pStyle w:val="TableText"/>
              <w:rPr>
                <w:rFonts w:ascii="Calibri" w:hAnsi="Calibri"/>
                <w:sz w:val="24"/>
                <w:szCs w:val="24"/>
              </w:rPr>
            </w:pPr>
            <w:r>
              <w:rPr>
                <w:rFonts w:ascii="Calibri" w:hAnsi="Calibri"/>
                <w:sz w:val="24"/>
                <w:szCs w:val="24"/>
              </w:rPr>
              <w:lastRenderedPageBreak/>
              <w:t>25.</w:t>
            </w:r>
          </w:p>
        </w:tc>
        <w:tc>
          <w:tcPr>
            <w:tcW w:w="9365" w:type="dxa"/>
            <w:gridSpan w:val="2"/>
          </w:tcPr>
          <w:p w14:paraId="4A8B3C88" w14:textId="77777777" w:rsidR="00991201" w:rsidRDefault="00991201" w:rsidP="00991201">
            <w:pPr>
              <w:pStyle w:val="TableText"/>
              <w:rPr>
                <w:rFonts w:ascii="Calibri" w:hAnsi="Calibri"/>
                <w:sz w:val="24"/>
                <w:szCs w:val="24"/>
              </w:rPr>
            </w:pPr>
            <w:r>
              <w:rPr>
                <w:rFonts w:ascii="Calibri" w:hAnsi="Calibri"/>
                <w:sz w:val="24"/>
                <w:szCs w:val="24"/>
              </w:rPr>
              <w:t xml:space="preserve">The annexe (existing Dutch barn outbuilding) hereby approved shall only be used ancillary to the enjoyment of the approved dwelling (existing dairy building) and shall not be used by way of sale or sub-letting to form separate residential accommodation. </w:t>
            </w:r>
          </w:p>
          <w:p w14:paraId="5A9E1255" w14:textId="77777777" w:rsidR="00991201" w:rsidRDefault="00991201" w:rsidP="00991201">
            <w:pPr>
              <w:pStyle w:val="TableText"/>
              <w:rPr>
                <w:rFonts w:ascii="Calibri" w:hAnsi="Calibri"/>
                <w:sz w:val="24"/>
                <w:szCs w:val="24"/>
              </w:rPr>
            </w:pPr>
          </w:p>
          <w:p w14:paraId="7D323A6A" w14:textId="77777777" w:rsidR="00991201" w:rsidRDefault="00991201" w:rsidP="00991201">
            <w:pPr>
              <w:pStyle w:val="TableText"/>
              <w:rPr>
                <w:rFonts w:ascii="Calibri" w:hAnsi="Calibri"/>
                <w:sz w:val="24"/>
                <w:szCs w:val="24"/>
              </w:rPr>
            </w:pPr>
            <w:r>
              <w:rPr>
                <w:rFonts w:ascii="Calibri" w:hAnsi="Calibri"/>
                <w:sz w:val="24"/>
                <w:szCs w:val="24"/>
              </w:rPr>
              <w:t>REASON: To avoid the creation of separate dwellings which require further consideration against relevant Local Plan policies.</w:t>
            </w:r>
          </w:p>
          <w:p w14:paraId="1C641314" w14:textId="77777777" w:rsidR="00991201" w:rsidRDefault="00991201" w:rsidP="00991201">
            <w:pPr>
              <w:pStyle w:val="TableText"/>
              <w:rPr>
                <w:rFonts w:ascii="Calibri" w:hAnsi="Calibri"/>
                <w:sz w:val="24"/>
                <w:szCs w:val="24"/>
              </w:rPr>
            </w:pPr>
          </w:p>
        </w:tc>
      </w:tr>
      <w:tr w:rsidR="00991201" w:rsidRPr="00DD62CA" w14:paraId="0E2B548A" w14:textId="77777777" w:rsidTr="004336FE">
        <w:trPr>
          <w:cantSplit/>
          <w:trHeight w:val="1980"/>
        </w:trPr>
        <w:tc>
          <w:tcPr>
            <w:tcW w:w="988" w:type="dxa"/>
          </w:tcPr>
          <w:p w14:paraId="74A1F49C" w14:textId="3C7F3F65" w:rsidR="00991201" w:rsidRDefault="00991201" w:rsidP="00276D1F">
            <w:pPr>
              <w:pStyle w:val="TableText"/>
              <w:rPr>
                <w:rFonts w:ascii="Calibri" w:hAnsi="Calibri"/>
                <w:sz w:val="24"/>
                <w:szCs w:val="24"/>
              </w:rPr>
            </w:pPr>
            <w:r>
              <w:rPr>
                <w:rFonts w:ascii="Calibri" w:hAnsi="Calibri"/>
                <w:sz w:val="24"/>
                <w:szCs w:val="24"/>
              </w:rPr>
              <w:t>26.</w:t>
            </w:r>
          </w:p>
        </w:tc>
        <w:tc>
          <w:tcPr>
            <w:tcW w:w="9365" w:type="dxa"/>
            <w:gridSpan w:val="2"/>
          </w:tcPr>
          <w:p w14:paraId="134BF73B" w14:textId="77777777" w:rsidR="00991201" w:rsidRDefault="00991201" w:rsidP="00991201">
            <w:pPr>
              <w:pStyle w:val="TableText"/>
              <w:rPr>
                <w:rFonts w:ascii="Calibri" w:hAnsi="Calibri"/>
                <w:sz w:val="24"/>
                <w:szCs w:val="24"/>
              </w:rPr>
            </w:pPr>
            <w:r>
              <w:rPr>
                <w:rFonts w:ascii="Calibri" w:hAnsi="Calibri"/>
                <w:sz w:val="24"/>
                <w:szCs w:val="24"/>
              </w:rPr>
              <w:t>Prior to slab level being reached for any new-build dwelling hereby approved, or in the case of the dairy building, prior to conversion works commencing, a scheme which identifies opportunities for biodiversity enhancement on site including (but not limited to):</w:t>
            </w:r>
          </w:p>
          <w:p w14:paraId="64585C16" w14:textId="77777777" w:rsidR="00991201" w:rsidRDefault="00991201" w:rsidP="00991201">
            <w:pPr>
              <w:pStyle w:val="TableText"/>
              <w:rPr>
                <w:rFonts w:ascii="Calibri" w:hAnsi="Calibri"/>
                <w:sz w:val="24"/>
                <w:szCs w:val="24"/>
              </w:rPr>
            </w:pPr>
          </w:p>
          <w:p w14:paraId="2CD1A70A" w14:textId="77777777" w:rsidR="00991201" w:rsidRDefault="00991201" w:rsidP="00991201">
            <w:pPr>
              <w:pStyle w:val="TableText"/>
              <w:rPr>
                <w:rFonts w:ascii="Calibri" w:hAnsi="Calibri"/>
                <w:sz w:val="24"/>
                <w:szCs w:val="24"/>
              </w:rPr>
            </w:pPr>
            <w:r>
              <w:rPr>
                <w:rFonts w:ascii="Calibri" w:hAnsi="Calibri"/>
                <w:sz w:val="24"/>
                <w:szCs w:val="24"/>
              </w:rPr>
              <w:t>- bat bricks and/or tubes within the new development</w:t>
            </w:r>
          </w:p>
          <w:p w14:paraId="0201E575" w14:textId="77777777" w:rsidR="00991201" w:rsidRDefault="00991201" w:rsidP="00991201">
            <w:pPr>
              <w:pStyle w:val="TableText"/>
              <w:rPr>
                <w:rFonts w:ascii="Calibri" w:hAnsi="Calibri"/>
                <w:sz w:val="24"/>
                <w:szCs w:val="24"/>
              </w:rPr>
            </w:pPr>
            <w:r>
              <w:rPr>
                <w:rFonts w:ascii="Calibri" w:hAnsi="Calibri"/>
                <w:sz w:val="24"/>
                <w:szCs w:val="24"/>
              </w:rPr>
              <w:t>- bird boxes</w:t>
            </w:r>
          </w:p>
          <w:p w14:paraId="1DCC5D2C" w14:textId="77777777" w:rsidR="00991201" w:rsidRDefault="00991201" w:rsidP="00991201">
            <w:pPr>
              <w:pStyle w:val="TableText"/>
              <w:rPr>
                <w:rFonts w:ascii="Calibri" w:hAnsi="Calibri"/>
                <w:sz w:val="24"/>
                <w:szCs w:val="24"/>
              </w:rPr>
            </w:pPr>
            <w:r>
              <w:rPr>
                <w:rFonts w:ascii="Calibri" w:hAnsi="Calibri"/>
                <w:sz w:val="24"/>
                <w:szCs w:val="24"/>
              </w:rPr>
              <w:t xml:space="preserve">- bat boxes </w:t>
            </w:r>
          </w:p>
          <w:p w14:paraId="441F2625" w14:textId="77777777" w:rsidR="00991201" w:rsidRDefault="00991201" w:rsidP="00991201">
            <w:pPr>
              <w:pStyle w:val="TableText"/>
              <w:rPr>
                <w:rFonts w:ascii="Calibri" w:hAnsi="Calibri"/>
                <w:sz w:val="24"/>
                <w:szCs w:val="24"/>
              </w:rPr>
            </w:pPr>
            <w:r>
              <w:rPr>
                <w:rFonts w:ascii="Calibri" w:hAnsi="Calibri"/>
                <w:sz w:val="24"/>
                <w:szCs w:val="24"/>
              </w:rPr>
              <w:t>- Native tree and shrub planting</w:t>
            </w:r>
          </w:p>
          <w:p w14:paraId="7A073D05" w14:textId="77777777" w:rsidR="00991201" w:rsidRDefault="00991201" w:rsidP="00991201">
            <w:pPr>
              <w:pStyle w:val="TableText"/>
              <w:rPr>
                <w:rFonts w:ascii="Calibri" w:hAnsi="Calibri"/>
                <w:sz w:val="24"/>
                <w:szCs w:val="24"/>
              </w:rPr>
            </w:pPr>
            <w:r>
              <w:rPr>
                <w:rFonts w:ascii="Calibri" w:hAnsi="Calibri"/>
                <w:sz w:val="24"/>
                <w:szCs w:val="24"/>
              </w:rPr>
              <w:t>- Hedgerow planting</w:t>
            </w:r>
          </w:p>
          <w:p w14:paraId="02BCD205" w14:textId="77777777" w:rsidR="00991201" w:rsidRDefault="00991201" w:rsidP="00991201">
            <w:pPr>
              <w:pStyle w:val="TableText"/>
              <w:rPr>
                <w:rFonts w:ascii="Calibri" w:hAnsi="Calibri"/>
                <w:sz w:val="24"/>
                <w:szCs w:val="24"/>
              </w:rPr>
            </w:pPr>
            <w:r>
              <w:rPr>
                <w:rFonts w:ascii="Calibri" w:hAnsi="Calibri"/>
                <w:sz w:val="24"/>
                <w:szCs w:val="24"/>
              </w:rPr>
              <w:t>- Bolstering of existing hedgerows</w:t>
            </w:r>
          </w:p>
          <w:p w14:paraId="20D1BE32" w14:textId="77777777" w:rsidR="00991201" w:rsidRDefault="00991201" w:rsidP="00991201">
            <w:pPr>
              <w:pStyle w:val="TableText"/>
              <w:rPr>
                <w:rFonts w:ascii="Calibri" w:hAnsi="Calibri"/>
                <w:sz w:val="24"/>
                <w:szCs w:val="24"/>
              </w:rPr>
            </w:pPr>
            <w:r>
              <w:rPr>
                <w:rFonts w:ascii="Calibri" w:hAnsi="Calibri"/>
                <w:sz w:val="24"/>
                <w:szCs w:val="24"/>
              </w:rPr>
              <w:t>- Creation of suitable sized gaps/corridors at ground level to encourage wildlife movement</w:t>
            </w:r>
          </w:p>
          <w:p w14:paraId="297A365F" w14:textId="77777777" w:rsidR="00991201" w:rsidRDefault="00991201" w:rsidP="00991201">
            <w:pPr>
              <w:pStyle w:val="TableText"/>
              <w:rPr>
                <w:rFonts w:ascii="Calibri" w:hAnsi="Calibri"/>
                <w:sz w:val="24"/>
                <w:szCs w:val="24"/>
              </w:rPr>
            </w:pPr>
          </w:p>
          <w:p w14:paraId="50849973" w14:textId="77777777" w:rsidR="00991201" w:rsidRDefault="00991201" w:rsidP="00991201">
            <w:pPr>
              <w:pStyle w:val="TableText"/>
              <w:rPr>
                <w:rFonts w:ascii="Calibri" w:hAnsi="Calibri"/>
                <w:sz w:val="24"/>
                <w:szCs w:val="24"/>
              </w:rPr>
            </w:pPr>
            <w:r>
              <w:rPr>
                <w:rFonts w:ascii="Calibri" w:hAnsi="Calibri"/>
                <w:sz w:val="24"/>
                <w:szCs w:val="24"/>
              </w:rPr>
              <w:t xml:space="preserve"> shall be submitted to and approved in writing by the Local Planning Authority.  </w:t>
            </w:r>
          </w:p>
          <w:p w14:paraId="09FFC0CC" w14:textId="77777777" w:rsidR="00991201" w:rsidRDefault="00991201" w:rsidP="00991201">
            <w:pPr>
              <w:pStyle w:val="TableText"/>
              <w:rPr>
                <w:rFonts w:ascii="Calibri" w:hAnsi="Calibri"/>
                <w:sz w:val="24"/>
                <w:szCs w:val="24"/>
              </w:rPr>
            </w:pPr>
          </w:p>
          <w:p w14:paraId="33941ACA" w14:textId="77777777" w:rsidR="00991201" w:rsidRDefault="00991201" w:rsidP="00991201">
            <w:pPr>
              <w:pStyle w:val="TableText"/>
              <w:rPr>
                <w:rFonts w:ascii="Calibri" w:hAnsi="Calibri"/>
                <w:sz w:val="24"/>
                <w:szCs w:val="24"/>
              </w:rPr>
            </w:pPr>
            <w:r>
              <w:rPr>
                <w:rFonts w:ascii="Calibri" w:hAnsi="Calibri"/>
                <w:sz w:val="24"/>
                <w:szCs w:val="24"/>
              </w:rPr>
              <w:t>The approved details shall be implemented prior to occupation of the dwelling to which they relate or, if within public areas, at the same time as those areas are delivered.  The agreed scheme shall be retained in perpetuity and the wildlife corridor shall thereafter remain free from obstructions which would preclude their use by wildlife.</w:t>
            </w:r>
          </w:p>
          <w:p w14:paraId="53D49890" w14:textId="77777777" w:rsidR="00991201" w:rsidRDefault="00991201" w:rsidP="00991201">
            <w:pPr>
              <w:pStyle w:val="TableText"/>
              <w:rPr>
                <w:rFonts w:ascii="Calibri" w:hAnsi="Calibri"/>
                <w:sz w:val="24"/>
                <w:szCs w:val="24"/>
              </w:rPr>
            </w:pPr>
          </w:p>
          <w:p w14:paraId="1DEDBCB5" w14:textId="77777777" w:rsidR="00991201" w:rsidRDefault="00991201" w:rsidP="00991201">
            <w:pPr>
              <w:pStyle w:val="TableText"/>
              <w:rPr>
                <w:rFonts w:ascii="Calibri" w:hAnsi="Calibri"/>
                <w:sz w:val="24"/>
                <w:szCs w:val="24"/>
              </w:rPr>
            </w:pPr>
            <w:r>
              <w:rPr>
                <w:rFonts w:ascii="Calibri" w:hAnsi="Calibri"/>
                <w:sz w:val="24"/>
                <w:szCs w:val="24"/>
              </w:rPr>
              <w:t>REASON: To ensure compliance with the Wildlife and Countryside Act 1981, Policy DME3 of the Ribble Valley Core Strategy and section 15 of the National Planning Policy Framework.</w:t>
            </w:r>
          </w:p>
          <w:p w14:paraId="04320660" w14:textId="77777777" w:rsidR="00991201" w:rsidRDefault="00991201" w:rsidP="00991201">
            <w:pPr>
              <w:pStyle w:val="TableText"/>
              <w:rPr>
                <w:rFonts w:ascii="Calibri" w:hAnsi="Calibri"/>
                <w:sz w:val="24"/>
                <w:szCs w:val="24"/>
              </w:rPr>
            </w:pPr>
          </w:p>
        </w:tc>
      </w:tr>
      <w:tr w:rsidR="00991201" w:rsidRPr="00DD62CA" w14:paraId="54C0C5FD" w14:textId="77777777" w:rsidTr="004336FE">
        <w:trPr>
          <w:cantSplit/>
          <w:trHeight w:val="1980"/>
        </w:trPr>
        <w:tc>
          <w:tcPr>
            <w:tcW w:w="988" w:type="dxa"/>
          </w:tcPr>
          <w:p w14:paraId="4CB0E09F" w14:textId="25CE6B65" w:rsidR="00991201" w:rsidRDefault="00991201" w:rsidP="00276D1F">
            <w:pPr>
              <w:pStyle w:val="TableText"/>
              <w:rPr>
                <w:rFonts w:ascii="Calibri" w:hAnsi="Calibri"/>
                <w:sz w:val="24"/>
                <w:szCs w:val="24"/>
              </w:rPr>
            </w:pPr>
            <w:r>
              <w:rPr>
                <w:rFonts w:ascii="Calibri" w:hAnsi="Calibri"/>
                <w:sz w:val="24"/>
                <w:szCs w:val="24"/>
              </w:rPr>
              <w:t>27.</w:t>
            </w:r>
          </w:p>
        </w:tc>
        <w:tc>
          <w:tcPr>
            <w:tcW w:w="9365" w:type="dxa"/>
            <w:gridSpan w:val="2"/>
          </w:tcPr>
          <w:p w14:paraId="679C91F1" w14:textId="77777777" w:rsidR="00991201" w:rsidRDefault="00991201" w:rsidP="00991201">
            <w:pPr>
              <w:pStyle w:val="TableText"/>
              <w:rPr>
                <w:rFonts w:ascii="Calibri" w:hAnsi="Calibri"/>
                <w:sz w:val="24"/>
                <w:szCs w:val="24"/>
              </w:rPr>
            </w:pPr>
            <w:r>
              <w:rPr>
                <w:rFonts w:ascii="Calibri" w:hAnsi="Calibri"/>
                <w:sz w:val="24"/>
                <w:szCs w:val="24"/>
              </w:rPr>
              <w:t>Notwithstanding the details submitted, details of the alignment, height, and appearance of all boundary treatments, fencing, walling, retaining wall structures and gates to be erected within the development shall have been submitted to and approved in writing by the Local Planning Authority prior to slab level being reached for any dwelling hereby approved. The approved details shall be provided prior to first occupation of the dwelling to which they relate.</w:t>
            </w:r>
          </w:p>
          <w:p w14:paraId="7C97C821" w14:textId="77777777" w:rsidR="00991201" w:rsidRDefault="00991201" w:rsidP="00991201">
            <w:pPr>
              <w:pStyle w:val="TableText"/>
              <w:rPr>
                <w:rFonts w:ascii="Calibri" w:hAnsi="Calibri"/>
                <w:sz w:val="24"/>
                <w:szCs w:val="24"/>
              </w:rPr>
            </w:pPr>
          </w:p>
          <w:p w14:paraId="65E5844F" w14:textId="77777777" w:rsidR="00991201" w:rsidRDefault="00991201" w:rsidP="00991201">
            <w:pPr>
              <w:pStyle w:val="TableText"/>
              <w:rPr>
                <w:rFonts w:ascii="Calibri" w:hAnsi="Calibri"/>
                <w:sz w:val="24"/>
                <w:szCs w:val="24"/>
              </w:rPr>
            </w:pPr>
            <w:r>
              <w:rPr>
                <w:rFonts w:ascii="Calibri" w:hAnsi="Calibri"/>
                <w:sz w:val="24"/>
                <w:szCs w:val="24"/>
              </w:rPr>
              <w:t>REASON: To ensure that the development has a satisfactory visual impact on the streetscene and a satisfactory impact on highway safety.</w:t>
            </w:r>
          </w:p>
          <w:p w14:paraId="38A60955" w14:textId="77777777" w:rsidR="00991201" w:rsidRDefault="00991201" w:rsidP="00991201">
            <w:pPr>
              <w:pStyle w:val="TableText"/>
              <w:rPr>
                <w:rFonts w:ascii="Calibri" w:hAnsi="Calibri"/>
                <w:sz w:val="24"/>
                <w:szCs w:val="24"/>
              </w:rPr>
            </w:pPr>
          </w:p>
        </w:tc>
      </w:tr>
      <w:tr w:rsidR="00991201" w:rsidRPr="00DD62CA" w14:paraId="0072370F" w14:textId="77777777" w:rsidTr="004336FE">
        <w:trPr>
          <w:cantSplit/>
          <w:trHeight w:val="1980"/>
        </w:trPr>
        <w:tc>
          <w:tcPr>
            <w:tcW w:w="988" w:type="dxa"/>
          </w:tcPr>
          <w:p w14:paraId="41BD753E" w14:textId="59A036D2" w:rsidR="00991201" w:rsidRDefault="00991201" w:rsidP="00276D1F">
            <w:pPr>
              <w:pStyle w:val="TableText"/>
              <w:rPr>
                <w:rFonts w:ascii="Calibri" w:hAnsi="Calibri"/>
                <w:sz w:val="24"/>
                <w:szCs w:val="24"/>
              </w:rPr>
            </w:pPr>
            <w:r>
              <w:rPr>
                <w:rFonts w:ascii="Calibri" w:hAnsi="Calibri"/>
                <w:sz w:val="24"/>
                <w:szCs w:val="24"/>
              </w:rPr>
              <w:t>28.</w:t>
            </w:r>
          </w:p>
        </w:tc>
        <w:tc>
          <w:tcPr>
            <w:tcW w:w="9365" w:type="dxa"/>
            <w:gridSpan w:val="2"/>
          </w:tcPr>
          <w:p w14:paraId="7263EA95" w14:textId="77777777" w:rsidR="00991201" w:rsidRDefault="00991201" w:rsidP="00991201">
            <w:pPr>
              <w:pStyle w:val="TableText"/>
              <w:rPr>
                <w:rFonts w:ascii="Calibri" w:hAnsi="Calibri"/>
                <w:sz w:val="24"/>
                <w:szCs w:val="24"/>
              </w:rPr>
            </w:pPr>
            <w:r>
              <w:rPr>
                <w:rFonts w:ascii="Calibri" w:hAnsi="Calibri"/>
                <w:sz w:val="24"/>
                <w:szCs w:val="24"/>
              </w:rPr>
              <w:t>Prior to first occupation of the new build dwellings hereby approved, the noise mitigation measures set out in the supporting Noise Assessment submitted with the application [Martec Environmental Consultants Ltd, 12.4.2022] shall be implemented. The approved noise mitigation measures shall thereafter be retained and maintained.</w:t>
            </w:r>
          </w:p>
          <w:p w14:paraId="7E2B543B" w14:textId="77777777" w:rsidR="00991201" w:rsidRDefault="00991201" w:rsidP="00991201">
            <w:pPr>
              <w:pStyle w:val="TableText"/>
              <w:rPr>
                <w:rFonts w:ascii="Calibri" w:hAnsi="Calibri"/>
                <w:sz w:val="24"/>
                <w:szCs w:val="24"/>
              </w:rPr>
            </w:pPr>
          </w:p>
          <w:p w14:paraId="5F4B503F" w14:textId="77777777" w:rsidR="00991201" w:rsidRDefault="00991201" w:rsidP="00991201">
            <w:pPr>
              <w:pStyle w:val="TableText"/>
              <w:rPr>
                <w:rFonts w:ascii="Calibri" w:hAnsi="Calibri"/>
                <w:sz w:val="24"/>
                <w:szCs w:val="24"/>
              </w:rPr>
            </w:pPr>
            <w:r>
              <w:rPr>
                <w:rFonts w:ascii="Calibri" w:hAnsi="Calibri"/>
                <w:sz w:val="24"/>
                <w:szCs w:val="24"/>
              </w:rPr>
              <w:t>REASON: To ensure there is no adverse effect on the health and quality of life of future occupants and to avoid an unacceptable impact on residential amenity by virtue of noise.</w:t>
            </w:r>
          </w:p>
          <w:p w14:paraId="1C479029" w14:textId="68669697" w:rsidR="00991201" w:rsidRDefault="00991201" w:rsidP="00991201">
            <w:pPr>
              <w:pStyle w:val="TableText"/>
              <w:jc w:val="right"/>
              <w:rPr>
                <w:rFonts w:ascii="Calibri" w:hAnsi="Calibri"/>
                <w:sz w:val="24"/>
                <w:szCs w:val="24"/>
              </w:rPr>
            </w:pPr>
            <w:r>
              <w:rPr>
                <w:rFonts w:ascii="Calibri" w:hAnsi="Calibri"/>
                <w:sz w:val="24"/>
                <w:szCs w:val="24"/>
              </w:rPr>
              <w:t>P.T.O.</w:t>
            </w:r>
          </w:p>
        </w:tc>
      </w:tr>
      <w:tr w:rsidR="00991201" w:rsidRPr="00DD62CA" w14:paraId="4F34A712" w14:textId="77777777" w:rsidTr="004336FE">
        <w:trPr>
          <w:cantSplit/>
          <w:trHeight w:val="1980"/>
        </w:trPr>
        <w:tc>
          <w:tcPr>
            <w:tcW w:w="988" w:type="dxa"/>
          </w:tcPr>
          <w:p w14:paraId="546D0BB1" w14:textId="143F39FA" w:rsidR="00991201" w:rsidRDefault="00991201" w:rsidP="00276D1F">
            <w:pPr>
              <w:pStyle w:val="TableText"/>
              <w:rPr>
                <w:rFonts w:ascii="Calibri" w:hAnsi="Calibri"/>
                <w:sz w:val="24"/>
                <w:szCs w:val="24"/>
              </w:rPr>
            </w:pPr>
            <w:r>
              <w:rPr>
                <w:rFonts w:ascii="Calibri" w:hAnsi="Calibri"/>
                <w:sz w:val="24"/>
                <w:szCs w:val="24"/>
              </w:rPr>
              <w:lastRenderedPageBreak/>
              <w:t>29.</w:t>
            </w:r>
          </w:p>
        </w:tc>
        <w:tc>
          <w:tcPr>
            <w:tcW w:w="9365" w:type="dxa"/>
            <w:gridSpan w:val="2"/>
          </w:tcPr>
          <w:p w14:paraId="61EB450B" w14:textId="77777777" w:rsidR="00991201" w:rsidRDefault="00991201" w:rsidP="00991201">
            <w:pPr>
              <w:pStyle w:val="TableText"/>
              <w:rPr>
                <w:rFonts w:ascii="Calibri" w:hAnsi="Calibri"/>
                <w:sz w:val="24"/>
                <w:szCs w:val="24"/>
              </w:rPr>
            </w:pPr>
            <w:r>
              <w:rPr>
                <w:rFonts w:ascii="Calibri" w:hAnsi="Calibri"/>
                <w:sz w:val="24"/>
                <w:szCs w:val="24"/>
              </w:rPr>
              <w:t xml:space="preserve">No works to the application buildings, including any clearance/demolition or preparation works shall take place until the applicant, or their agent or successors in title, has secured the implementation of a programme of archaeological building recording as set out in "Understanding Historic Buildings" (Historic England 2016). The recording should be to Level 3 for Crow Trees farmhouse, and Level 2 for the barn/dairy and other 19th century or earlier ancillary buildings. No record is required for the Dutch Barn. Wherever possible the recording of the farmhouse should also include observation and recording during opening-up and other investigative works to the building structure. This work must be carried out by an appropriately qualified and experienced professional contractor to the standards set out by the Chartered Institute for Archaeologists and in accordance with a written scheme of investigation, which shall first have been submitted to and agreed in writing by the Local Planning Authority. The development shall be carried out in accordance with the agreed details. </w:t>
            </w:r>
          </w:p>
          <w:p w14:paraId="19C49136" w14:textId="77777777" w:rsidR="00991201" w:rsidRDefault="00991201" w:rsidP="00991201">
            <w:pPr>
              <w:pStyle w:val="TableText"/>
              <w:rPr>
                <w:rFonts w:ascii="Calibri" w:hAnsi="Calibri"/>
                <w:sz w:val="24"/>
                <w:szCs w:val="24"/>
              </w:rPr>
            </w:pPr>
          </w:p>
          <w:p w14:paraId="250392C5" w14:textId="77777777" w:rsidR="00991201" w:rsidRDefault="00991201" w:rsidP="00991201">
            <w:pPr>
              <w:pStyle w:val="TableText"/>
              <w:rPr>
                <w:rFonts w:ascii="Calibri" w:hAnsi="Calibri"/>
                <w:sz w:val="24"/>
                <w:szCs w:val="24"/>
              </w:rPr>
            </w:pPr>
            <w:r>
              <w:rPr>
                <w:rFonts w:ascii="Calibri" w:hAnsi="Calibri"/>
                <w:sz w:val="24"/>
                <w:szCs w:val="24"/>
              </w:rPr>
              <w:t>REASON: To ensure and safeguard the recording and inspection of matters of archaeological/historical importance associated with the buildings/site.</w:t>
            </w:r>
          </w:p>
          <w:p w14:paraId="7666576B" w14:textId="77777777" w:rsidR="00991201" w:rsidRDefault="00991201" w:rsidP="00991201">
            <w:pPr>
              <w:pStyle w:val="TableText"/>
              <w:rPr>
                <w:rFonts w:ascii="Calibri" w:hAnsi="Calibri"/>
                <w:sz w:val="24"/>
                <w:szCs w:val="24"/>
              </w:rPr>
            </w:pPr>
          </w:p>
        </w:tc>
      </w:tr>
      <w:tr w:rsidR="00991201" w:rsidRPr="00DD62CA" w14:paraId="1448CDFF" w14:textId="77777777" w:rsidTr="004336FE">
        <w:trPr>
          <w:cantSplit/>
          <w:trHeight w:val="1980"/>
        </w:trPr>
        <w:tc>
          <w:tcPr>
            <w:tcW w:w="988" w:type="dxa"/>
          </w:tcPr>
          <w:p w14:paraId="76F8DC40" w14:textId="2F616BC0" w:rsidR="00991201" w:rsidRDefault="00991201" w:rsidP="00276D1F">
            <w:pPr>
              <w:pStyle w:val="TableText"/>
              <w:rPr>
                <w:rFonts w:ascii="Calibri" w:hAnsi="Calibri"/>
                <w:sz w:val="24"/>
                <w:szCs w:val="24"/>
              </w:rPr>
            </w:pPr>
            <w:r>
              <w:rPr>
                <w:rFonts w:ascii="Calibri" w:hAnsi="Calibri"/>
                <w:sz w:val="24"/>
                <w:szCs w:val="24"/>
              </w:rPr>
              <w:t>30.</w:t>
            </w:r>
          </w:p>
        </w:tc>
        <w:tc>
          <w:tcPr>
            <w:tcW w:w="9365" w:type="dxa"/>
            <w:gridSpan w:val="2"/>
          </w:tcPr>
          <w:p w14:paraId="0ADB7228" w14:textId="77777777" w:rsidR="00991201" w:rsidRDefault="00991201" w:rsidP="00991201">
            <w:pPr>
              <w:pStyle w:val="TableText"/>
              <w:rPr>
                <w:rFonts w:ascii="Calibri" w:hAnsi="Calibri"/>
                <w:sz w:val="24"/>
                <w:szCs w:val="24"/>
              </w:rPr>
            </w:pPr>
            <w:r>
              <w:rPr>
                <w:rFonts w:ascii="Calibri" w:hAnsi="Calibri"/>
                <w:sz w:val="24"/>
                <w:szCs w:val="24"/>
              </w:rPr>
              <w:t xml:space="preserve">No new development, site clearance/preparation, or demolition shall commence until the applicant or their agent or successors in title has secured the implementation of a programme of archaeological work in accordance with a written scheme of investigation, which shall be submitted to, and approved in writing by, the local planning authority. The programme of works shall include an initial phase of field investigation to include trial trenching, as well as the compilation of a report on the work undertaken and the results obtained. These works should aim to establish the presence or absence of buried archaeological remains and their nature, date, extent and significance. If remains are encountered then a subsequent phase of impact mitigation (which may include preservation in situ by the appropriate design or siting of new roads, structures and buildings, formal excavation of remains or other actions) and a phase of appropriate analysis, reporting and publication shall be developed, and a further written scheme of investigation submitted to and agreed with the local planning authority before development commences. Copies of all reports should be deposited directly with the Lancashire Historic Environment Record. All archaeological works shall be undertaken by an appropriately qualified and experienced professional archaeological contractor and comply with the standards and guidance set out by the Chartered Institute for Archaeologists (CIfA). The development shall be carried out in accordance with the agreed details. </w:t>
            </w:r>
          </w:p>
          <w:p w14:paraId="1FB71EB5" w14:textId="77777777" w:rsidR="00991201" w:rsidRDefault="00991201" w:rsidP="00991201">
            <w:pPr>
              <w:pStyle w:val="TableText"/>
              <w:rPr>
                <w:rFonts w:ascii="Calibri" w:hAnsi="Calibri"/>
                <w:sz w:val="24"/>
                <w:szCs w:val="24"/>
              </w:rPr>
            </w:pPr>
          </w:p>
          <w:p w14:paraId="4F21C5BE" w14:textId="77777777" w:rsidR="00991201" w:rsidRDefault="00991201" w:rsidP="00991201">
            <w:pPr>
              <w:pStyle w:val="TableText"/>
              <w:rPr>
                <w:rFonts w:ascii="Calibri" w:hAnsi="Calibri"/>
                <w:sz w:val="24"/>
                <w:szCs w:val="24"/>
              </w:rPr>
            </w:pPr>
            <w:r>
              <w:rPr>
                <w:rFonts w:ascii="Calibri" w:hAnsi="Calibri"/>
                <w:sz w:val="24"/>
                <w:szCs w:val="24"/>
              </w:rPr>
              <w:t>REASON: To ensure and safeguard the investigation and recording of matters of archaeological/historical importance associated with the development.</w:t>
            </w:r>
          </w:p>
          <w:p w14:paraId="261ECEF1" w14:textId="77777777" w:rsidR="00991201" w:rsidRDefault="00991201" w:rsidP="00991201">
            <w:pPr>
              <w:pStyle w:val="TableText"/>
              <w:rPr>
                <w:rFonts w:ascii="Calibri" w:hAnsi="Calibri"/>
                <w:sz w:val="24"/>
                <w:szCs w:val="24"/>
              </w:rPr>
            </w:pPr>
          </w:p>
          <w:p w14:paraId="1DC1536B" w14:textId="77777777" w:rsidR="00991201" w:rsidRDefault="00991201" w:rsidP="00991201">
            <w:pPr>
              <w:pStyle w:val="TableText"/>
              <w:rPr>
                <w:rFonts w:ascii="Calibri" w:hAnsi="Calibri"/>
                <w:sz w:val="24"/>
                <w:szCs w:val="24"/>
              </w:rPr>
            </w:pPr>
          </w:p>
          <w:p w14:paraId="442681A7" w14:textId="47D1BFB1" w:rsidR="00991201" w:rsidRDefault="00991201" w:rsidP="00991201">
            <w:pPr>
              <w:pStyle w:val="TableText"/>
              <w:jc w:val="right"/>
              <w:rPr>
                <w:rFonts w:ascii="Calibri" w:hAnsi="Calibri"/>
                <w:sz w:val="24"/>
                <w:szCs w:val="24"/>
              </w:rPr>
            </w:pPr>
            <w:r>
              <w:rPr>
                <w:rFonts w:ascii="Calibri" w:hAnsi="Calibri"/>
                <w:sz w:val="24"/>
                <w:szCs w:val="24"/>
              </w:rPr>
              <w:t>P.T.O.</w:t>
            </w:r>
          </w:p>
        </w:tc>
      </w:tr>
      <w:tr w:rsidR="00991201" w:rsidRPr="00DD62CA" w14:paraId="7F6B69FF" w14:textId="77777777" w:rsidTr="004336FE">
        <w:trPr>
          <w:cantSplit/>
          <w:trHeight w:val="1980"/>
        </w:trPr>
        <w:tc>
          <w:tcPr>
            <w:tcW w:w="988" w:type="dxa"/>
          </w:tcPr>
          <w:p w14:paraId="50F5439D" w14:textId="03F03C88" w:rsidR="00991201" w:rsidRDefault="00991201" w:rsidP="00276D1F">
            <w:pPr>
              <w:pStyle w:val="TableText"/>
              <w:rPr>
                <w:rFonts w:ascii="Calibri" w:hAnsi="Calibri"/>
                <w:sz w:val="24"/>
                <w:szCs w:val="24"/>
              </w:rPr>
            </w:pPr>
            <w:r>
              <w:rPr>
                <w:rFonts w:ascii="Calibri" w:hAnsi="Calibri"/>
                <w:sz w:val="24"/>
                <w:szCs w:val="24"/>
              </w:rPr>
              <w:lastRenderedPageBreak/>
              <w:t>31.</w:t>
            </w:r>
          </w:p>
        </w:tc>
        <w:tc>
          <w:tcPr>
            <w:tcW w:w="9365" w:type="dxa"/>
            <w:gridSpan w:val="2"/>
          </w:tcPr>
          <w:p w14:paraId="59DE622D" w14:textId="77777777" w:rsidR="00991201" w:rsidRDefault="00991201" w:rsidP="00991201">
            <w:pPr>
              <w:pStyle w:val="TableText"/>
              <w:rPr>
                <w:rFonts w:ascii="Calibri" w:hAnsi="Calibri"/>
                <w:sz w:val="24"/>
                <w:szCs w:val="24"/>
              </w:rPr>
            </w:pPr>
            <w:r>
              <w:rPr>
                <w:rFonts w:ascii="Calibri" w:hAnsi="Calibri"/>
                <w:sz w:val="24"/>
                <w:szCs w:val="24"/>
              </w:rPr>
              <w:t>Prior to the first occupation of plot 1 of the new build element, the first floor window(s) in the north elevation(s) of plot 1 shall be:</w:t>
            </w:r>
          </w:p>
          <w:p w14:paraId="43694897" w14:textId="77777777" w:rsidR="00991201" w:rsidRDefault="00991201" w:rsidP="00991201">
            <w:pPr>
              <w:pStyle w:val="TableText"/>
              <w:rPr>
                <w:rFonts w:ascii="Calibri" w:hAnsi="Calibri"/>
                <w:sz w:val="24"/>
                <w:szCs w:val="24"/>
              </w:rPr>
            </w:pPr>
            <w:r>
              <w:rPr>
                <w:rFonts w:ascii="Calibri" w:hAnsi="Calibri"/>
                <w:sz w:val="24"/>
                <w:szCs w:val="24"/>
              </w:rPr>
              <w:t xml:space="preserve">i)  obscure glazed at a scale of 5 (where 1 is hardly obscured and 5 is totally obscured), and </w:t>
            </w:r>
          </w:p>
          <w:p w14:paraId="3912A671" w14:textId="77777777" w:rsidR="00991201" w:rsidRDefault="00991201" w:rsidP="00991201">
            <w:pPr>
              <w:pStyle w:val="TableText"/>
              <w:rPr>
                <w:rFonts w:ascii="Calibri" w:hAnsi="Calibri"/>
                <w:sz w:val="24"/>
                <w:szCs w:val="24"/>
              </w:rPr>
            </w:pPr>
            <w:r>
              <w:rPr>
                <w:rFonts w:ascii="Calibri" w:hAnsi="Calibri"/>
                <w:sz w:val="24"/>
                <w:szCs w:val="24"/>
              </w:rPr>
              <w:t>ii)  non-opening unless the parts of the window which can be opened are more than 1.7 metres above the floor of the room in which the window is installed.</w:t>
            </w:r>
          </w:p>
          <w:p w14:paraId="1B8811DF" w14:textId="77777777" w:rsidR="00991201" w:rsidRDefault="00991201" w:rsidP="00991201">
            <w:pPr>
              <w:pStyle w:val="TableText"/>
              <w:rPr>
                <w:rFonts w:ascii="Calibri" w:hAnsi="Calibri"/>
                <w:sz w:val="24"/>
                <w:szCs w:val="24"/>
              </w:rPr>
            </w:pPr>
          </w:p>
          <w:p w14:paraId="4E22632A" w14:textId="77777777" w:rsidR="00991201" w:rsidRDefault="00991201" w:rsidP="00991201">
            <w:pPr>
              <w:pStyle w:val="TableText"/>
              <w:rPr>
                <w:rFonts w:ascii="Calibri" w:hAnsi="Calibri"/>
                <w:sz w:val="24"/>
                <w:szCs w:val="24"/>
              </w:rPr>
            </w:pPr>
            <w:r>
              <w:rPr>
                <w:rFonts w:ascii="Calibri" w:hAnsi="Calibri"/>
                <w:sz w:val="24"/>
                <w:szCs w:val="24"/>
              </w:rPr>
              <w:t xml:space="preserve">The window(s) (including any subsequent repaired or replacement window) shall be maintained and retained thereafter in accordance with this detail. </w:t>
            </w:r>
          </w:p>
          <w:p w14:paraId="18432338" w14:textId="77777777" w:rsidR="00991201" w:rsidRDefault="00991201" w:rsidP="00991201">
            <w:pPr>
              <w:pStyle w:val="TableText"/>
              <w:rPr>
                <w:rFonts w:ascii="Calibri" w:hAnsi="Calibri"/>
                <w:sz w:val="24"/>
                <w:szCs w:val="24"/>
              </w:rPr>
            </w:pPr>
          </w:p>
          <w:p w14:paraId="62AAD077" w14:textId="77777777" w:rsidR="00991201" w:rsidRDefault="00991201" w:rsidP="00991201">
            <w:pPr>
              <w:pStyle w:val="TableText"/>
              <w:rPr>
                <w:rFonts w:ascii="Calibri" w:hAnsi="Calibri"/>
                <w:sz w:val="24"/>
                <w:szCs w:val="24"/>
              </w:rPr>
            </w:pPr>
            <w:r>
              <w:rPr>
                <w:rFonts w:ascii="Calibri" w:hAnsi="Calibri"/>
                <w:sz w:val="24"/>
                <w:szCs w:val="24"/>
              </w:rPr>
              <w:t>REASON: To safeguard the privacy of adjoining residents.</w:t>
            </w:r>
          </w:p>
          <w:p w14:paraId="6C2FC37C" w14:textId="77777777" w:rsidR="00991201" w:rsidRDefault="00991201" w:rsidP="00991201">
            <w:pPr>
              <w:pStyle w:val="TableText"/>
              <w:rPr>
                <w:rFonts w:ascii="Calibri" w:hAnsi="Calibri"/>
                <w:sz w:val="24"/>
                <w:szCs w:val="24"/>
              </w:rPr>
            </w:pPr>
          </w:p>
        </w:tc>
      </w:tr>
      <w:tr w:rsidR="00991201" w:rsidRPr="00DD62CA" w14:paraId="4A39550F" w14:textId="77777777" w:rsidTr="004336FE">
        <w:trPr>
          <w:cantSplit/>
          <w:trHeight w:val="1980"/>
        </w:trPr>
        <w:tc>
          <w:tcPr>
            <w:tcW w:w="988" w:type="dxa"/>
          </w:tcPr>
          <w:p w14:paraId="2C572D8F" w14:textId="2929893E" w:rsidR="00991201" w:rsidRDefault="007C2925" w:rsidP="00276D1F">
            <w:pPr>
              <w:pStyle w:val="TableText"/>
              <w:rPr>
                <w:rFonts w:ascii="Calibri" w:hAnsi="Calibri"/>
                <w:sz w:val="24"/>
                <w:szCs w:val="24"/>
              </w:rPr>
            </w:pPr>
            <w:r>
              <w:rPr>
                <w:rFonts w:ascii="Calibri" w:hAnsi="Calibri"/>
                <w:sz w:val="24"/>
                <w:szCs w:val="24"/>
              </w:rPr>
              <w:t>32.</w:t>
            </w:r>
          </w:p>
        </w:tc>
        <w:tc>
          <w:tcPr>
            <w:tcW w:w="9365" w:type="dxa"/>
            <w:gridSpan w:val="2"/>
          </w:tcPr>
          <w:p w14:paraId="31D4EF36" w14:textId="77777777" w:rsidR="007C2925" w:rsidRDefault="007C2925" w:rsidP="007C2925">
            <w:pPr>
              <w:pStyle w:val="TableText"/>
              <w:rPr>
                <w:rFonts w:ascii="Calibri" w:hAnsi="Calibri"/>
                <w:sz w:val="24"/>
                <w:szCs w:val="24"/>
              </w:rPr>
            </w:pPr>
            <w:r>
              <w:rPr>
                <w:rFonts w:ascii="Calibri" w:hAnsi="Calibri"/>
                <w:sz w:val="24"/>
                <w:szCs w:val="24"/>
              </w:rPr>
              <w:t>No tree felling, tree works or works to hedgerows shall take place during the optimum period for bird nesting (March to August inclusive) unless a report, undertaken by a suitably qualified person immediately prior to any clearance, has been submitted to and approved in writing by the Local Planning Authority, demonstrating that nesting / breeding birds have been shown to be absent.</w:t>
            </w:r>
          </w:p>
          <w:p w14:paraId="50E9BC4A" w14:textId="77777777" w:rsidR="007C2925" w:rsidRDefault="007C2925" w:rsidP="007C2925">
            <w:pPr>
              <w:pStyle w:val="TableText"/>
              <w:rPr>
                <w:rFonts w:ascii="Calibri" w:hAnsi="Calibri"/>
                <w:sz w:val="24"/>
                <w:szCs w:val="24"/>
              </w:rPr>
            </w:pPr>
          </w:p>
          <w:p w14:paraId="31E93C46" w14:textId="77777777" w:rsidR="007C2925" w:rsidRDefault="007C2925" w:rsidP="007C2925">
            <w:pPr>
              <w:pStyle w:val="TableText"/>
              <w:rPr>
                <w:rFonts w:ascii="Calibri" w:hAnsi="Calibri"/>
                <w:sz w:val="24"/>
                <w:szCs w:val="24"/>
              </w:rPr>
            </w:pPr>
            <w:r>
              <w:rPr>
                <w:rFonts w:ascii="Calibri" w:hAnsi="Calibri"/>
                <w:sz w:val="24"/>
                <w:szCs w:val="24"/>
              </w:rPr>
              <w:t>REASON: To protect and prevent unnecessary disturbance of nesting birds in accordance with the provisions of the Wildlife and Countryside Act 1981 and section 15 of the National Planning Policy Framework.</w:t>
            </w:r>
          </w:p>
          <w:p w14:paraId="277B8F68" w14:textId="77777777" w:rsidR="00991201" w:rsidRDefault="00991201" w:rsidP="00991201">
            <w:pPr>
              <w:pStyle w:val="TableText"/>
              <w:rPr>
                <w:rFonts w:ascii="Calibri" w:hAnsi="Calibri"/>
                <w:sz w:val="24"/>
                <w:szCs w:val="24"/>
              </w:rPr>
            </w:pPr>
          </w:p>
        </w:tc>
      </w:tr>
      <w:tr w:rsidR="007C2925" w:rsidRPr="00DD62CA" w14:paraId="673976D5" w14:textId="77777777" w:rsidTr="004336FE">
        <w:trPr>
          <w:cantSplit/>
          <w:trHeight w:val="1980"/>
        </w:trPr>
        <w:tc>
          <w:tcPr>
            <w:tcW w:w="988" w:type="dxa"/>
          </w:tcPr>
          <w:p w14:paraId="2BDD1200" w14:textId="0E19A9FD" w:rsidR="007C2925" w:rsidRDefault="007C2925" w:rsidP="00276D1F">
            <w:pPr>
              <w:pStyle w:val="TableText"/>
              <w:rPr>
                <w:rFonts w:ascii="Calibri" w:hAnsi="Calibri"/>
                <w:sz w:val="24"/>
                <w:szCs w:val="24"/>
              </w:rPr>
            </w:pPr>
            <w:r>
              <w:rPr>
                <w:rFonts w:ascii="Calibri" w:hAnsi="Calibri"/>
                <w:sz w:val="24"/>
                <w:szCs w:val="24"/>
              </w:rPr>
              <w:t>33.</w:t>
            </w:r>
          </w:p>
        </w:tc>
        <w:tc>
          <w:tcPr>
            <w:tcW w:w="9365" w:type="dxa"/>
            <w:gridSpan w:val="2"/>
          </w:tcPr>
          <w:p w14:paraId="399EBF26" w14:textId="77777777" w:rsidR="007C2925" w:rsidRDefault="007C2925" w:rsidP="007C2925">
            <w:pPr>
              <w:pStyle w:val="TableText"/>
              <w:rPr>
                <w:rFonts w:ascii="Calibri" w:hAnsi="Calibri"/>
                <w:sz w:val="24"/>
                <w:szCs w:val="24"/>
              </w:rPr>
            </w:pPr>
            <w:r>
              <w:rPr>
                <w:rFonts w:ascii="Calibri" w:hAnsi="Calibri"/>
                <w:sz w:val="24"/>
                <w:szCs w:val="24"/>
              </w:rPr>
              <w:t>No works to alter and extend the existing (Listed) curtilage building to the Farmhouse shall commence until the approved renovation works to the external elevations of the Farmhouse have been implemented in full.</w:t>
            </w:r>
          </w:p>
          <w:p w14:paraId="1A17DDF0" w14:textId="77777777" w:rsidR="007C2925" w:rsidRDefault="007C2925" w:rsidP="007C2925">
            <w:pPr>
              <w:pStyle w:val="TableText"/>
              <w:rPr>
                <w:rFonts w:ascii="Calibri" w:hAnsi="Calibri"/>
                <w:sz w:val="24"/>
                <w:szCs w:val="24"/>
              </w:rPr>
            </w:pPr>
          </w:p>
          <w:p w14:paraId="20A9FE75" w14:textId="77777777" w:rsidR="007C2925" w:rsidRDefault="007C2925" w:rsidP="007C2925">
            <w:pPr>
              <w:pStyle w:val="TableText"/>
              <w:rPr>
                <w:rFonts w:ascii="Calibri" w:hAnsi="Calibri"/>
                <w:sz w:val="24"/>
                <w:szCs w:val="24"/>
              </w:rPr>
            </w:pPr>
            <w:r>
              <w:rPr>
                <w:rFonts w:ascii="Calibri" w:hAnsi="Calibri"/>
                <w:sz w:val="24"/>
                <w:szCs w:val="24"/>
              </w:rPr>
              <w:tab/>
              <w:t xml:space="preserve">REASON: To ensure that the public benefits identified to justify the assessed level of harm are delivered. </w:t>
            </w:r>
          </w:p>
          <w:p w14:paraId="5B084485" w14:textId="77777777" w:rsidR="007C2925" w:rsidRDefault="007C2925" w:rsidP="007C2925">
            <w:pPr>
              <w:pStyle w:val="TableText"/>
              <w:rPr>
                <w:rFonts w:ascii="Calibri" w:hAnsi="Calibri"/>
                <w:sz w:val="24"/>
                <w:szCs w:val="24"/>
              </w:rPr>
            </w:pPr>
          </w:p>
        </w:tc>
      </w:tr>
      <w:tr w:rsidR="007C2925" w:rsidRPr="00DD62CA" w14:paraId="6AB503EA" w14:textId="77777777" w:rsidTr="004336FE">
        <w:trPr>
          <w:cantSplit/>
          <w:trHeight w:val="1980"/>
        </w:trPr>
        <w:tc>
          <w:tcPr>
            <w:tcW w:w="988" w:type="dxa"/>
          </w:tcPr>
          <w:p w14:paraId="67E6EB1E" w14:textId="5EDFB539" w:rsidR="007C2925" w:rsidRDefault="007C2925" w:rsidP="00276D1F">
            <w:pPr>
              <w:pStyle w:val="TableText"/>
              <w:rPr>
                <w:rFonts w:ascii="Calibri" w:hAnsi="Calibri"/>
                <w:sz w:val="24"/>
                <w:szCs w:val="24"/>
              </w:rPr>
            </w:pPr>
            <w:r>
              <w:rPr>
                <w:rFonts w:ascii="Calibri" w:hAnsi="Calibri"/>
                <w:sz w:val="24"/>
                <w:szCs w:val="24"/>
              </w:rPr>
              <w:t>34.</w:t>
            </w:r>
          </w:p>
        </w:tc>
        <w:tc>
          <w:tcPr>
            <w:tcW w:w="9365" w:type="dxa"/>
            <w:gridSpan w:val="2"/>
          </w:tcPr>
          <w:p w14:paraId="08514685" w14:textId="77777777" w:rsidR="007C2925" w:rsidRDefault="007C2925" w:rsidP="007C2925">
            <w:pPr>
              <w:pStyle w:val="TableText"/>
              <w:rPr>
                <w:rFonts w:ascii="Calibri" w:hAnsi="Calibri"/>
                <w:sz w:val="24"/>
                <w:szCs w:val="24"/>
              </w:rPr>
            </w:pPr>
            <w:r>
              <w:rPr>
                <w:rFonts w:ascii="Calibri" w:hAnsi="Calibri"/>
                <w:sz w:val="24"/>
                <w:szCs w:val="24"/>
              </w:rPr>
              <w:t>Prior to the commencement of the development hereby approved in respect of the Listed Farmhouse, details of the extent of new render to be applied to the elevations shall be submitted along with a specification for the render to be used (including mix ratio and finishing) together with a methodology for its application shall have been submitted to and approved in writing by the Local Planning Authority. Dependent on the extent of new render required and approved, there may also be a requirement to provide a sample panel on site to be inspected and approved in writing by the Local Planning Authority.</w:t>
            </w:r>
          </w:p>
          <w:p w14:paraId="310B139D" w14:textId="77777777" w:rsidR="007C2925" w:rsidRDefault="007C2925" w:rsidP="007C2925">
            <w:pPr>
              <w:pStyle w:val="TableText"/>
              <w:rPr>
                <w:rFonts w:ascii="Calibri" w:hAnsi="Calibri"/>
                <w:sz w:val="24"/>
                <w:szCs w:val="24"/>
              </w:rPr>
            </w:pPr>
          </w:p>
          <w:p w14:paraId="10FC49D3" w14:textId="77777777" w:rsidR="007C2925" w:rsidRDefault="007C2925" w:rsidP="007C2925">
            <w:pPr>
              <w:pStyle w:val="TableText"/>
              <w:rPr>
                <w:rFonts w:ascii="Calibri" w:hAnsi="Calibri"/>
                <w:sz w:val="24"/>
                <w:szCs w:val="24"/>
              </w:rPr>
            </w:pPr>
            <w:r>
              <w:rPr>
                <w:rFonts w:ascii="Calibri" w:hAnsi="Calibri"/>
                <w:sz w:val="24"/>
                <w:szCs w:val="24"/>
              </w:rPr>
              <w:t>The development shall be carried out in accordance with the approved details.</w:t>
            </w:r>
          </w:p>
          <w:p w14:paraId="39A8EAAF" w14:textId="77777777" w:rsidR="007C2925" w:rsidRDefault="007C2925" w:rsidP="007C2925">
            <w:pPr>
              <w:pStyle w:val="TableText"/>
              <w:rPr>
                <w:rFonts w:ascii="Calibri" w:hAnsi="Calibri"/>
                <w:sz w:val="24"/>
                <w:szCs w:val="24"/>
              </w:rPr>
            </w:pPr>
          </w:p>
          <w:p w14:paraId="20401CE9" w14:textId="77777777" w:rsidR="007C2925" w:rsidRDefault="007C2925" w:rsidP="007C2925">
            <w:pPr>
              <w:pStyle w:val="TableText"/>
              <w:rPr>
                <w:rFonts w:ascii="Calibri" w:hAnsi="Calibri"/>
                <w:sz w:val="24"/>
                <w:szCs w:val="24"/>
              </w:rPr>
            </w:pPr>
            <w:r>
              <w:rPr>
                <w:rFonts w:ascii="Calibri" w:hAnsi="Calibri"/>
                <w:sz w:val="24"/>
                <w:szCs w:val="24"/>
              </w:rPr>
              <w:t xml:space="preserve">After completion, only the approved details shall be subsequently used as a repair or replacement. </w:t>
            </w:r>
          </w:p>
          <w:p w14:paraId="56A1C83F" w14:textId="77777777" w:rsidR="007C2925" w:rsidRDefault="007C2925" w:rsidP="007C2925">
            <w:pPr>
              <w:pStyle w:val="TableText"/>
              <w:rPr>
                <w:rFonts w:ascii="Calibri" w:hAnsi="Calibri"/>
                <w:sz w:val="24"/>
                <w:szCs w:val="24"/>
              </w:rPr>
            </w:pPr>
          </w:p>
          <w:p w14:paraId="178BFC2B" w14:textId="77777777" w:rsidR="007C2925" w:rsidRDefault="007C2925" w:rsidP="007C2925">
            <w:pPr>
              <w:pStyle w:val="TableText"/>
              <w:rPr>
                <w:rFonts w:ascii="Calibri" w:hAnsi="Calibri"/>
                <w:sz w:val="24"/>
                <w:szCs w:val="24"/>
              </w:rPr>
            </w:pPr>
            <w:r>
              <w:rPr>
                <w:rFonts w:ascii="Calibri" w:hAnsi="Calibri"/>
                <w:sz w:val="24"/>
                <w:szCs w:val="24"/>
              </w:rPr>
              <w:t>REASON: To preserve or enhance the architectural and historic character of the Listed Building.</w:t>
            </w:r>
          </w:p>
          <w:p w14:paraId="20D6C7A0" w14:textId="65B48E11" w:rsidR="007C2925" w:rsidRDefault="007C2925" w:rsidP="007C2925">
            <w:pPr>
              <w:pStyle w:val="TableText"/>
              <w:jc w:val="right"/>
              <w:rPr>
                <w:rFonts w:ascii="Calibri" w:hAnsi="Calibri"/>
                <w:sz w:val="24"/>
                <w:szCs w:val="24"/>
              </w:rPr>
            </w:pPr>
            <w:r>
              <w:rPr>
                <w:rFonts w:ascii="Calibri" w:hAnsi="Calibri"/>
                <w:sz w:val="24"/>
                <w:szCs w:val="24"/>
              </w:rPr>
              <w:t>P.T.O.</w:t>
            </w:r>
          </w:p>
        </w:tc>
      </w:tr>
      <w:tr w:rsidR="00EE3330" w:rsidRPr="00DD62CA" w14:paraId="645D0811" w14:textId="77777777" w:rsidTr="004336FE">
        <w:trPr>
          <w:cantSplit/>
          <w:trHeight w:val="527"/>
        </w:trPr>
        <w:tc>
          <w:tcPr>
            <w:tcW w:w="988" w:type="dxa"/>
          </w:tcPr>
          <w:p w14:paraId="08F03ADB" w14:textId="77777777" w:rsidR="00EE3330" w:rsidRPr="00DD62CA" w:rsidRDefault="00EE3330" w:rsidP="00991201">
            <w:pPr>
              <w:pStyle w:val="TableText"/>
              <w:ind w:left="720"/>
              <w:jc w:val="left"/>
              <w:rPr>
                <w:rFonts w:ascii="Calibri" w:hAnsi="Calibri"/>
                <w:sz w:val="24"/>
                <w:szCs w:val="24"/>
              </w:rPr>
            </w:pPr>
          </w:p>
        </w:tc>
        <w:tc>
          <w:tcPr>
            <w:tcW w:w="9365" w:type="dxa"/>
            <w:gridSpan w:val="2"/>
          </w:tcPr>
          <w:p w14:paraId="030EA859" w14:textId="7CCF5009" w:rsidR="00EE3330" w:rsidRDefault="00EE3330" w:rsidP="00991201">
            <w:pPr>
              <w:pStyle w:val="TableText"/>
              <w:rPr>
                <w:rFonts w:ascii="Calibri" w:hAnsi="Calibri"/>
                <w:sz w:val="24"/>
                <w:szCs w:val="24"/>
              </w:rPr>
            </w:pPr>
          </w:p>
        </w:tc>
      </w:tr>
      <w:tr w:rsidR="00EE3330" w:rsidRPr="00DD62CA" w14:paraId="7AE1AA0D" w14:textId="77777777" w:rsidTr="003243B5">
        <w:trPr>
          <w:cantSplit/>
          <w:trHeight w:val="527"/>
        </w:trPr>
        <w:tc>
          <w:tcPr>
            <w:tcW w:w="988" w:type="dxa"/>
          </w:tcPr>
          <w:p w14:paraId="3A370A95" w14:textId="77777777" w:rsidR="00EE3330" w:rsidRPr="00DD62CA" w:rsidRDefault="00EE3330" w:rsidP="00991201">
            <w:pPr>
              <w:pStyle w:val="TableText"/>
              <w:rPr>
                <w:rFonts w:ascii="Calibri" w:hAnsi="Calibri"/>
                <w:sz w:val="24"/>
                <w:szCs w:val="24"/>
              </w:rPr>
            </w:pPr>
          </w:p>
        </w:tc>
        <w:tc>
          <w:tcPr>
            <w:tcW w:w="9365" w:type="dxa"/>
            <w:gridSpan w:val="2"/>
          </w:tcPr>
          <w:p w14:paraId="6C9DC028" w14:textId="0EC9EF7D" w:rsidR="00EE3330" w:rsidRDefault="00EE3330" w:rsidP="00991201">
            <w:pPr>
              <w:pStyle w:val="TableText"/>
              <w:rPr>
                <w:rFonts w:ascii="Calibri" w:hAnsi="Calibri"/>
                <w:sz w:val="24"/>
                <w:szCs w:val="24"/>
              </w:rPr>
            </w:pPr>
          </w:p>
        </w:tc>
      </w:tr>
    </w:tbl>
    <w:p w14:paraId="50BA2C41" w14:textId="77777777" w:rsidR="002F3ADA" w:rsidRPr="00DD62CA" w:rsidRDefault="002F3ADA">
      <w:pPr>
        <w:pStyle w:val="TableText"/>
        <w:rPr>
          <w:rFonts w:ascii="Calibri" w:hAnsi="Calibri"/>
          <w:sz w:val="24"/>
          <w:szCs w:val="24"/>
        </w:rPr>
      </w:pPr>
    </w:p>
    <w:p w14:paraId="1140A1EB"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79061D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1"/>
        <w:gridCol w:w="9389"/>
      </w:tblGrid>
      <w:tr w:rsidR="002F3ADA" w:rsidRPr="00DD62CA" w14:paraId="39287A6F" w14:textId="77777777" w:rsidTr="003243B5">
        <w:tc>
          <w:tcPr>
            <w:tcW w:w="993" w:type="dxa"/>
          </w:tcPr>
          <w:p w14:paraId="7906CBD9" w14:textId="77777777" w:rsidR="002F3ADA" w:rsidRPr="00DD62CA" w:rsidRDefault="002F3ADA">
            <w:pPr>
              <w:pStyle w:val="TableText"/>
              <w:numPr>
                <w:ilvl w:val="0"/>
                <w:numId w:val="1"/>
              </w:numPr>
              <w:rPr>
                <w:rFonts w:ascii="Calibri" w:hAnsi="Calibri"/>
                <w:sz w:val="24"/>
                <w:szCs w:val="24"/>
              </w:rPr>
            </w:pPr>
          </w:p>
        </w:tc>
        <w:tc>
          <w:tcPr>
            <w:tcW w:w="9583" w:type="dxa"/>
          </w:tcPr>
          <w:p w14:paraId="14C7342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71C6F06" w14:textId="77777777" w:rsidTr="003243B5">
        <w:tc>
          <w:tcPr>
            <w:tcW w:w="993" w:type="dxa"/>
          </w:tcPr>
          <w:p w14:paraId="60EDCBFD" w14:textId="77777777" w:rsidR="002F3ADA" w:rsidRPr="00DD62CA" w:rsidRDefault="002F3ADA">
            <w:pPr>
              <w:pStyle w:val="TableText"/>
              <w:numPr>
                <w:ilvl w:val="0"/>
                <w:numId w:val="1"/>
              </w:numPr>
              <w:rPr>
                <w:rFonts w:ascii="Calibri" w:hAnsi="Calibri"/>
                <w:sz w:val="24"/>
                <w:szCs w:val="24"/>
              </w:rPr>
            </w:pPr>
          </w:p>
        </w:tc>
        <w:tc>
          <w:tcPr>
            <w:tcW w:w="9583" w:type="dxa"/>
          </w:tcPr>
          <w:p w14:paraId="1DB796A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D5915AC" w14:textId="77777777" w:rsidTr="003243B5">
        <w:tc>
          <w:tcPr>
            <w:tcW w:w="993" w:type="dxa"/>
          </w:tcPr>
          <w:p w14:paraId="08DBFC8B"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7A741F48" w14:textId="77777777" w:rsidR="00091BF1" w:rsidRDefault="00091BF1" w:rsidP="00091BF1">
            <w:pPr>
              <w:pStyle w:val="TableText"/>
              <w:jc w:val="center"/>
              <w:rPr>
                <w:rFonts w:ascii="Calibri" w:hAnsi="Calibri"/>
                <w:sz w:val="24"/>
                <w:szCs w:val="24"/>
              </w:rPr>
            </w:pPr>
          </w:p>
          <w:p w14:paraId="53E1159A" w14:textId="77777777" w:rsidR="00091BF1" w:rsidRDefault="00091BF1" w:rsidP="00091BF1">
            <w:pPr>
              <w:pStyle w:val="TableText"/>
              <w:jc w:val="center"/>
              <w:rPr>
                <w:rFonts w:ascii="Calibri" w:hAnsi="Calibri"/>
                <w:sz w:val="24"/>
                <w:szCs w:val="24"/>
              </w:rPr>
            </w:pPr>
          </w:p>
          <w:p w14:paraId="7D0685F0"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7E4D55F3"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77E73E97"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45EC519D" w14:textId="77777777" w:rsidTr="003243B5">
        <w:tc>
          <w:tcPr>
            <w:tcW w:w="993" w:type="dxa"/>
          </w:tcPr>
          <w:p w14:paraId="4E4666FE" w14:textId="77777777" w:rsidR="00B91966" w:rsidRDefault="00091BF1" w:rsidP="00091BF1">
            <w:pPr>
              <w:pStyle w:val="TableText"/>
              <w:jc w:val="center"/>
              <w:rPr>
                <w:rFonts w:ascii="Calibri" w:hAnsi="Calibri"/>
                <w:sz w:val="24"/>
                <w:szCs w:val="24"/>
              </w:rPr>
            </w:pPr>
            <w:r>
              <w:rPr>
                <w:rFonts w:ascii="Calibri" w:hAnsi="Calibri"/>
                <w:sz w:val="24"/>
                <w:szCs w:val="24"/>
              </w:rPr>
              <w:t>5.</w:t>
            </w:r>
          </w:p>
          <w:p w14:paraId="1F8C1FE5" w14:textId="77777777" w:rsidR="007C2925" w:rsidRDefault="007C2925" w:rsidP="00091BF1">
            <w:pPr>
              <w:pStyle w:val="TableText"/>
              <w:jc w:val="center"/>
              <w:rPr>
                <w:rFonts w:ascii="Calibri" w:hAnsi="Calibri"/>
                <w:sz w:val="24"/>
                <w:szCs w:val="24"/>
              </w:rPr>
            </w:pPr>
          </w:p>
          <w:p w14:paraId="4F97A9D6" w14:textId="77777777" w:rsidR="007C2925" w:rsidRDefault="007C2925" w:rsidP="00091BF1">
            <w:pPr>
              <w:pStyle w:val="TableText"/>
              <w:jc w:val="center"/>
              <w:rPr>
                <w:rFonts w:ascii="Calibri" w:hAnsi="Calibri"/>
                <w:sz w:val="24"/>
                <w:szCs w:val="24"/>
              </w:rPr>
            </w:pPr>
          </w:p>
          <w:p w14:paraId="34F255FD" w14:textId="77777777" w:rsidR="007C2925" w:rsidRDefault="007C2925" w:rsidP="00091BF1">
            <w:pPr>
              <w:pStyle w:val="TableText"/>
              <w:jc w:val="center"/>
              <w:rPr>
                <w:rFonts w:ascii="Calibri" w:hAnsi="Calibri"/>
                <w:sz w:val="24"/>
                <w:szCs w:val="24"/>
              </w:rPr>
            </w:pPr>
          </w:p>
          <w:p w14:paraId="690E4863" w14:textId="77777777" w:rsidR="007C2925" w:rsidRDefault="007C2925" w:rsidP="00091BF1">
            <w:pPr>
              <w:pStyle w:val="TableText"/>
              <w:jc w:val="center"/>
              <w:rPr>
                <w:rFonts w:ascii="Calibri" w:hAnsi="Calibri"/>
                <w:sz w:val="24"/>
                <w:szCs w:val="24"/>
              </w:rPr>
            </w:pPr>
          </w:p>
          <w:p w14:paraId="559D45EE" w14:textId="77777777" w:rsidR="007C2925" w:rsidRDefault="007C2925" w:rsidP="00091BF1">
            <w:pPr>
              <w:pStyle w:val="TableText"/>
              <w:jc w:val="center"/>
              <w:rPr>
                <w:rFonts w:ascii="Calibri" w:hAnsi="Calibri"/>
                <w:sz w:val="24"/>
                <w:szCs w:val="24"/>
              </w:rPr>
            </w:pPr>
          </w:p>
          <w:p w14:paraId="7FDBEFB5" w14:textId="77777777" w:rsidR="007C2925" w:rsidRDefault="007C2925" w:rsidP="00091BF1">
            <w:pPr>
              <w:pStyle w:val="TableText"/>
              <w:jc w:val="center"/>
              <w:rPr>
                <w:rFonts w:ascii="Calibri" w:hAnsi="Calibri"/>
                <w:sz w:val="24"/>
                <w:szCs w:val="24"/>
              </w:rPr>
            </w:pPr>
          </w:p>
          <w:p w14:paraId="02EAA276" w14:textId="77777777" w:rsidR="007C2925" w:rsidRDefault="007C2925" w:rsidP="00091BF1">
            <w:pPr>
              <w:pStyle w:val="TableText"/>
              <w:jc w:val="center"/>
              <w:rPr>
                <w:rFonts w:ascii="Calibri" w:hAnsi="Calibri"/>
                <w:sz w:val="24"/>
                <w:szCs w:val="24"/>
              </w:rPr>
            </w:pPr>
          </w:p>
          <w:p w14:paraId="576945D3" w14:textId="77777777" w:rsidR="007C2925" w:rsidRDefault="007C2925" w:rsidP="00091BF1">
            <w:pPr>
              <w:pStyle w:val="TableText"/>
              <w:jc w:val="center"/>
              <w:rPr>
                <w:rFonts w:ascii="Calibri" w:hAnsi="Calibri"/>
                <w:sz w:val="24"/>
                <w:szCs w:val="24"/>
              </w:rPr>
            </w:pPr>
          </w:p>
          <w:p w14:paraId="6C920BB2" w14:textId="77777777" w:rsidR="007C2925" w:rsidRDefault="007C2925" w:rsidP="00091BF1">
            <w:pPr>
              <w:pStyle w:val="TableText"/>
              <w:jc w:val="center"/>
              <w:rPr>
                <w:rFonts w:ascii="Calibri" w:hAnsi="Calibri"/>
                <w:sz w:val="24"/>
                <w:szCs w:val="24"/>
              </w:rPr>
            </w:pPr>
          </w:p>
          <w:p w14:paraId="20E0C14C" w14:textId="77777777" w:rsidR="007C2925" w:rsidRDefault="007C2925" w:rsidP="00091BF1">
            <w:pPr>
              <w:pStyle w:val="TableText"/>
              <w:jc w:val="center"/>
              <w:rPr>
                <w:rFonts w:ascii="Calibri" w:hAnsi="Calibri"/>
                <w:sz w:val="24"/>
                <w:szCs w:val="24"/>
              </w:rPr>
            </w:pPr>
          </w:p>
          <w:p w14:paraId="447C9E2C" w14:textId="77777777" w:rsidR="007C2925" w:rsidRDefault="007C2925" w:rsidP="00091BF1">
            <w:pPr>
              <w:pStyle w:val="TableText"/>
              <w:jc w:val="center"/>
              <w:rPr>
                <w:rFonts w:ascii="Calibri" w:hAnsi="Calibri"/>
                <w:sz w:val="24"/>
                <w:szCs w:val="24"/>
              </w:rPr>
            </w:pPr>
          </w:p>
          <w:p w14:paraId="7D01E580" w14:textId="77777777" w:rsidR="007C2925" w:rsidRDefault="007C2925" w:rsidP="00091BF1">
            <w:pPr>
              <w:pStyle w:val="TableText"/>
              <w:jc w:val="center"/>
              <w:rPr>
                <w:rFonts w:ascii="Calibri" w:hAnsi="Calibri"/>
                <w:sz w:val="24"/>
                <w:szCs w:val="24"/>
              </w:rPr>
            </w:pPr>
          </w:p>
          <w:p w14:paraId="252043CB" w14:textId="77777777" w:rsidR="007C2925" w:rsidRDefault="007C2925" w:rsidP="00091BF1">
            <w:pPr>
              <w:pStyle w:val="TableText"/>
              <w:jc w:val="center"/>
              <w:rPr>
                <w:rFonts w:ascii="Calibri" w:hAnsi="Calibri"/>
                <w:sz w:val="24"/>
                <w:szCs w:val="24"/>
              </w:rPr>
            </w:pPr>
          </w:p>
          <w:p w14:paraId="5875343A" w14:textId="77777777" w:rsidR="007C2925" w:rsidRDefault="007C2925" w:rsidP="00091BF1">
            <w:pPr>
              <w:pStyle w:val="TableText"/>
              <w:jc w:val="center"/>
              <w:rPr>
                <w:rFonts w:ascii="Calibri" w:hAnsi="Calibri"/>
                <w:sz w:val="24"/>
                <w:szCs w:val="24"/>
              </w:rPr>
            </w:pPr>
          </w:p>
          <w:p w14:paraId="74615D52" w14:textId="77777777" w:rsidR="007C2925" w:rsidRDefault="007C2925" w:rsidP="007C2925">
            <w:pPr>
              <w:pStyle w:val="TableText"/>
              <w:rPr>
                <w:rFonts w:ascii="Calibri" w:hAnsi="Calibri"/>
                <w:sz w:val="24"/>
                <w:szCs w:val="24"/>
              </w:rPr>
            </w:pPr>
          </w:p>
          <w:p w14:paraId="590B8F54" w14:textId="77777777" w:rsidR="007C2925" w:rsidRDefault="007C2925" w:rsidP="00091BF1">
            <w:pPr>
              <w:pStyle w:val="TableText"/>
              <w:jc w:val="center"/>
              <w:rPr>
                <w:rFonts w:ascii="Calibri" w:hAnsi="Calibri"/>
                <w:sz w:val="24"/>
                <w:szCs w:val="24"/>
              </w:rPr>
            </w:pPr>
          </w:p>
          <w:p w14:paraId="5DD50946" w14:textId="1417383C" w:rsidR="007C2925" w:rsidRDefault="007C2925" w:rsidP="00091BF1">
            <w:pPr>
              <w:pStyle w:val="TableText"/>
              <w:jc w:val="center"/>
              <w:rPr>
                <w:rFonts w:ascii="Calibri" w:hAnsi="Calibri"/>
                <w:sz w:val="24"/>
                <w:szCs w:val="24"/>
              </w:rPr>
            </w:pPr>
            <w:r>
              <w:rPr>
                <w:rFonts w:ascii="Calibri" w:hAnsi="Calibri"/>
                <w:sz w:val="24"/>
                <w:szCs w:val="24"/>
              </w:rPr>
              <w:t>6.</w:t>
            </w:r>
          </w:p>
          <w:p w14:paraId="12CF2E7F" w14:textId="77777777" w:rsidR="007C2925" w:rsidRDefault="007C2925" w:rsidP="00091BF1">
            <w:pPr>
              <w:pStyle w:val="TableText"/>
              <w:jc w:val="center"/>
              <w:rPr>
                <w:rFonts w:ascii="Calibri" w:hAnsi="Calibri"/>
                <w:sz w:val="24"/>
                <w:szCs w:val="24"/>
              </w:rPr>
            </w:pPr>
          </w:p>
          <w:p w14:paraId="3AE90747" w14:textId="77777777" w:rsidR="007C2925" w:rsidRDefault="007C2925" w:rsidP="00091BF1">
            <w:pPr>
              <w:pStyle w:val="TableText"/>
              <w:jc w:val="center"/>
              <w:rPr>
                <w:rFonts w:ascii="Calibri" w:hAnsi="Calibri"/>
                <w:sz w:val="24"/>
                <w:szCs w:val="24"/>
              </w:rPr>
            </w:pPr>
          </w:p>
          <w:p w14:paraId="737F7EF8" w14:textId="77777777" w:rsidR="007C2925" w:rsidRDefault="007C2925" w:rsidP="00091BF1">
            <w:pPr>
              <w:pStyle w:val="TableText"/>
              <w:jc w:val="center"/>
              <w:rPr>
                <w:rFonts w:ascii="Calibri" w:hAnsi="Calibri"/>
                <w:sz w:val="24"/>
                <w:szCs w:val="24"/>
              </w:rPr>
            </w:pPr>
          </w:p>
          <w:p w14:paraId="3DF2B946" w14:textId="77777777" w:rsidR="007C2925" w:rsidRDefault="007C2925" w:rsidP="00091BF1">
            <w:pPr>
              <w:pStyle w:val="TableText"/>
              <w:jc w:val="center"/>
              <w:rPr>
                <w:rFonts w:ascii="Calibri" w:hAnsi="Calibri"/>
                <w:sz w:val="24"/>
                <w:szCs w:val="24"/>
              </w:rPr>
            </w:pPr>
          </w:p>
          <w:p w14:paraId="4500579F" w14:textId="77777777" w:rsidR="007C2925" w:rsidRDefault="007C2925" w:rsidP="00091BF1">
            <w:pPr>
              <w:pStyle w:val="TableText"/>
              <w:jc w:val="center"/>
              <w:rPr>
                <w:rFonts w:ascii="Calibri" w:hAnsi="Calibri"/>
                <w:sz w:val="24"/>
                <w:szCs w:val="24"/>
              </w:rPr>
            </w:pPr>
          </w:p>
          <w:p w14:paraId="3DC12358" w14:textId="77777777" w:rsidR="007C2925" w:rsidRDefault="007C2925" w:rsidP="00091BF1">
            <w:pPr>
              <w:pStyle w:val="TableText"/>
              <w:jc w:val="center"/>
              <w:rPr>
                <w:rFonts w:ascii="Calibri" w:hAnsi="Calibri"/>
                <w:sz w:val="24"/>
                <w:szCs w:val="24"/>
              </w:rPr>
            </w:pPr>
          </w:p>
          <w:p w14:paraId="382DD8C6" w14:textId="77777777" w:rsidR="007C2925" w:rsidRDefault="007C2925" w:rsidP="00091BF1">
            <w:pPr>
              <w:pStyle w:val="TableText"/>
              <w:jc w:val="center"/>
              <w:rPr>
                <w:rFonts w:ascii="Calibri" w:hAnsi="Calibri"/>
                <w:sz w:val="24"/>
                <w:szCs w:val="24"/>
              </w:rPr>
            </w:pPr>
          </w:p>
          <w:p w14:paraId="673B6FF1" w14:textId="77777777" w:rsidR="007C2925" w:rsidRDefault="007C2925" w:rsidP="00091BF1">
            <w:pPr>
              <w:pStyle w:val="TableText"/>
              <w:jc w:val="center"/>
              <w:rPr>
                <w:rFonts w:ascii="Calibri" w:hAnsi="Calibri"/>
                <w:sz w:val="24"/>
                <w:szCs w:val="24"/>
              </w:rPr>
            </w:pPr>
          </w:p>
          <w:p w14:paraId="02C79200" w14:textId="77777777" w:rsidR="007C2925" w:rsidRDefault="007C2925" w:rsidP="00091BF1">
            <w:pPr>
              <w:pStyle w:val="TableText"/>
              <w:jc w:val="center"/>
              <w:rPr>
                <w:rFonts w:ascii="Calibri" w:hAnsi="Calibri"/>
                <w:sz w:val="24"/>
                <w:szCs w:val="24"/>
              </w:rPr>
            </w:pPr>
          </w:p>
          <w:p w14:paraId="45313E57" w14:textId="77777777" w:rsidR="007C2925" w:rsidRDefault="007C2925" w:rsidP="00091BF1">
            <w:pPr>
              <w:pStyle w:val="TableText"/>
              <w:jc w:val="center"/>
              <w:rPr>
                <w:rFonts w:ascii="Calibri" w:hAnsi="Calibri"/>
                <w:sz w:val="24"/>
                <w:szCs w:val="24"/>
              </w:rPr>
            </w:pPr>
          </w:p>
          <w:p w14:paraId="3A0BFE95" w14:textId="77777777" w:rsidR="007C2925" w:rsidRDefault="007C2925" w:rsidP="00091BF1">
            <w:pPr>
              <w:pStyle w:val="TableText"/>
              <w:jc w:val="center"/>
              <w:rPr>
                <w:rFonts w:ascii="Calibri" w:hAnsi="Calibri"/>
                <w:sz w:val="24"/>
                <w:szCs w:val="24"/>
              </w:rPr>
            </w:pPr>
          </w:p>
          <w:p w14:paraId="1BDA8DD5" w14:textId="77777777" w:rsidR="007C2925" w:rsidRDefault="007C2925" w:rsidP="00091BF1">
            <w:pPr>
              <w:pStyle w:val="TableText"/>
              <w:jc w:val="center"/>
              <w:rPr>
                <w:rFonts w:ascii="Calibri" w:hAnsi="Calibri"/>
                <w:sz w:val="24"/>
                <w:szCs w:val="24"/>
              </w:rPr>
            </w:pPr>
          </w:p>
          <w:p w14:paraId="09E9CBCC" w14:textId="77777777" w:rsidR="007C2925" w:rsidRDefault="007C2925" w:rsidP="00091BF1">
            <w:pPr>
              <w:pStyle w:val="TableText"/>
              <w:jc w:val="center"/>
              <w:rPr>
                <w:rFonts w:ascii="Calibri" w:hAnsi="Calibri"/>
                <w:sz w:val="24"/>
                <w:szCs w:val="24"/>
              </w:rPr>
            </w:pPr>
          </w:p>
          <w:p w14:paraId="3F12B9F5" w14:textId="77777777" w:rsidR="007C2925" w:rsidRDefault="007C2925" w:rsidP="00091BF1">
            <w:pPr>
              <w:pStyle w:val="TableText"/>
              <w:jc w:val="center"/>
              <w:rPr>
                <w:rFonts w:ascii="Calibri" w:hAnsi="Calibri"/>
                <w:sz w:val="24"/>
                <w:szCs w:val="24"/>
              </w:rPr>
            </w:pPr>
          </w:p>
          <w:p w14:paraId="35DF8C43" w14:textId="77777777" w:rsidR="007C2925" w:rsidRDefault="007C2925" w:rsidP="00091BF1">
            <w:pPr>
              <w:pStyle w:val="TableText"/>
              <w:jc w:val="center"/>
              <w:rPr>
                <w:rFonts w:ascii="Calibri" w:hAnsi="Calibri"/>
                <w:sz w:val="24"/>
                <w:szCs w:val="24"/>
              </w:rPr>
            </w:pPr>
          </w:p>
          <w:p w14:paraId="246AE762" w14:textId="77777777" w:rsidR="007C2925" w:rsidRDefault="007C2925" w:rsidP="00091BF1">
            <w:pPr>
              <w:pStyle w:val="TableText"/>
              <w:jc w:val="center"/>
              <w:rPr>
                <w:rFonts w:ascii="Calibri" w:hAnsi="Calibri"/>
                <w:sz w:val="24"/>
                <w:szCs w:val="24"/>
              </w:rPr>
            </w:pPr>
          </w:p>
          <w:p w14:paraId="65374404" w14:textId="77777777" w:rsidR="007C2925" w:rsidRDefault="007C2925" w:rsidP="00091BF1">
            <w:pPr>
              <w:pStyle w:val="TableText"/>
              <w:jc w:val="center"/>
              <w:rPr>
                <w:rFonts w:ascii="Calibri" w:hAnsi="Calibri"/>
                <w:sz w:val="24"/>
                <w:szCs w:val="24"/>
              </w:rPr>
            </w:pPr>
          </w:p>
          <w:p w14:paraId="754DF8BC" w14:textId="4184AF3F" w:rsidR="007C2925" w:rsidRDefault="007C2925" w:rsidP="00091BF1">
            <w:pPr>
              <w:pStyle w:val="TableText"/>
              <w:jc w:val="center"/>
              <w:rPr>
                <w:rFonts w:ascii="Calibri" w:hAnsi="Calibri"/>
                <w:sz w:val="24"/>
                <w:szCs w:val="24"/>
              </w:rPr>
            </w:pPr>
            <w:r>
              <w:rPr>
                <w:rFonts w:ascii="Calibri" w:hAnsi="Calibri"/>
                <w:sz w:val="24"/>
                <w:szCs w:val="24"/>
              </w:rPr>
              <w:lastRenderedPageBreak/>
              <w:t>7.</w:t>
            </w:r>
          </w:p>
          <w:p w14:paraId="3841FE62" w14:textId="77777777" w:rsidR="007C2925" w:rsidRDefault="007C2925" w:rsidP="00091BF1">
            <w:pPr>
              <w:pStyle w:val="TableText"/>
              <w:jc w:val="center"/>
              <w:rPr>
                <w:rFonts w:ascii="Calibri" w:hAnsi="Calibri"/>
                <w:sz w:val="24"/>
                <w:szCs w:val="24"/>
              </w:rPr>
            </w:pPr>
          </w:p>
          <w:p w14:paraId="6D7DD9BE" w14:textId="77777777" w:rsidR="007C2925" w:rsidRDefault="007C2925" w:rsidP="00091BF1">
            <w:pPr>
              <w:pStyle w:val="TableText"/>
              <w:jc w:val="center"/>
              <w:rPr>
                <w:rFonts w:ascii="Calibri" w:hAnsi="Calibri"/>
                <w:sz w:val="24"/>
                <w:szCs w:val="24"/>
              </w:rPr>
            </w:pPr>
          </w:p>
          <w:p w14:paraId="66A87544" w14:textId="77777777" w:rsidR="007C2925" w:rsidRDefault="007C2925" w:rsidP="00091BF1">
            <w:pPr>
              <w:pStyle w:val="TableText"/>
              <w:jc w:val="center"/>
              <w:rPr>
                <w:rFonts w:ascii="Calibri" w:hAnsi="Calibri"/>
                <w:sz w:val="24"/>
                <w:szCs w:val="24"/>
              </w:rPr>
            </w:pPr>
          </w:p>
          <w:p w14:paraId="263E9004" w14:textId="77777777" w:rsidR="007C2925" w:rsidRDefault="007C2925" w:rsidP="00091BF1">
            <w:pPr>
              <w:pStyle w:val="TableText"/>
              <w:jc w:val="center"/>
              <w:rPr>
                <w:rFonts w:ascii="Calibri" w:hAnsi="Calibri"/>
                <w:sz w:val="24"/>
                <w:szCs w:val="24"/>
              </w:rPr>
            </w:pPr>
          </w:p>
          <w:p w14:paraId="148D50A8" w14:textId="77777777" w:rsidR="007C2925" w:rsidRDefault="007C2925" w:rsidP="00091BF1">
            <w:pPr>
              <w:pStyle w:val="TableText"/>
              <w:jc w:val="center"/>
              <w:rPr>
                <w:rFonts w:ascii="Calibri" w:hAnsi="Calibri"/>
                <w:sz w:val="24"/>
                <w:szCs w:val="24"/>
              </w:rPr>
            </w:pPr>
          </w:p>
          <w:p w14:paraId="3D99A33C" w14:textId="19692435" w:rsidR="007C2925" w:rsidRDefault="007C2925" w:rsidP="00091BF1">
            <w:pPr>
              <w:pStyle w:val="TableText"/>
              <w:jc w:val="center"/>
              <w:rPr>
                <w:rFonts w:ascii="Calibri" w:hAnsi="Calibri"/>
                <w:sz w:val="24"/>
                <w:szCs w:val="24"/>
              </w:rPr>
            </w:pPr>
            <w:r>
              <w:rPr>
                <w:rFonts w:ascii="Calibri" w:hAnsi="Calibri"/>
                <w:sz w:val="24"/>
                <w:szCs w:val="24"/>
              </w:rPr>
              <w:t>8.</w:t>
            </w:r>
          </w:p>
          <w:p w14:paraId="71E246F0" w14:textId="77777777" w:rsidR="007C2925" w:rsidRDefault="007C2925" w:rsidP="00091BF1">
            <w:pPr>
              <w:pStyle w:val="TableText"/>
              <w:jc w:val="center"/>
              <w:rPr>
                <w:rFonts w:ascii="Calibri" w:hAnsi="Calibri"/>
                <w:sz w:val="24"/>
                <w:szCs w:val="24"/>
              </w:rPr>
            </w:pPr>
          </w:p>
          <w:p w14:paraId="71B5CCC8" w14:textId="77777777" w:rsidR="007C2925" w:rsidRDefault="007C2925" w:rsidP="00091BF1">
            <w:pPr>
              <w:pStyle w:val="TableText"/>
              <w:jc w:val="center"/>
              <w:rPr>
                <w:rFonts w:ascii="Calibri" w:hAnsi="Calibri"/>
                <w:sz w:val="24"/>
                <w:szCs w:val="24"/>
              </w:rPr>
            </w:pPr>
          </w:p>
          <w:p w14:paraId="0B668AF4" w14:textId="77777777" w:rsidR="007C2925" w:rsidRDefault="007C2925" w:rsidP="00091BF1">
            <w:pPr>
              <w:pStyle w:val="TableText"/>
              <w:jc w:val="center"/>
              <w:rPr>
                <w:rFonts w:ascii="Calibri" w:hAnsi="Calibri"/>
                <w:sz w:val="24"/>
                <w:szCs w:val="24"/>
              </w:rPr>
            </w:pPr>
          </w:p>
          <w:p w14:paraId="6B9865DE" w14:textId="77777777" w:rsidR="007C2925" w:rsidRDefault="007C2925" w:rsidP="00091BF1">
            <w:pPr>
              <w:pStyle w:val="TableText"/>
              <w:jc w:val="center"/>
              <w:rPr>
                <w:rFonts w:ascii="Calibri" w:hAnsi="Calibri"/>
                <w:sz w:val="24"/>
                <w:szCs w:val="24"/>
              </w:rPr>
            </w:pPr>
          </w:p>
          <w:p w14:paraId="2E4460DD" w14:textId="37642C01" w:rsidR="007C2925" w:rsidRDefault="007C2925" w:rsidP="00091BF1">
            <w:pPr>
              <w:pStyle w:val="TableText"/>
              <w:jc w:val="center"/>
              <w:rPr>
                <w:rFonts w:ascii="Calibri" w:hAnsi="Calibri"/>
                <w:sz w:val="24"/>
                <w:szCs w:val="24"/>
              </w:rPr>
            </w:pPr>
            <w:r>
              <w:rPr>
                <w:rFonts w:ascii="Calibri" w:hAnsi="Calibri"/>
                <w:sz w:val="24"/>
                <w:szCs w:val="24"/>
              </w:rPr>
              <w:t>9.</w:t>
            </w:r>
          </w:p>
          <w:p w14:paraId="470C7E56" w14:textId="77777777" w:rsidR="007C2925" w:rsidRDefault="007C2925" w:rsidP="00091BF1">
            <w:pPr>
              <w:pStyle w:val="TableText"/>
              <w:jc w:val="center"/>
              <w:rPr>
                <w:rFonts w:ascii="Calibri" w:hAnsi="Calibri"/>
                <w:sz w:val="24"/>
                <w:szCs w:val="24"/>
              </w:rPr>
            </w:pPr>
          </w:p>
          <w:p w14:paraId="46B48C2D" w14:textId="77777777" w:rsidR="007C2925" w:rsidRDefault="007C2925" w:rsidP="00091BF1">
            <w:pPr>
              <w:pStyle w:val="TableText"/>
              <w:jc w:val="center"/>
              <w:rPr>
                <w:rFonts w:ascii="Calibri" w:hAnsi="Calibri"/>
                <w:sz w:val="24"/>
                <w:szCs w:val="24"/>
              </w:rPr>
            </w:pPr>
          </w:p>
          <w:p w14:paraId="1BBDD42C" w14:textId="77777777" w:rsidR="007C2925" w:rsidRDefault="007C2925" w:rsidP="00091BF1">
            <w:pPr>
              <w:pStyle w:val="TableText"/>
              <w:jc w:val="center"/>
              <w:rPr>
                <w:rFonts w:ascii="Calibri" w:hAnsi="Calibri"/>
                <w:sz w:val="24"/>
                <w:szCs w:val="24"/>
              </w:rPr>
            </w:pPr>
          </w:p>
          <w:p w14:paraId="6CA35C0E" w14:textId="77777777" w:rsidR="007C2925" w:rsidRDefault="007C2925" w:rsidP="00091BF1">
            <w:pPr>
              <w:pStyle w:val="TableText"/>
              <w:jc w:val="center"/>
              <w:rPr>
                <w:rFonts w:ascii="Calibri" w:hAnsi="Calibri"/>
                <w:sz w:val="24"/>
                <w:szCs w:val="24"/>
              </w:rPr>
            </w:pPr>
          </w:p>
          <w:p w14:paraId="5DA15A33" w14:textId="77777777" w:rsidR="007C2925" w:rsidRPr="00DD62CA" w:rsidRDefault="007C2925" w:rsidP="007C2925">
            <w:pPr>
              <w:pStyle w:val="TableText"/>
              <w:rPr>
                <w:rFonts w:ascii="Calibri" w:hAnsi="Calibri"/>
                <w:sz w:val="24"/>
                <w:szCs w:val="24"/>
              </w:rPr>
            </w:pPr>
          </w:p>
        </w:tc>
        <w:tc>
          <w:tcPr>
            <w:tcW w:w="958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7C2925" w:rsidRPr="004336FE" w14:paraId="2E4A9D7B" w14:textId="77777777" w:rsidTr="004336FE">
              <w:tc>
                <w:tcPr>
                  <w:tcW w:w="0" w:type="auto"/>
                  <w:tcBorders>
                    <w:top w:val="nil"/>
                    <w:left w:val="nil"/>
                    <w:bottom w:val="nil"/>
                    <w:right w:val="nil"/>
                  </w:tcBorders>
                  <w:shd w:val="clear" w:color="auto" w:fill="auto"/>
                </w:tcPr>
                <w:p w14:paraId="084D3FAD" w14:textId="143714D4" w:rsidR="007C2925" w:rsidRPr="004336FE" w:rsidRDefault="007C2925">
                  <w:pPr>
                    <w:pStyle w:val="TableText"/>
                    <w:rPr>
                      <w:rFonts w:ascii="Calibri" w:hAnsi="Calibri"/>
                      <w:sz w:val="24"/>
                      <w:szCs w:val="24"/>
                    </w:rPr>
                  </w:pPr>
                  <w:bookmarkStart w:id="1" w:name="InformativeText"/>
                  <w:r w:rsidRPr="004336FE">
                    <w:rPr>
                      <w:rFonts w:ascii="Calibri" w:hAnsi="Calibri"/>
                      <w:sz w:val="24"/>
                      <w:szCs w:val="24"/>
                    </w:rPr>
                    <w:lastRenderedPageBreak/>
                    <w:tab/>
                    <w:t>Construction Management Plan.</w:t>
                  </w:r>
                </w:p>
                <w:p w14:paraId="033BAC85" w14:textId="77777777" w:rsidR="007C2925" w:rsidRPr="004336FE" w:rsidRDefault="007C2925">
                  <w:pPr>
                    <w:pStyle w:val="TableText"/>
                    <w:rPr>
                      <w:rFonts w:ascii="Calibri" w:hAnsi="Calibri"/>
                      <w:sz w:val="24"/>
                      <w:szCs w:val="24"/>
                    </w:rPr>
                  </w:pPr>
                  <w:r w:rsidRPr="004336FE">
                    <w:rPr>
                      <w:rFonts w:ascii="Calibri" w:hAnsi="Calibri"/>
                      <w:sz w:val="24"/>
                      <w:szCs w:val="24"/>
                    </w:rPr>
                    <w:t xml:space="preserve">o </w:t>
                  </w:r>
                  <w:r w:rsidRPr="004336FE">
                    <w:rPr>
                      <w:rFonts w:ascii="Calibri" w:hAnsi="Calibri"/>
                      <w:sz w:val="24"/>
                      <w:szCs w:val="24"/>
                    </w:rPr>
                    <w:tab/>
                    <w:t>There must be no reversing into or from the live highway at any time - all vehicles entering the site must do so in a forward gear, and turn around in the site before exiting in a forward gear onto the operational public highway.</w:t>
                  </w:r>
                </w:p>
                <w:p w14:paraId="3A3D60DC" w14:textId="77777777" w:rsidR="007C2925" w:rsidRPr="004336FE" w:rsidRDefault="007C2925">
                  <w:pPr>
                    <w:pStyle w:val="TableText"/>
                    <w:rPr>
                      <w:rFonts w:ascii="Calibri" w:hAnsi="Calibri"/>
                      <w:sz w:val="24"/>
                      <w:szCs w:val="24"/>
                    </w:rPr>
                  </w:pPr>
                  <w:r w:rsidRPr="004336FE">
                    <w:rPr>
                      <w:rFonts w:ascii="Calibri" w:hAnsi="Calibri"/>
                      <w:sz w:val="24"/>
                      <w:szCs w:val="24"/>
                    </w:rPr>
                    <w:t xml:space="preserve">o </w:t>
                  </w:r>
                  <w:r w:rsidRPr="004336FE">
                    <w:rPr>
                      <w:rFonts w:ascii="Calibri" w:hAnsi="Calibri"/>
                      <w:sz w:val="24"/>
                      <w:szCs w:val="24"/>
                    </w:rPr>
                    <w:tab/>
                    <w:t>There must be no storage of materials in the public highway at any time.</w:t>
                  </w:r>
                </w:p>
                <w:p w14:paraId="71B75994" w14:textId="77777777" w:rsidR="007C2925" w:rsidRPr="004336FE" w:rsidRDefault="007C2925">
                  <w:pPr>
                    <w:pStyle w:val="TableText"/>
                    <w:rPr>
                      <w:rFonts w:ascii="Calibri" w:hAnsi="Calibri"/>
                      <w:sz w:val="24"/>
                      <w:szCs w:val="24"/>
                    </w:rPr>
                  </w:pPr>
                  <w:r w:rsidRPr="004336FE">
                    <w:rPr>
                      <w:rFonts w:ascii="Calibri" w:hAnsi="Calibri"/>
                      <w:sz w:val="24"/>
                      <w:szCs w:val="24"/>
                    </w:rPr>
                    <w:t xml:space="preserve">o </w:t>
                  </w:r>
                  <w:r w:rsidRPr="004336FE">
                    <w:rPr>
                      <w:rFonts w:ascii="Calibri" w:hAnsi="Calibri"/>
                      <w:sz w:val="24"/>
                      <w:szCs w:val="24"/>
                    </w:rPr>
                    <w:tab/>
                    <w:t>There must be no standing or waiting of machinery or vehicles in the public highway at any time.</w:t>
                  </w:r>
                </w:p>
                <w:p w14:paraId="75494DDC" w14:textId="77777777" w:rsidR="007C2925" w:rsidRPr="004336FE" w:rsidRDefault="007C2925">
                  <w:pPr>
                    <w:pStyle w:val="TableText"/>
                    <w:rPr>
                      <w:rFonts w:ascii="Calibri" w:hAnsi="Calibri"/>
                      <w:sz w:val="24"/>
                      <w:szCs w:val="24"/>
                    </w:rPr>
                  </w:pPr>
                  <w:r w:rsidRPr="004336FE">
                    <w:rPr>
                      <w:rFonts w:ascii="Calibri" w:hAnsi="Calibri"/>
                      <w:sz w:val="24"/>
                      <w:szCs w:val="24"/>
                    </w:rPr>
                    <w:t xml:space="preserve">o </w:t>
                  </w:r>
                  <w:r w:rsidRPr="004336FE">
                    <w:rPr>
                      <w:rFonts w:ascii="Calibri" w:hAnsi="Calibri"/>
                      <w:sz w:val="24"/>
                      <w:szCs w:val="24"/>
                    </w:rPr>
                    <w:tab/>
                    <w:t>Vehicles must only access the site using a designated vehicular access point.</w:t>
                  </w:r>
                </w:p>
                <w:p w14:paraId="75B32218" w14:textId="77777777" w:rsidR="007C2925" w:rsidRPr="004336FE" w:rsidRDefault="007C2925">
                  <w:pPr>
                    <w:pStyle w:val="TableText"/>
                    <w:rPr>
                      <w:rFonts w:ascii="Calibri" w:hAnsi="Calibri"/>
                      <w:sz w:val="24"/>
                      <w:szCs w:val="24"/>
                    </w:rPr>
                  </w:pPr>
                  <w:r w:rsidRPr="004336FE">
                    <w:rPr>
                      <w:rFonts w:ascii="Calibri" w:hAnsi="Calibri"/>
                      <w:sz w:val="24"/>
                      <w:szCs w:val="24"/>
                    </w:rPr>
                    <w:t xml:space="preserve">o </w:t>
                  </w:r>
                  <w:r w:rsidRPr="004336FE">
                    <w:rPr>
                      <w:rFonts w:ascii="Calibri" w:hAnsi="Calibri"/>
                      <w:sz w:val="24"/>
                      <w:szCs w:val="24"/>
                    </w:rPr>
                    <w:tab/>
                    <w:t>There must be no machinery operating over the highway at any time, this includes reference to loading/unloading operations - all of which must be managed within the confines of the site.</w:t>
                  </w:r>
                </w:p>
                <w:p w14:paraId="4EA0F175" w14:textId="77777777" w:rsidR="007C2925" w:rsidRPr="004336FE" w:rsidRDefault="007C2925">
                  <w:pPr>
                    <w:pStyle w:val="TableText"/>
                    <w:rPr>
                      <w:rFonts w:ascii="Calibri" w:hAnsi="Calibri"/>
                      <w:sz w:val="24"/>
                      <w:szCs w:val="24"/>
                    </w:rPr>
                  </w:pPr>
                  <w:r w:rsidRPr="004336FE">
                    <w:rPr>
                      <w:rFonts w:ascii="Calibri" w:hAnsi="Calibri"/>
                      <w:sz w:val="24"/>
                      <w:szCs w:val="24"/>
                    </w:rPr>
                    <w:t xml:space="preserve">o </w:t>
                  </w:r>
                  <w:r w:rsidRPr="004336FE">
                    <w:rPr>
                      <w:rFonts w:ascii="Calibri" w:hAnsi="Calibri"/>
                      <w:sz w:val="24"/>
                      <w:szCs w:val="24"/>
                    </w:rPr>
                    <w:tab/>
                    <w:t>A licence to erect hoardings adjacent to the highway (should they be proposed) may be required. If necessary this can be obtained via the County Council (as the Highway Authority) by contacting the Council by telephoning 01772 533433 or e-mailing lhsstreetworks@lancashire.gov.uk</w:t>
                  </w:r>
                </w:p>
                <w:p w14:paraId="24E6CF35" w14:textId="77777777" w:rsidR="007C2925" w:rsidRPr="004336FE" w:rsidRDefault="007C2925">
                  <w:pPr>
                    <w:pStyle w:val="TableText"/>
                    <w:rPr>
                      <w:rFonts w:ascii="Calibri" w:hAnsi="Calibri"/>
                      <w:sz w:val="24"/>
                      <w:szCs w:val="24"/>
                    </w:rPr>
                  </w:pPr>
                  <w:r w:rsidRPr="004336FE">
                    <w:rPr>
                      <w:rFonts w:ascii="Calibri" w:hAnsi="Calibri"/>
                      <w:sz w:val="24"/>
                      <w:szCs w:val="24"/>
                    </w:rPr>
                    <w:t xml:space="preserve">o </w:t>
                  </w:r>
                  <w:r w:rsidRPr="004336FE">
                    <w:rPr>
                      <w:rFonts w:ascii="Calibri" w:hAnsi="Calibri"/>
                      <w:sz w:val="24"/>
                      <w:szCs w:val="24"/>
                    </w:rPr>
                    <w:tab/>
                    <w:t>All references to public highway include footway, carriageway and verge</w:t>
                  </w:r>
                </w:p>
                <w:p w14:paraId="701D4771" w14:textId="55C5EB75" w:rsidR="007C2925" w:rsidRPr="004336FE" w:rsidRDefault="007C2925">
                  <w:pPr>
                    <w:pStyle w:val="TableText"/>
                    <w:rPr>
                      <w:rFonts w:ascii="Calibri" w:hAnsi="Calibri"/>
                      <w:sz w:val="24"/>
                      <w:szCs w:val="24"/>
                    </w:rPr>
                  </w:pPr>
                </w:p>
              </w:tc>
            </w:tr>
            <w:tr w:rsidR="007C2925" w:rsidRPr="004336FE" w14:paraId="7C496E41" w14:textId="77777777" w:rsidTr="004336FE">
              <w:tc>
                <w:tcPr>
                  <w:tcW w:w="0" w:type="auto"/>
                  <w:tcBorders>
                    <w:top w:val="nil"/>
                    <w:left w:val="nil"/>
                    <w:bottom w:val="nil"/>
                    <w:right w:val="nil"/>
                  </w:tcBorders>
                  <w:shd w:val="clear" w:color="auto" w:fill="auto"/>
                </w:tcPr>
                <w:p w14:paraId="01A6548C" w14:textId="77777777" w:rsidR="007C2925" w:rsidRPr="004336FE" w:rsidRDefault="007C2925">
                  <w:pPr>
                    <w:pStyle w:val="TableText"/>
                    <w:rPr>
                      <w:rFonts w:ascii="Calibri" w:hAnsi="Calibri"/>
                      <w:sz w:val="24"/>
                      <w:szCs w:val="24"/>
                    </w:rPr>
                  </w:pPr>
                  <w:r w:rsidRPr="004336FE">
                    <w:rPr>
                      <w:rFonts w:ascii="Calibri" w:hAnsi="Calibri"/>
                      <w:sz w:val="24"/>
                      <w:szCs w:val="24"/>
                    </w:rPr>
                    <w:t>The grant of planning permission will require the applicant to enter into an appropriate legal agreement (Section 278 and Section 38),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 Please be aware that the demand to enter into section 278 agreements with Lancashire County Council as the highway authority is extremely high. Enquiries are being dealt with on a first come first served basis. As such all developers are advised to seek to enter into Section 278 agreements at a very early stage The grant of planning permission will require the applicant to enter into an appropriate legal agreement (Section 38),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w:t>
                  </w:r>
                </w:p>
                <w:p w14:paraId="0EF58704" w14:textId="3C073D40" w:rsidR="007C2925" w:rsidRPr="004336FE" w:rsidRDefault="007C2925" w:rsidP="004336FE">
                  <w:pPr>
                    <w:pStyle w:val="TableText"/>
                    <w:jc w:val="right"/>
                    <w:rPr>
                      <w:rFonts w:ascii="Calibri" w:hAnsi="Calibri"/>
                      <w:sz w:val="24"/>
                      <w:szCs w:val="24"/>
                    </w:rPr>
                  </w:pPr>
                  <w:r w:rsidRPr="004336FE">
                    <w:rPr>
                      <w:rFonts w:ascii="Calibri" w:hAnsi="Calibri"/>
                      <w:sz w:val="24"/>
                      <w:szCs w:val="24"/>
                    </w:rPr>
                    <w:t>P.T.O.</w:t>
                  </w:r>
                </w:p>
              </w:tc>
            </w:tr>
            <w:tr w:rsidR="007C2925" w:rsidRPr="004336FE" w14:paraId="6CCD13AB" w14:textId="77777777" w:rsidTr="004336FE">
              <w:tc>
                <w:tcPr>
                  <w:tcW w:w="0" w:type="auto"/>
                  <w:tcBorders>
                    <w:top w:val="nil"/>
                    <w:left w:val="nil"/>
                    <w:bottom w:val="nil"/>
                    <w:right w:val="nil"/>
                  </w:tcBorders>
                  <w:shd w:val="clear" w:color="auto" w:fill="auto"/>
                </w:tcPr>
                <w:p w14:paraId="47F176F6" w14:textId="0FEC16D1" w:rsidR="007C2925" w:rsidRPr="004336FE" w:rsidRDefault="007C2925">
                  <w:pPr>
                    <w:pStyle w:val="TableText"/>
                    <w:rPr>
                      <w:rFonts w:ascii="Calibri" w:hAnsi="Calibri"/>
                      <w:sz w:val="24"/>
                      <w:szCs w:val="24"/>
                    </w:rPr>
                  </w:pPr>
                  <w:r w:rsidRPr="004336FE">
                    <w:rPr>
                      <w:rFonts w:ascii="Calibri" w:hAnsi="Calibri"/>
                      <w:sz w:val="24"/>
                      <w:szCs w:val="24"/>
                    </w:rPr>
                    <w:lastRenderedPageBreak/>
                    <w:tab/>
                    <w:t xml:space="preserve">Relevant archaeological standards and a list of registered contractors can be found on the CIfA web pages: http://www.archaeologists.net. Contact details for other non-registered contractors can be found on the BAJR web site: </w:t>
                  </w:r>
                </w:p>
                <w:p w14:paraId="09505485" w14:textId="77777777" w:rsidR="007C2925" w:rsidRPr="004336FE" w:rsidRDefault="007C2925">
                  <w:pPr>
                    <w:pStyle w:val="TableText"/>
                    <w:rPr>
                      <w:rFonts w:ascii="Calibri" w:hAnsi="Calibri"/>
                      <w:sz w:val="24"/>
                      <w:szCs w:val="24"/>
                    </w:rPr>
                  </w:pPr>
                  <w:r w:rsidRPr="004336FE">
                    <w:rPr>
                      <w:rFonts w:ascii="Calibri" w:hAnsi="Calibri"/>
                      <w:sz w:val="24"/>
                      <w:szCs w:val="24"/>
                    </w:rPr>
                    <w:t xml:space="preserve">http://www.bajr.org. "Understanding Historic Buildings" can be accessed online at </w:t>
                  </w:r>
                </w:p>
                <w:p w14:paraId="15D6E761" w14:textId="77777777" w:rsidR="007C2925" w:rsidRPr="004336FE" w:rsidRDefault="007C2925">
                  <w:pPr>
                    <w:pStyle w:val="TableText"/>
                    <w:rPr>
                      <w:rFonts w:ascii="Calibri" w:hAnsi="Calibri"/>
                      <w:sz w:val="24"/>
                      <w:szCs w:val="24"/>
                    </w:rPr>
                  </w:pPr>
                  <w:r w:rsidRPr="004336FE">
                    <w:rPr>
                      <w:rFonts w:ascii="Calibri" w:hAnsi="Calibri"/>
                      <w:sz w:val="24"/>
                      <w:szCs w:val="24"/>
                    </w:rPr>
                    <w:t>https://historicengland.org.uk/images-books/publications/understanding-</w:t>
                  </w:r>
                  <w:r w:rsidRPr="004336FE">
                    <w:rPr>
                      <w:rFonts w:ascii="Calibri" w:hAnsi="Calibri"/>
                      <w:sz w:val="24"/>
                      <w:szCs w:val="24"/>
                    </w:rPr>
                    <w:tab/>
                    <w:t xml:space="preserve">historicbuildings/. </w:t>
                  </w:r>
                </w:p>
                <w:p w14:paraId="17CB4970" w14:textId="69C71754" w:rsidR="007C2925" w:rsidRPr="004336FE" w:rsidRDefault="007C2925">
                  <w:pPr>
                    <w:pStyle w:val="TableText"/>
                    <w:rPr>
                      <w:rFonts w:ascii="Calibri" w:hAnsi="Calibri"/>
                      <w:sz w:val="24"/>
                      <w:szCs w:val="24"/>
                    </w:rPr>
                  </w:pPr>
                </w:p>
              </w:tc>
            </w:tr>
            <w:tr w:rsidR="007C2925" w:rsidRPr="004336FE" w14:paraId="53EE8E26" w14:textId="77777777" w:rsidTr="004336FE">
              <w:tc>
                <w:tcPr>
                  <w:tcW w:w="0" w:type="auto"/>
                  <w:tcBorders>
                    <w:top w:val="nil"/>
                    <w:left w:val="nil"/>
                    <w:bottom w:val="nil"/>
                    <w:right w:val="nil"/>
                  </w:tcBorders>
                  <w:shd w:val="clear" w:color="auto" w:fill="auto"/>
                </w:tcPr>
                <w:p w14:paraId="41EBAE75" w14:textId="1FA5EE75" w:rsidR="007C2925" w:rsidRPr="004336FE" w:rsidRDefault="007C2925">
                  <w:pPr>
                    <w:pStyle w:val="TableText"/>
                    <w:rPr>
                      <w:rFonts w:ascii="Calibri" w:hAnsi="Calibri"/>
                      <w:sz w:val="24"/>
                      <w:szCs w:val="24"/>
                    </w:rPr>
                  </w:pPr>
                  <w:r w:rsidRPr="004336FE">
                    <w:rPr>
                      <w:rFonts w:ascii="Calibri" w:hAnsi="Calibri"/>
                      <w:sz w:val="24"/>
                      <w:szCs w:val="24"/>
                    </w:rPr>
                    <w:tab/>
                    <w:t xml:space="preserve">Relevant archaeological standards and a list of registered contractors can be found on the CIfA web pages: http://www.archaeologists.net. Contact details for other non-registered contractors can be found on the BAJR web site: </w:t>
                  </w:r>
                </w:p>
                <w:p w14:paraId="0AFA9C1A" w14:textId="77777777" w:rsidR="007C2925" w:rsidRPr="004336FE" w:rsidRDefault="007C2925">
                  <w:pPr>
                    <w:pStyle w:val="TableText"/>
                    <w:rPr>
                      <w:rFonts w:ascii="Calibri" w:hAnsi="Calibri"/>
                      <w:sz w:val="24"/>
                      <w:szCs w:val="24"/>
                    </w:rPr>
                  </w:pPr>
                  <w:r w:rsidRPr="004336FE">
                    <w:rPr>
                      <w:rFonts w:ascii="Calibri" w:hAnsi="Calibri"/>
                      <w:sz w:val="24"/>
                      <w:szCs w:val="24"/>
                    </w:rPr>
                    <w:t>http://www.bajr.org</w:t>
                  </w:r>
                </w:p>
                <w:p w14:paraId="36256709" w14:textId="099096EC" w:rsidR="007C2925" w:rsidRPr="004336FE" w:rsidRDefault="007C2925">
                  <w:pPr>
                    <w:pStyle w:val="TableText"/>
                    <w:rPr>
                      <w:rFonts w:ascii="Calibri" w:hAnsi="Calibri"/>
                      <w:sz w:val="24"/>
                      <w:szCs w:val="24"/>
                    </w:rPr>
                  </w:pPr>
                </w:p>
              </w:tc>
            </w:tr>
            <w:tr w:rsidR="007C2925" w:rsidRPr="004336FE" w14:paraId="17405AD5" w14:textId="77777777" w:rsidTr="004336FE">
              <w:tc>
                <w:tcPr>
                  <w:tcW w:w="0" w:type="auto"/>
                  <w:tcBorders>
                    <w:top w:val="nil"/>
                    <w:left w:val="nil"/>
                    <w:bottom w:val="nil"/>
                    <w:right w:val="nil"/>
                  </w:tcBorders>
                  <w:shd w:val="clear" w:color="auto" w:fill="auto"/>
                </w:tcPr>
                <w:p w14:paraId="0FDFC976" w14:textId="212BC397" w:rsidR="007C2925" w:rsidRPr="004336FE" w:rsidRDefault="007C2925">
                  <w:pPr>
                    <w:pStyle w:val="TableText"/>
                    <w:rPr>
                      <w:rFonts w:ascii="Calibri" w:hAnsi="Calibri"/>
                      <w:sz w:val="24"/>
                      <w:szCs w:val="24"/>
                    </w:rPr>
                  </w:pPr>
                  <w:r w:rsidRPr="004336FE">
                    <w:rPr>
                      <w:rFonts w:ascii="Calibri" w:hAnsi="Calibri"/>
                      <w:sz w:val="24"/>
                      <w:szCs w:val="24"/>
                    </w:rPr>
                    <w:t xml:space="preserve">This Decision Notice should be read in conjunction with the Secition 106 Agreement signed and dated </w:t>
                  </w:r>
                  <w:r w:rsidR="0067668D">
                    <w:rPr>
                      <w:rFonts w:ascii="Calibri" w:hAnsi="Calibri"/>
                      <w:sz w:val="24"/>
                      <w:szCs w:val="24"/>
                    </w:rPr>
                    <w:t>8 August 2024.</w:t>
                  </w:r>
                </w:p>
              </w:tc>
            </w:tr>
          </w:tbl>
          <w:p w14:paraId="120E33F7" w14:textId="399334D6"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1603C76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33C28D8" w14:textId="77777777" w:rsidTr="002C337D">
        <w:trPr>
          <w:cantSplit/>
        </w:trPr>
        <w:tc>
          <w:tcPr>
            <w:tcW w:w="10403" w:type="dxa"/>
          </w:tcPr>
          <w:p w14:paraId="2A06A72C"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C47FF27"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1144F89"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5F7936E" w14:textId="77777777" w:rsidR="0081123F" w:rsidRDefault="0081123F" w:rsidP="0081123F">
      <w:pPr>
        <w:pStyle w:val="TableText"/>
      </w:pPr>
    </w:p>
    <w:p w14:paraId="05DF95D7" w14:textId="77777777" w:rsidR="00310FDD" w:rsidRDefault="00310FDD" w:rsidP="00310FDD">
      <w:pPr>
        <w:pStyle w:val="TableText"/>
        <w:rPr>
          <w:rFonts w:ascii="Calibri" w:hAnsi="Calibri" w:cs="Calibri"/>
        </w:rPr>
      </w:pPr>
    </w:p>
    <w:p w14:paraId="6D841964" w14:textId="77777777" w:rsidR="006F03C4" w:rsidRDefault="006F03C4" w:rsidP="00310FDD">
      <w:pPr>
        <w:pStyle w:val="TableText"/>
        <w:rPr>
          <w:rFonts w:ascii="Calibri" w:hAnsi="Calibri" w:cs="Calibri"/>
          <w:b/>
        </w:rPr>
      </w:pPr>
    </w:p>
    <w:p w14:paraId="7FCF0BA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5002A3E" w14:textId="77777777" w:rsidR="00310FDD" w:rsidRPr="00310FDD" w:rsidRDefault="00310FDD" w:rsidP="00310FDD">
      <w:pPr>
        <w:pStyle w:val="TableText"/>
        <w:rPr>
          <w:rFonts w:ascii="Calibri" w:hAnsi="Calibri" w:cs="Calibri"/>
        </w:rPr>
      </w:pPr>
    </w:p>
    <w:p w14:paraId="3261552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B0BAD33" w14:textId="77777777" w:rsidR="00811162" w:rsidRDefault="00811162" w:rsidP="00811162">
      <w:pPr>
        <w:rPr>
          <w:rFonts w:ascii="Calibri" w:hAnsi="Calibri" w:cs="Calibri"/>
          <w:b/>
          <w:bCs/>
          <w:szCs w:val="22"/>
        </w:rPr>
      </w:pPr>
    </w:p>
    <w:p w14:paraId="6A00720A"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E23D4C8"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FA6CCC2"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D09E89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02DF3CD" w14:textId="77777777" w:rsidR="00811162" w:rsidRDefault="00811162" w:rsidP="00811162">
      <w:pPr>
        <w:rPr>
          <w:rFonts w:ascii="Calibri" w:hAnsi="Calibri" w:cs="Calibri"/>
          <w:szCs w:val="22"/>
        </w:rPr>
      </w:pPr>
    </w:p>
    <w:p w14:paraId="2DEEE9B9"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10"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11"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w:t>
      </w:r>
      <w:r>
        <w:rPr>
          <w:rFonts w:ascii="Calibri" w:hAnsi="Calibri" w:cs="Calibri"/>
          <w:szCs w:val="22"/>
        </w:rPr>
        <w:lastRenderedPageBreak/>
        <w:t xml:space="preserve">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1892790" w14:textId="77777777" w:rsidR="00811162" w:rsidRDefault="00811162" w:rsidP="00811162">
      <w:pPr>
        <w:rPr>
          <w:rFonts w:ascii="Calibri" w:hAnsi="Calibri" w:cs="Calibri"/>
          <w:szCs w:val="22"/>
        </w:rPr>
      </w:pPr>
    </w:p>
    <w:p w14:paraId="45BF927C"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1636A59"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DF3C73A" w14:textId="77777777" w:rsidR="00310FDD" w:rsidRPr="00310FDD" w:rsidRDefault="00310FDD" w:rsidP="00310FDD">
      <w:pPr>
        <w:pStyle w:val="TableText"/>
        <w:rPr>
          <w:rFonts w:ascii="Calibri" w:hAnsi="Calibri" w:cs="Calibri"/>
        </w:rPr>
      </w:pPr>
    </w:p>
    <w:p w14:paraId="4C2ECF51" w14:textId="77777777" w:rsidR="00310FDD" w:rsidRPr="00310FDD" w:rsidRDefault="00310FDD" w:rsidP="00310FDD">
      <w:pPr>
        <w:pStyle w:val="TableText"/>
        <w:rPr>
          <w:rFonts w:ascii="Calibri" w:hAnsi="Calibri" w:cs="Calibri"/>
        </w:rPr>
      </w:pPr>
    </w:p>
    <w:p w14:paraId="3AD428B3"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12"/>
      <w:footerReference w:type="defaul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C8788" w14:textId="77777777" w:rsidR="00EE3330" w:rsidRDefault="00EE3330">
      <w:r>
        <w:separator/>
      </w:r>
    </w:p>
  </w:endnote>
  <w:endnote w:type="continuationSeparator" w:id="0">
    <w:p w14:paraId="434ABDF4" w14:textId="77777777" w:rsidR="00EE3330" w:rsidRDefault="00EE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5FF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DF50" w14:textId="77777777" w:rsidR="00EE3330" w:rsidRDefault="00EE3330">
      <w:r>
        <w:separator/>
      </w:r>
    </w:p>
  </w:footnote>
  <w:footnote w:type="continuationSeparator" w:id="0">
    <w:p w14:paraId="740619F2" w14:textId="77777777" w:rsidR="00EE3330" w:rsidRDefault="00EE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852C" w14:textId="7964A6FC" w:rsidR="002F3ADA" w:rsidRPr="0089171B" w:rsidRDefault="002F3ADA">
    <w:pPr>
      <w:rPr>
        <w:rFonts w:ascii="Calibri" w:hAnsi="Calibri" w:cs="Calibri"/>
      </w:rPr>
    </w:pPr>
    <w:r w:rsidRPr="0089171B">
      <w:rPr>
        <w:rFonts w:ascii="Calibri" w:hAnsi="Calibri" w:cs="Calibri"/>
      </w:rPr>
      <w:t>RIBBLE VALLEY BOROUGH COUNCIL</w:t>
    </w:r>
  </w:p>
  <w:p w14:paraId="5EBC9E2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50D4992" w14:textId="77777777" w:rsidR="002F3ADA" w:rsidRPr="0089171B" w:rsidRDefault="002F3ADA">
    <w:pPr>
      <w:pStyle w:val="addresses"/>
      <w:rPr>
        <w:rFonts w:ascii="Calibri" w:hAnsi="Calibri" w:cs="Calibri"/>
      </w:rPr>
    </w:pPr>
  </w:p>
  <w:p w14:paraId="69CC0701" w14:textId="7C40BA04" w:rsidR="002F3ADA" w:rsidRPr="0089171B" w:rsidRDefault="002F3ADA">
    <w:pPr>
      <w:rPr>
        <w:rFonts w:ascii="Calibri" w:hAnsi="Calibri" w:cs="Calibri"/>
        <w:b/>
        <w:bCs/>
      </w:rPr>
    </w:pPr>
    <w:r w:rsidRPr="0089171B">
      <w:rPr>
        <w:rFonts w:ascii="Calibri" w:hAnsi="Calibri" w:cs="Calibri"/>
        <w:b/>
        <w:bCs/>
      </w:rPr>
      <w:t xml:space="preserve">APPLICATION NO.  </w:t>
    </w:r>
    <w:r w:rsidR="00EE3330">
      <w:rPr>
        <w:rFonts w:ascii="Calibri" w:hAnsi="Calibri" w:cs="Calibri"/>
        <w:b/>
        <w:bCs/>
      </w:rPr>
      <w:t>3/2022/0966</w:t>
    </w:r>
    <w:r w:rsidRPr="0089171B">
      <w:rPr>
        <w:rFonts w:ascii="Calibri" w:hAnsi="Calibri" w:cs="Calibri"/>
        <w:b/>
        <w:bCs/>
      </w:rPr>
      <w:t xml:space="preserve">                                DECISION DATE: </w:t>
    </w:r>
    <w:r w:rsidR="00690161">
      <w:rPr>
        <w:rFonts w:ascii="Calibri" w:hAnsi="Calibri" w:cs="Calibri"/>
        <w:b/>
        <w:bCs/>
      </w:rPr>
      <w:t xml:space="preserve"> </w:t>
    </w:r>
    <w:r w:rsidR="0067668D">
      <w:rPr>
        <w:rFonts w:ascii="Calibri" w:hAnsi="Calibri" w:cs="Calibri"/>
        <w:b/>
        <w:bCs/>
      </w:rPr>
      <w:t>9 August 2024</w:t>
    </w:r>
  </w:p>
  <w:p w14:paraId="5335AE91" w14:textId="77777777" w:rsidR="002F3ADA" w:rsidRDefault="002F3ADA">
    <w:pPr>
      <w:pBdr>
        <w:bottom w:val="single" w:sz="4" w:space="1" w:color="auto"/>
      </w:pBdr>
    </w:pPr>
  </w:p>
  <w:p w14:paraId="4D76DE85"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815BD5"/>
    <w:multiLevelType w:val="hybridMultilevel"/>
    <w:tmpl w:val="1C9CC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118C7"/>
    <w:multiLevelType w:val="hybridMultilevel"/>
    <w:tmpl w:val="C0365170"/>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C0FB0"/>
    <w:multiLevelType w:val="hybridMultilevel"/>
    <w:tmpl w:val="7256B48C"/>
    <w:lvl w:ilvl="0" w:tplc="EC0667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1F25BB"/>
    <w:multiLevelType w:val="hybridMultilevel"/>
    <w:tmpl w:val="EF9CE532"/>
    <w:lvl w:ilvl="0" w:tplc="BB90FE0E">
      <w:start w:val="16"/>
      <w:numFmt w:val="upp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8D4559"/>
    <w:multiLevelType w:val="hybridMultilevel"/>
    <w:tmpl w:val="021C6554"/>
    <w:lvl w:ilvl="0" w:tplc="D8561CE6">
      <w:start w:val="16"/>
      <w:numFmt w:val="upp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E6850"/>
    <w:multiLevelType w:val="hybridMultilevel"/>
    <w:tmpl w:val="E13AF58E"/>
    <w:lvl w:ilvl="0" w:tplc="FA7CFA46">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DD6217"/>
    <w:multiLevelType w:val="hybridMultilevel"/>
    <w:tmpl w:val="281C2A10"/>
    <w:lvl w:ilvl="0" w:tplc="D18A2E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DC3FA8"/>
    <w:multiLevelType w:val="hybridMultilevel"/>
    <w:tmpl w:val="3E1ACD34"/>
    <w:lvl w:ilvl="0" w:tplc="08090003">
      <w:start w:val="1"/>
      <w:numFmt w:val="bullet"/>
      <w:lvlText w:val="o"/>
      <w:lvlJc w:val="left"/>
      <w:pPr>
        <w:ind w:left="1438" w:hanging="360"/>
      </w:pPr>
      <w:rPr>
        <w:rFonts w:ascii="Courier New" w:hAnsi="Courier New" w:cs="Courier New"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11" w15:restartNumberingAfterBreak="0">
    <w:nsid w:val="78C87040"/>
    <w:multiLevelType w:val="hybridMultilevel"/>
    <w:tmpl w:val="1DA237E8"/>
    <w:lvl w:ilvl="0" w:tplc="2C7E57B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312303">
    <w:abstractNumId w:val="12"/>
  </w:num>
  <w:num w:numId="2" w16cid:durableId="409546544">
    <w:abstractNumId w:val="8"/>
  </w:num>
  <w:num w:numId="3" w16cid:durableId="1902208826">
    <w:abstractNumId w:val="0"/>
  </w:num>
  <w:num w:numId="4" w16cid:durableId="1730837948">
    <w:abstractNumId w:val="4"/>
  </w:num>
  <w:num w:numId="5" w16cid:durableId="1476488932">
    <w:abstractNumId w:val="3"/>
  </w:num>
  <w:num w:numId="6" w16cid:durableId="2046782326">
    <w:abstractNumId w:val="9"/>
  </w:num>
  <w:num w:numId="7" w16cid:durableId="1273056354">
    <w:abstractNumId w:val="1"/>
  </w:num>
  <w:num w:numId="8" w16cid:durableId="1431395317">
    <w:abstractNumId w:val="11"/>
  </w:num>
  <w:num w:numId="9" w16cid:durableId="984429063">
    <w:abstractNumId w:val="6"/>
  </w:num>
  <w:num w:numId="10" w16cid:durableId="2041273165">
    <w:abstractNumId w:val="5"/>
  </w:num>
  <w:num w:numId="11" w16cid:durableId="1791195726">
    <w:abstractNumId w:val="2"/>
  </w:num>
  <w:num w:numId="12" w16cid:durableId="1455707815">
    <w:abstractNumId w:val="7"/>
  </w:num>
  <w:num w:numId="13" w16cid:durableId="2054381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30"/>
    <w:rsid w:val="00067956"/>
    <w:rsid w:val="00091BF1"/>
    <w:rsid w:val="000A2F81"/>
    <w:rsid w:val="00111C12"/>
    <w:rsid w:val="001602C7"/>
    <w:rsid w:val="001613C3"/>
    <w:rsid w:val="00172E52"/>
    <w:rsid w:val="0026438E"/>
    <w:rsid w:val="00276D1F"/>
    <w:rsid w:val="002860D9"/>
    <w:rsid w:val="002C337D"/>
    <w:rsid w:val="002D5D44"/>
    <w:rsid w:val="002F3ADA"/>
    <w:rsid w:val="00310FDD"/>
    <w:rsid w:val="003243B5"/>
    <w:rsid w:val="00325DC8"/>
    <w:rsid w:val="00335DB8"/>
    <w:rsid w:val="00353EFF"/>
    <w:rsid w:val="004336FE"/>
    <w:rsid w:val="00441F1F"/>
    <w:rsid w:val="00443FA4"/>
    <w:rsid w:val="00466193"/>
    <w:rsid w:val="004B764D"/>
    <w:rsid w:val="00521961"/>
    <w:rsid w:val="00547AFA"/>
    <w:rsid w:val="005F0993"/>
    <w:rsid w:val="006668E5"/>
    <w:rsid w:val="0067668D"/>
    <w:rsid w:val="00690161"/>
    <w:rsid w:val="006F03C4"/>
    <w:rsid w:val="0070149C"/>
    <w:rsid w:val="00774090"/>
    <w:rsid w:val="007A7F66"/>
    <w:rsid w:val="007C2925"/>
    <w:rsid w:val="007C793E"/>
    <w:rsid w:val="00811162"/>
    <w:rsid w:val="0081123F"/>
    <w:rsid w:val="00822630"/>
    <w:rsid w:val="00885E36"/>
    <w:rsid w:val="0089171B"/>
    <w:rsid w:val="0090365E"/>
    <w:rsid w:val="00905666"/>
    <w:rsid w:val="00991201"/>
    <w:rsid w:val="009A509E"/>
    <w:rsid w:val="009B173F"/>
    <w:rsid w:val="009F1725"/>
    <w:rsid w:val="00A00F48"/>
    <w:rsid w:val="00A2080A"/>
    <w:rsid w:val="00A33FE9"/>
    <w:rsid w:val="00A43996"/>
    <w:rsid w:val="00AA358D"/>
    <w:rsid w:val="00AD66B2"/>
    <w:rsid w:val="00AF1174"/>
    <w:rsid w:val="00B052EA"/>
    <w:rsid w:val="00B27048"/>
    <w:rsid w:val="00B53065"/>
    <w:rsid w:val="00B54B2E"/>
    <w:rsid w:val="00B6420A"/>
    <w:rsid w:val="00B739B9"/>
    <w:rsid w:val="00B91966"/>
    <w:rsid w:val="00BB4059"/>
    <w:rsid w:val="00BE454C"/>
    <w:rsid w:val="00C00AD7"/>
    <w:rsid w:val="00C33734"/>
    <w:rsid w:val="00C4703E"/>
    <w:rsid w:val="00C759AB"/>
    <w:rsid w:val="00D156D9"/>
    <w:rsid w:val="00D320A7"/>
    <w:rsid w:val="00DD62CA"/>
    <w:rsid w:val="00DE71A7"/>
    <w:rsid w:val="00E01248"/>
    <w:rsid w:val="00E716AD"/>
    <w:rsid w:val="00E83FE1"/>
    <w:rsid w:val="00EE2FDA"/>
    <w:rsid w:val="00EE3330"/>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B11774"/>
  <w15:chartTrackingRefBased/>
  <w15:docId w15:val="{57EC1060-07CA-4FDA-B840-55B92642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EE3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appeal-householder-planning-decis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appeal-planning-dec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4F9E82DF8084DA16D15111BD52C00" ma:contentTypeVersion="13" ma:contentTypeDescription="Create a new document." ma:contentTypeScope="" ma:versionID="5464b57fb9e0a9a82f8f3396ee2791b0">
  <xsd:schema xmlns:xsd="http://www.w3.org/2001/XMLSchema" xmlns:xs="http://www.w3.org/2001/XMLSchema" xmlns:p="http://schemas.microsoft.com/office/2006/metadata/properties" xmlns:ns3="dfc13bbf-a853-4a2d-a9b4-0e127d7e3bc1" xmlns:ns4="8cd780af-d8e1-4940-8afa-c017e181788b" targetNamespace="http://schemas.microsoft.com/office/2006/metadata/properties" ma:root="true" ma:fieldsID="61a3096a906e8d716268e14acc3d78b8" ns3:_="" ns4:_="">
    <xsd:import namespace="dfc13bbf-a853-4a2d-a9b4-0e127d7e3bc1"/>
    <xsd:import namespace="8cd780af-d8e1-4940-8afa-c017e18178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13bbf-a853-4a2d-a9b4-0e127d7e3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780af-d8e1-4940-8afa-c017e1817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9CA5C-961A-455B-84CB-A9940961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13bbf-a853-4a2d-a9b4-0e127d7e3bc1"/>
    <ds:schemaRef ds:uri="8cd780af-d8e1-4940-8afa-c017e1817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B1412-212B-4062-83DB-D201163E72ED}">
  <ds:schemaRefs>
    <ds:schemaRef ds:uri="http://purl.org/dc/elements/1.1/"/>
    <ds:schemaRef ds:uri="http://schemas.microsoft.com/office/2006/metadata/properties"/>
    <ds:schemaRef ds:uri="http://schemas.openxmlformats.org/package/2006/metadata/core-properties"/>
    <ds:schemaRef ds:uri="8cd780af-d8e1-4940-8afa-c017e181788b"/>
    <ds:schemaRef ds:uri="http://purl.org/dc/terms/"/>
    <ds:schemaRef ds:uri="http://schemas.microsoft.com/office/2006/documentManagement/types"/>
    <ds:schemaRef ds:uri="http://schemas.microsoft.com/office/infopath/2007/PartnerControls"/>
    <ds:schemaRef ds:uri="dfc13bbf-a853-4a2d-a9b4-0e127d7e3bc1"/>
    <ds:schemaRef ds:uri="http://www.w3.org/XML/1998/namespace"/>
    <ds:schemaRef ds:uri="http://purl.org/dc/dcmitype/"/>
  </ds:schemaRefs>
</ds:datastoreItem>
</file>

<file path=customXml/itemProps3.xml><?xml version="1.0" encoding="utf-8"?>
<ds:datastoreItem xmlns:ds="http://schemas.openxmlformats.org/officeDocument/2006/customXml" ds:itemID="{1B11C16C-82A6-49DA-86FB-777331694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RVDECPP1</Template>
  <TotalTime>0</TotalTime>
  <Pages>17</Pages>
  <Words>6531</Words>
  <Characters>36446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42892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2021-08-06T09:17:00Z</cp:lastPrinted>
  <dcterms:created xsi:type="dcterms:W3CDTF">2024-08-09T11:46:00Z</dcterms:created>
  <dcterms:modified xsi:type="dcterms:W3CDTF">2024-08-09T11:46:00Z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0x010100B3B4F9E82DF8084DA16D15111BD52C00</vt:lpwstr>
  </property>
</Properties>
</file>