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802C70">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2377DA7" w:rsidR="00837F4F" w:rsidRPr="00D2449B" w:rsidRDefault="00E963C6"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C13630E" w:rsidR="00837F4F" w:rsidRPr="00D2449B" w:rsidRDefault="00E963C6" w:rsidP="00D2449B">
            <w:pPr>
              <w:jc w:val="center"/>
              <w:rPr>
                <w:rFonts w:ascii="Calibri" w:hAnsi="Calibri"/>
                <w:b/>
                <w:szCs w:val="22"/>
              </w:rPr>
            </w:pPr>
            <w:r>
              <w:rPr>
                <w:rFonts w:ascii="Calibri" w:hAnsi="Calibri"/>
                <w:b/>
                <w:szCs w:val="22"/>
              </w:rPr>
              <w:t>17/04/23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6AC65E4" w:rsidR="00837F4F" w:rsidRPr="00D2449B" w:rsidRDefault="00052CE0"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2C69D5F" w:rsidR="00837F4F" w:rsidRPr="00D2449B" w:rsidRDefault="00052CE0" w:rsidP="00D2449B">
            <w:pPr>
              <w:jc w:val="center"/>
              <w:rPr>
                <w:rFonts w:ascii="Calibri" w:hAnsi="Calibri"/>
                <w:b/>
                <w:szCs w:val="22"/>
              </w:rPr>
            </w:pPr>
            <w:r>
              <w:rPr>
                <w:rFonts w:ascii="Calibri" w:hAnsi="Calibri"/>
                <w:b/>
                <w:szCs w:val="22"/>
              </w:rPr>
              <w:t>18/4/23</w:t>
            </w:r>
          </w:p>
        </w:tc>
      </w:tr>
      <w:tr w:rsidR="004A5EA9" w:rsidRPr="00D2449B" w14:paraId="2094A164" w14:textId="77777777" w:rsidTr="00802C70">
        <w:trPr>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02C70">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E2B7AA4"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E963C6">
              <w:rPr>
                <w:rFonts w:ascii="Calibri" w:hAnsi="Calibri"/>
                <w:szCs w:val="22"/>
              </w:rPr>
              <w:t>22/0996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802C70">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CBF632B" w:rsidR="00824DB6" w:rsidRPr="00C0704D" w:rsidRDefault="00E963C6" w:rsidP="002C6277">
            <w:pPr>
              <w:rPr>
                <w:rFonts w:ascii="Calibri" w:hAnsi="Calibri"/>
                <w:szCs w:val="22"/>
              </w:rPr>
            </w:pPr>
            <w:r w:rsidRPr="00E963C6">
              <w:rPr>
                <w:rFonts w:ascii="Calibri" w:hAnsi="Calibri"/>
                <w:szCs w:val="22"/>
              </w:rPr>
              <w:t>05/04/23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35B26E5" w:rsidR="00824DB6" w:rsidRPr="00C0704D" w:rsidRDefault="00E963C6" w:rsidP="002C6277">
            <w:pPr>
              <w:rPr>
                <w:rFonts w:ascii="Calibri" w:hAnsi="Calibri"/>
                <w:szCs w:val="22"/>
              </w:rPr>
            </w:pPr>
            <w:r w:rsidRPr="00E963C6">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802C70">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42A705E" w:rsidR="004A5EA9" w:rsidRPr="00250879" w:rsidRDefault="00E963C6" w:rsidP="00811771">
            <w:pPr>
              <w:rPr>
                <w:rFonts w:ascii="Calibri" w:hAnsi="Calibri"/>
                <w:color w:val="548DD4" w:themeColor="text2" w:themeTint="99"/>
                <w:szCs w:val="22"/>
              </w:rPr>
            </w:pPr>
            <w:r w:rsidRPr="00E963C6">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02C70">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802C7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02C7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42575C8" w:rsidR="004A5EA9" w:rsidRPr="002C6277" w:rsidRDefault="00E963C6">
            <w:pPr>
              <w:rPr>
                <w:rFonts w:ascii="Calibri" w:hAnsi="Calibri"/>
                <w:szCs w:val="22"/>
              </w:rPr>
            </w:pPr>
            <w:r w:rsidRPr="00E963C6">
              <w:rPr>
                <w:rFonts w:ascii="Calibri" w:hAnsi="Calibri"/>
                <w:szCs w:val="22"/>
              </w:rPr>
              <w:t>Proposed two storey side and front extension to replace existing garage and proposed rear single storey extension.</w:t>
            </w:r>
          </w:p>
        </w:tc>
      </w:tr>
      <w:tr w:rsidR="002A01CF" w:rsidRPr="00D2449B" w14:paraId="52988241" w14:textId="77777777" w:rsidTr="00802C7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638A2BE" w:rsidR="002A01CF" w:rsidRPr="002C6277" w:rsidRDefault="00E963C6" w:rsidP="00A42E82">
            <w:pPr>
              <w:rPr>
                <w:rFonts w:ascii="Calibri" w:hAnsi="Calibri"/>
                <w:szCs w:val="22"/>
              </w:rPr>
            </w:pPr>
            <w:r>
              <w:rPr>
                <w:rFonts w:ascii="Calibri" w:hAnsi="Calibri"/>
                <w:szCs w:val="22"/>
              </w:rPr>
              <w:t>1 Holly Grove, Longridge PR3 3HR</w:t>
            </w:r>
          </w:p>
        </w:tc>
      </w:tr>
      <w:tr w:rsidR="00A95D89" w:rsidRPr="00D2449B" w14:paraId="3FB99B2E" w14:textId="77777777" w:rsidTr="00802C7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02C7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07C9A36" w:rsidR="002A01CF" w:rsidRPr="00E963C6" w:rsidRDefault="00E963C6">
            <w:pPr>
              <w:rPr>
                <w:rFonts w:ascii="Calibri" w:hAnsi="Calibri"/>
                <w:bCs/>
                <w:szCs w:val="22"/>
              </w:rPr>
            </w:pPr>
            <w:r w:rsidRPr="00E963C6">
              <w:rPr>
                <w:rFonts w:ascii="Calibri" w:hAnsi="Calibri"/>
                <w:bCs/>
                <w:szCs w:val="22"/>
              </w:rPr>
              <w:t xml:space="preserve">No response. </w:t>
            </w:r>
          </w:p>
        </w:tc>
      </w:tr>
      <w:tr w:rsidR="00C618DB" w:rsidRPr="00D2449B" w14:paraId="639E958B" w14:textId="77777777" w:rsidTr="00802C7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02C7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802C7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FA1875E" w:rsidR="002A01CF" w:rsidRPr="00E963C6" w:rsidRDefault="00E963C6">
            <w:pPr>
              <w:rPr>
                <w:rFonts w:ascii="Calibri" w:hAnsi="Calibri"/>
                <w:bCs/>
                <w:szCs w:val="22"/>
              </w:rPr>
            </w:pPr>
            <w:r>
              <w:rPr>
                <w:rFonts w:ascii="Calibri" w:hAnsi="Calibri"/>
                <w:bCs/>
                <w:szCs w:val="22"/>
              </w:rPr>
              <w:t xml:space="preserve">No objection subject to confirmation that an additional parking space can be provided.  </w:t>
            </w:r>
          </w:p>
        </w:tc>
      </w:tr>
      <w:tr w:rsidR="00C0704D" w:rsidRPr="00D2449B" w14:paraId="62663AAF"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802C70">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A5341DA" w:rsidR="00C0704D" w:rsidRPr="00C0704D" w:rsidRDefault="00E963C6" w:rsidP="00692B60">
            <w:pPr>
              <w:rPr>
                <w:rFonts w:ascii="Calibri" w:hAnsi="Calibri"/>
                <w:szCs w:val="22"/>
              </w:rPr>
            </w:pPr>
            <w:r>
              <w:rPr>
                <w:rFonts w:ascii="Calibri" w:hAnsi="Calibri"/>
                <w:szCs w:val="22"/>
              </w:rPr>
              <w:t xml:space="preserve">None received. </w:t>
            </w:r>
          </w:p>
        </w:tc>
      </w:tr>
      <w:tr w:rsidR="00C0704D" w:rsidRPr="00D2449B" w14:paraId="1CDFA4C3" w14:textId="77777777" w:rsidTr="00802C7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0C5633A" w14:textId="77777777" w:rsidR="00E963C6" w:rsidRPr="00D2449B" w:rsidRDefault="00E963C6" w:rsidP="00E963C6">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F7C6CB5" w14:textId="77777777" w:rsidR="00E963C6" w:rsidRDefault="00E963C6" w:rsidP="00E963C6">
            <w:pPr>
              <w:jc w:val="both"/>
              <w:rPr>
                <w:rFonts w:ascii="Calibri" w:hAnsi="Calibri"/>
                <w:b/>
                <w:szCs w:val="22"/>
              </w:rPr>
            </w:pPr>
          </w:p>
          <w:p w14:paraId="03631DEB" w14:textId="77777777" w:rsidR="00E963C6" w:rsidRPr="00C618DB" w:rsidRDefault="00E963C6" w:rsidP="00E963C6">
            <w:pPr>
              <w:pStyle w:val="PLANNING"/>
              <w:rPr>
                <w:rFonts w:ascii="Calibri" w:hAnsi="Calibri"/>
                <w:szCs w:val="22"/>
              </w:rPr>
            </w:pPr>
            <w:r w:rsidRPr="00C618DB">
              <w:rPr>
                <w:rFonts w:ascii="Calibri" w:hAnsi="Calibri"/>
                <w:szCs w:val="22"/>
              </w:rPr>
              <w:t>Key Statement DS1 – Development Strategy</w:t>
            </w:r>
          </w:p>
          <w:p w14:paraId="0C7F82C3" w14:textId="77777777" w:rsidR="00E963C6" w:rsidRPr="00C618DB" w:rsidRDefault="00E963C6" w:rsidP="00E963C6">
            <w:pPr>
              <w:pStyle w:val="PLANNING"/>
              <w:rPr>
                <w:rFonts w:ascii="Calibri" w:hAnsi="Calibri"/>
                <w:szCs w:val="22"/>
              </w:rPr>
            </w:pPr>
            <w:r w:rsidRPr="00C618DB">
              <w:rPr>
                <w:rFonts w:ascii="Calibri" w:hAnsi="Calibri"/>
                <w:szCs w:val="22"/>
              </w:rPr>
              <w:t>Key Statement DS2 – Sustainable Development</w:t>
            </w:r>
          </w:p>
          <w:p w14:paraId="12C823C5" w14:textId="77777777" w:rsidR="00E963C6" w:rsidRPr="00C618DB" w:rsidRDefault="00E963C6" w:rsidP="00E963C6">
            <w:pPr>
              <w:pStyle w:val="PLANNING"/>
              <w:rPr>
                <w:rFonts w:ascii="Calibri" w:hAnsi="Calibri"/>
                <w:szCs w:val="22"/>
              </w:rPr>
            </w:pPr>
          </w:p>
          <w:p w14:paraId="2311077F" w14:textId="77777777" w:rsidR="00E963C6" w:rsidRPr="00C618DB" w:rsidRDefault="00E963C6" w:rsidP="00E963C6">
            <w:pPr>
              <w:pStyle w:val="PLANNING"/>
              <w:rPr>
                <w:rFonts w:ascii="Calibri" w:hAnsi="Calibri"/>
                <w:szCs w:val="22"/>
              </w:rPr>
            </w:pPr>
            <w:r w:rsidRPr="00C618DB">
              <w:rPr>
                <w:rFonts w:ascii="Calibri" w:hAnsi="Calibri"/>
                <w:szCs w:val="22"/>
              </w:rPr>
              <w:t>Policy DMG1 – General Considerations</w:t>
            </w:r>
          </w:p>
          <w:p w14:paraId="5F595F30" w14:textId="77777777" w:rsidR="00E963C6" w:rsidRPr="00C618DB" w:rsidRDefault="00E963C6" w:rsidP="00E963C6">
            <w:pPr>
              <w:pStyle w:val="PLANNING"/>
              <w:rPr>
                <w:rFonts w:ascii="Calibri" w:hAnsi="Calibri"/>
                <w:szCs w:val="22"/>
              </w:rPr>
            </w:pPr>
            <w:r w:rsidRPr="00C618DB">
              <w:rPr>
                <w:rFonts w:ascii="Calibri" w:hAnsi="Calibri"/>
                <w:szCs w:val="22"/>
              </w:rPr>
              <w:t>Policy DMG2 – Strategic Considerations</w:t>
            </w:r>
          </w:p>
          <w:p w14:paraId="02A59C4B" w14:textId="77777777" w:rsidR="00E963C6" w:rsidRPr="00C618DB" w:rsidRDefault="00E963C6" w:rsidP="00E963C6">
            <w:pPr>
              <w:pStyle w:val="PLANNING"/>
              <w:rPr>
                <w:rFonts w:ascii="Calibri" w:hAnsi="Calibri"/>
                <w:szCs w:val="22"/>
              </w:rPr>
            </w:pPr>
            <w:r>
              <w:rPr>
                <w:rFonts w:ascii="Calibri" w:hAnsi="Calibri"/>
                <w:szCs w:val="22"/>
              </w:rPr>
              <w:t>Policy DMH5 – Residential and Curtilage Extensions</w:t>
            </w:r>
          </w:p>
          <w:p w14:paraId="26699348" w14:textId="77777777" w:rsidR="00E963C6" w:rsidRPr="00C618DB" w:rsidRDefault="00E963C6" w:rsidP="00E963C6">
            <w:pPr>
              <w:pStyle w:val="PLANNING"/>
              <w:rPr>
                <w:rFonts w:ascii="Calibri" w:hAnsi="Calibri"/>
                <w:szCs w:val="22"/>
              </w:rPr>
            </w:pPr>
          </w:p>
          <w:p w14:paraId="3B44072D" w14:textId="77777777" w:rsidR="00E963C6" w:rsidRDefault="00E963C6" w:rsidP="00E963C6">
            <w:pPr>
              <w:jc w:val="both"/>
              <w:rPr>
                <w:rFonts w:ascii="Calibri" w:hAnsi="Calibri"/>
                <w:szCs w:val="22"/>
              </w:rPr>
            </w:pPr>
            <w:r w:rsidRPr="00C618DB">
              <w:rPr>
                <w:rFonts w:ascii="Calibri" w:hAnsi="Calibri"/>
                <w:szCs w:val="22"/>
              </w:rPr>
              <w:t>National Planning Policy Framework (NPPF)</w:t>
            </w:r>
          </w:p>
          <w:p w14:paraId="3BD427E8" w14:textId="77777777" w:rsidR="00E963C6" w:rsidRDefault="00E963C6" w:rsidP="00E963C6">
            <w:pPr>
              <w:jc w:val="both"/>
              <w:rPr>
                <w:rFonts w:ascii="Calibri" w:hAnsi="Calibri"/>
                <w:szCs w:val="22"/>
              </w:rPr>
            </w:pPr>
          </w:p>
          <w:p w14:paraId="550BD1F6" w14:textId="77777777" w:rsidR="00E963C6" w:rsidRDefault="00E963C6" w:rsidP="00E963C6">
            <w:pPr>
              <w:jc w:val="both"/>
              <w:rPr>
                <w:rFonts w:ascii="Calibri" w:hAnsi="Calibri"/>
                <w:b/>
                <w:bCs/>
                <w:szCs w:val="22"/>
              </w:rPr>
            </w:pPr>
            <w:r w:rsidRPr="00D3247C">
              <w:rPr>
                <w:rFonts w:ascii="Calibri" w:hAnsi="Calibri"/>
                <w:b/>
                <w:bCs/>
                <w:szCs w:val="22"/>
              </w:rPr>
              <w:t>Longridge Neighbourhood Plan:</w:t>
            </w:r>
          </w:p>
          <w:p w14:paraId="4182ACAC" w14:textId="77777777" w:rsidR="00E963C6" w:rsidRDefault="00E963C6" w:rsidP="00E963C6">
            <w:pPr>
              <w:jc w:val="both"/>
              <w:rPr>
                <w:rFonts w:ascii="Calibri" w:hAnsi="Calibri"/>
                <w:szCs w:val="22"/>
              </w:rPr>
            </w:pPr>
          </w:p>
          <w:p w14:paraId="4D272850" w14:textId="77777777" w:rsidR="00E963C6" w:rsidRPr="00D3247C" w:rsidRDefault="00E963C6" w:rsidP="00E963C6">
            <w:pPr>
              <w:jc w:val="both"/>
              <w:rPr>
                <w:rFonts w:ascii="Calibri" w:hAnsi="Calibri"/>
                <w:szCs w:val="22"/>
              </w:rPr>
            </w:pPr>
            <w:r>
              <w:rPr>
                <w:rFonts w:ascii="Calibri" w:hAnsi="Calibri"/>
                <w:szCs w:val="22"/>
              </w:rPr>
              <w:t>Policy LNDP3 – Longridge Design Principles</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1E613C95" w:rsidR="0046548C" w:rsidRPr="00E963C6" w:rsidRDefault="00E963C6" w:rsidP="00C0704D">
            <w:pPr>
              <w:pStyle w:val="PLANNING"/>
              <w:rPr>
                <w:rFonts w:ascii="Calibri" w:hAnsi="Calibri"/>
                <w:szCs w:val="22"/>
              </w:rPr>
            </w:pPr>
            <w:r w:rsidRPr="00E963C6">
              <w:rPr>
                <w:rFonts w:ascii="Calibri" w:hAnsi="Calibri"/>
                <w:szCs w:val="22"/>
              </w:rPr>
              <w:t>None.</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802C70">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214B39E1" w:rsidR="00C0704D" w:rsidRDefault="00C0704D" w:rsidP="00811771">
            <w:pPr>
              <w:pStyle w:val="Header"/>
              <w:tabs>
                <w:tab w:val="clear" w:pos="4153"/>
                <w:tab w:val="clear" w:pos="8306"/>
              </w:tabs>
              <w:contextualSpacing/>
              <w:jc w:val="both"/>
              <w:rPr>
                <w:rFonts w:ascii="Calibri" w:hAnsi="Calibri"/>
                <w:bCs/>
                <w:szCs w:val="22"/>
              </w:rPr>
            </w:pPr>
          </w:p>
          <w:p w14:paraId="5DF82B9A" w14:textId="68D342B4" w:rsidR="00E963C6" w:rsidRDefault="00E963C6" w:rsidP="00811771">
            <w:pPr>
              <w:pStyle w:val="Header"/>
              <w:tabs>
                <w:tab w:val="clear" w:pos="4153"/>
                <w:tab w:val="clear" w:pos="8306"/>
              </w:tabs>
              <w:contextualSpacing/>
              <w:jc w:val="both"/>
              <w:rPr>
                <w:rFonts w:ascii="Calibri" w:hAnsi="Calibri"/>
                <w:bCs/>
                <w:szCs w:val="22"/>
              </w:rPr>
            </w:pPr>
            <w:r>
              <w:rPr>
                <w:rFonts w:ascii="Calibri" w:hAnsi="Calibri"/>
                <w:bCs/>
                <w:szCs w:val="22"/>
              </w:rPr>
              <w:lastRenderedPageBreak/>
              <w:t>The site is comprised of a detached two-storey dwelling on the corner of Holly Grove and Poplar Grove. To the front, facing onto Holly Grove includes a small driveway and curtilage space, and to the side a larger area of front garden leading into the rear garden. The dwelling incorporates a small rear extension with a pitched roof, with the main roof being pitched/mono</w:t>
            </w:r>
            <w:r w:rsidR="00241403">
              <w:rPr>
                <w:rFonts w:ascii="Calibri" w:hAnsi="Calibri"/>
                <w:bCs/>
                <w:szCs w:val="22"/>
              </w:rPr>
              <w:t>-pitch</w:t>
            </w:r>
            <w:r>
              <w:rPr>
                <w:rFonts w:ascii="Calibri" w:hAnsi="Calibri"/>
                <w:bCs/>
                <w:szCs w:val="22"/>
              </w:rPr>
              <w:t xml:space="preserve"> incorporating a small front porch/integ</w:t>
            </w:r>
            <w:r w:rsidR="00241403">
              <w:rPr>
                <w:rFonts w:ascii="Calibri" w:hAnsi="Calibri"/>
                <w:bCs/>
                <w:szCs w:val="22"/>
              </w:rPr>
              <w:t>rated</w:t>
            </w:r>
            <w:r>
              <w:rPr>
                <w:rFonts w:ascii="Calibri" w:hAnsi="Calibri"/>
                <w:bCs/>
                <w:szCs w:val="22"/>
              </w:rPr>
              <w:t xml:space="preserve"> garage projection. </w:t>
            </w:r>
          </w:p>
          <w:p w14:paraId="36DAB53A" w14:textId="77777777" w:rsidR="00C0704D" w:rsidRDefault="00C0704D" w:rsidP="00B93EB5">
            <w:pPr>
              <w:pStyle w:val="Header"/>
              <w:tabs>
                <w:tab w:val="clear" w:pos="4153"/>
                <w:tab w:val="clear" w:pos="8306"/>
              </w:tabs>
              <w:contextualSpacing/>
              <w:jc w:val="both"/>
              <w:rPr>
                <w:rFonts w:ascii="Calibri" w:hAnsi="Calibri"/>
                <w:bCs/>
                <w:szCs w:val="22"/>
              </w:rPr>
            </w:pPr>
          </w:p>
          <w:p w14:paraId="51330728" w14:textId="2A09CC7F" w:rsidR="00A059A4" w:rsidRDefault="00E963C6"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dwelling to the south is 3 Holly Grove, and to the east sits 1 Poplar Drive. The site sits in a broadly residential context in the </w:t>
            </w:r>
            <w:r w:rsidR="00A059A4">
              <w:rPr>
                <w:rFonts w:ascii="Calibri" w:hAnsi="Calibri"/>
                <w:bCs/>
                <w:szCs w:val="22"/>
              </w:rPr>
              <w:t>Princip</w:t>
            </w:r>
            <w:r w:rsidR="00241403">
              <w:rPr>
                <w:rFonts w:ascii="Calibri" w:hAnsi="Calibri"/>
                <w:bCs/>
                <w:szCs w:val="22"/>
              </w:rPr>
              <w:t>al</w:t>
            </w:r>
            <w:r w:rsidR="00A059A4">
              <w:rPr>
                <w:rFonts w:ascii="Calibri" w:hAnsi="Calibri"/>
                <w:bCs/>
                <w:szCs w:val="22"/>
              </w:rPr>
              <w:t xml:space="preserve"> Settlement of Longridge. </w:t>
            </w:r>
          </w:p>
          <w:p w14:paraId="62370E9F" w14:textId="1132494F" w:rsidR="00E963C6" w:rsidRPr="006C2BFA" w:rsidRDefault="00E963C6"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tc>
      </w:tr>
      <w:tr w:rsidR="00C0704D" w:rsidRPr="00D2449B" w14:paraId="408C6380"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6529E527" w14:textId="77777777" w:rsidR="00C0704D" w:rsidRDefault="00A059A4" w:rsidP="002F2580">
            <w:pPr>
              <w:rPr>
                <w:rFonts w:ascii="Calibri" w:hAnsi="Calibri"/>
                <w:szCs w:val="22"/>
              </w:rPr>
            </w:pPr>
            <w:r>
              <w:rPr>
                <w:rFonts w:ascii="Calibri" w:hAnsi="Calibri"/>
                <w:szCs w:val="22"/>
              </w:rPr>
              <w:t>The application seeks consent for the following:</w:t>
            </w:r>
          </w:p>
          <w:p w14:paraId="7B51B0E6" w14:textId="77777777" w:rsidR="00A059A4" w:rsidRDefault="00A059A4" w:rsidP="00A059A4">
            <w:pPr>
              <w:pStyle w:val="ListParagraph"/>
              <w:numPr>
                <w:ilvl w:val="0"/>
                <w:numId w:val="2"/>
              </w:numPr>
              <w:rPr>
                <w:rFonts w:ascii="Calibri" w:hAnsi="Calibri"/>
                <w:szCs w:val="22"/>
              </w:rPr>
            </w:pPr>
            <w:r>
              <w:rPr>
                <w:rFonts w:ascii="Calibri" w:hAnsi="Calibri"/>
                <w:szCs w:val="22"/>
              </w:rPr>
              <w:t>Two-storey side and front extension, incorporating 2no. reverse gable roof-forms and alteration to existing fenestration</w:t>
            </w:r>
          </w:p>
          <w:p w14:paraId="416E8B3E" w14:textId="77777777" w:rsidR="00A059A4" w:rsidRDefault="00A059A4" w:rsidP="00A059A4">
            <w:pPr>
              <w:pStyle w:val="ListParagraph"/>
              <w:numPr>
                <w:ilvl w:val="0"/>
                <w:numId w:val="2"/>
              </w:numPr>
              <w:rPr>
                <w:rFonts w:ascii="Calibri" w:hAnsi="Calibri"/>
                <w:szCs w:val="22"/>
              </w:rPr>
            </w:pPr>
            <w:r>
              <w:rPr>
                <w:rFonts w:ascii="Calibri" w:hAnsi="Calibri"/>
                <w:szCs w:val="22"/>
              </w:rPr>
              <w:t>In-filling of garage door to provide habitable space</w:t>
            </w:r>
          </w:p>
          <w:p w14:paraId="72A5B943" w14:textId="77777777" w:rsidR="00A059A4" w:rsidRDefault="00A059A4" w:rsidP="00A059A4">
            <w:pPr>
              <w:pStyle w:val="ListParagraph"/>
              <w:numPr>
                <w:ilvl w:val="0"/>
                <w:numId w:val="2"/>
              </w:numPr>
              <w:rPr>
                <w:rFonts w:ascii="Calibri" w:hAnsi="Calibri"/>
                <w:szCs w:val="22"/>
              </w:rPr>
            </w:pPr>
            <w:r>
              <w:rPr>
                <w:rFonts w:ascii="Calibri" w:hAnsi="Calibri"/>
                <w:szCs w:val="22"/>
              </w:rPr>
              <w:t xml:space="preserve">Alteration to porch to incorporate pitched roof and </w:t>
            </w:r>
            <w:r w:rsidR="00802C70">
              <w:rPr>
                <w:rFonts w:ascii="Calibri" w:hAnsi="Calibri"/>
                <w:szCs w:val="22"/>
              </w:rPr>
              <w:t>additional fenestration</w:t>
            </w:r>
          </w:p>
          <w:p w14:paraId="2C2F160B" w14:textId="77777777" w:rsidR="00802C70" w:rsidRDefault="00802C70" w:rsidP="00A059A4">
            <w:pPr>
              <w:pStyle w:val="ListParagraph"/>
              <w:numPr>
                <w:ilvl w:val="0"/>
                <w:numId w:val="2"/>
              </w:numPr>
              <w:rPr>
                <w:rFonts w:ascii="Calibri" w:hAnsi="Calibri"/>
                <w:szCs w:val="22"/>
              </w:rPr>
            </w:pPr>
            <w:r>
              <w:rPr>
                <w:rFonts w:ascii="Calibri" w:hAnsi="Calibri"/>
                <w:szCs w:val="22"/>
              </w:rPr>
              <w:t>Single-storey rear extension incorporating a flat-roof and sun-lantern</w:t>
            </w:r>
          </w:p>
          <w:p w14:paraId="40FD01BC" w14:textId="77777777" w:rsidR="00802C70" w:rsidRDefault="00802C70" w:rsidP="00A059A4">
            <w:pPr>
              <w:pStyle w:val="ListParagraph"/>
              <w:numPr>
                <w:ilvl w:val="0"/>
                <w:numId w:val="2"/>
              </w:numPr>
              <w:rPr>
                <w:rFonts w:ascii="Calibri" w:hAnsi="Calibri"/>
                <w:szCs w:val="22"/>
              </w:rPr>
            </w:pPr>
            <w:r>
              <w:rPr>
                <w:rFonts w:ascii="Calibri" w:hAnsi="Calibri"/>
                <w:szCs w:val="22"/>
              </w:rPr>
              <w:t>Changes to fenestration to existing rear extension</w:t>
            </w:r>
          </w:p>
          <w:p w14:paraId="1B20488F" w14:textId="356D665E" w:rsidR="00802C70" w:rsidRPr="00A059A4" w:rsidRDefault="00802C70" w:rsidP="00802C70">
            <w:pPr>
              <w:pStyle w:val="ListParagraph"/>
              <w:rPr>
                <w:rFonts w:ascii="Calibri" w:hAnsi="Calibri"/>
                <w:szCs w:val="22"/>
              </w:rPr>
            </w:pPr>
          </w:p>
        </w:tc>
      </w:tr>
      <w:tr w:rsidR="0046548C" w:rsidRPr="00D2449B" w14:paraId="06BBE02F"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221094B5" w14:textId="77777777" w:rsidR="0046548C" w:rsidRDefault="00802C70" w:rsidP="008542DE">
            <w:pPr>
              <w:pStyle w:val="Header"/>
              <w:tabs>
                <w:tab w:val="clear" w:pos="4153"/>
                <w:tab w:val="clear" w:pos="8306"/>
              </w:tabs>
              <w:contextualSpacing/>
              <w:jc w:val="both"/>
              <w:rPr>
                <w:rFonts w:ascii="Calibri" w:hAnsi="Calibri"/>
                <w:bCs/>
                <w:szCs w:val="22"/>
              </w:rPr>
            </w:pPr>
            <w:r w:rsidRPr="00802C70">
              <w:rPr>
                <w:rFonts w:ascii="Calibri" w:hAnsi="Calibri"/>
                <w:bCs/>
                <w:szCs w:val="22"/>
              </w:rPr>
              <w:t>The proposal relates to a domestic extension to an established residential dwelling and as such is acceptable in principle subject to further detailed assessment of the relevant material planning considerations</w:t>
            </w:r>
            <w:r>
              <w:rPr>
                <w:rFonts w:ascii="Calibri" w:hAnsi="Calibri"/>
                <w:bCs/>
                <w:szCs w:val="22"/>
              </w:rPr>
              <w:t>.</w:t>
            </w:r>
          </w:p>
          <w:p w14:paraId="07A958AF" w14:textId="4BF8C7AA" w:rsidR="00802C70" w:rsidRPr="00802C70" w:rsidRDefault="00802C70" w:rsidP="008542DE">
            <w:pPr>
              <w:pStyle w:val="Header"/>
              <w:tabs>
                <w:tab w:val="clear" w:pos="4153"/>
                <w:tab w:val="clear" w:pos="8306"/>
              </w:tabs>
              <w:contextualSpacing/>
              <w:jc w:val="both"/>
              <w:rPr>
                <w:rFonts w:ascii="Calibri" w:hAnsi="Calibri"/>
                <w:bCs/>
                <w:szCs w:val="22"/>
              </w:rPr>
            </w:pPr>
          </w:p>
        </w:tc>
      </w:tr>
      <w:tr w:rsidR="00C0704D" w:rsidRPr="00D2449B" w14:paraId="617768FF"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29DF38A3" w14:textId="77777777" w:rsidR="00802C70" w:rsidRPr="00802C70" w:rsidRDefault="00802C70" w:rsidP="00802C70">
            <w:pPr>
              <w:contextualSpacing/>
              <w:rPr>
                <w:rFonts w:ascii="Calibri" w:hAnsi="Calibri"/>
                <w:szCs w:val="22"/>
              </w:rPr>
            </w:pPr>
            <w:r w:rsidRPr="00802C70">
              <w:rPr>
                <w:rFonts w:ascii="Calibri" w:hAnsi="Calibri"/>
                <w:szCs w:val="22"/>
              </w:rPr>
              <w:t>As per Core Strategy Policy DMG1, development must:</w:t>
            </w:r>
          </w:p>
          <w:p w14:paraId="738C9ADB" w14:textId="5C0CE051" w:rsidR="00802C70" w:rsidRPr="00802C70" w:rsidRDefault="00802C70" w:rsidP="00802C70">
            <w:pPr>
              <w:pStyle w:val="ListParagraph"/>
              <w:numPr>
                <w:ilvl w:val="0"/>
                <w:numId w:val="4"/>
              </w:numPr>
              <w:rPr>
                <w:rFonts w:ascii="Calibri" w:hAnsi="Calibri"/>
                <w:szCs w:val="22"/>
              </w:rPr>
            </w:pPr>
            <w:r w:rsidRPr="00802C70">
              <w:rPr>
                <w:rFonts w:ascii="Calibri" w:hAnsi="Calibri"/>
                <w:szCs w:val="22"/>
              </w:rPr>
              <w:t>Not adversely affect the amenities of the surrounding area.</w:t>
            </w:r>
          </w:p>
          <w:p w14:paraId="741DB4FF" w14:textId="726C8AB0" w:rsidR="00802C70" w:rsidRPr="00802C70" w:rsidRDefault="00802C70" w:rsidP="00802C70">
            <w:pPr>
              <w:pStyle w:val="ListParagraph"/>
              <w:numPr>
                <w:ilvl w:val="0"/>
                <w:numId w:val="4"/>
              </w:numPr>
              <w:rPr>
                <w:rFonts w:ascii="Calibri" w:hAnsi="Calibri"/>
                <w:szCs w:val="22"/>
              </w:rPr>
            </w:pPr>
            <w:r w:rsidRPr="00802C70">
              <w:rPr>
                <w:rFonts w:ascii="Calibri" w:hAnsi="Calibri"/>
                <w:szCs w:val="22"/>
              </w:rPr>
              <w:t>Provide adequate day lighting and privacy distances.</w:t>
            </w:r>
          </w:p>
          <w:p w14:paraId="6402AE4D" w14:textId="77777777" w:rsidR="00802C70" w:rsidRDefault="00802C70" w:rsidP="00802C70">
            <w:pPr>
              <w:pStyle w:val="ListParagraph"/>
              <w:numPr>
                <w:ilvl w:val="0"/>
                <w:numId w:val="4"/>
              </w:numPr>
              <w:rPr>
                <w:rFonts w:ascii="Calibri" w:hAnsi="Calibri"/>
                <w:szCs w:val="22"/>
              </w:rPr>
            </w:pPr>
            <w:r w:rsidRPr="00802C70">
              <w:rPr>
                <w:rFonts w:ascii="Calibri" w:hAnsi="Calibri"/>
                <w:szCs w:val="22"/>
              </w:rPr>
              <w:t>Have regard to public safety and secured by design principles.</w:t>
            </w:r>
          </w:p>
          <w:p w14:paraId="6638FBFD" w14:textId="77777777" w:rsidR="00ED00B7" w:rsidRDefault="00802C70" w:rsidP="00802C70">
            <w:pPr>
              <w:pStyle w:val="ListParagraph"/>
              <w:numPr>
                <w:ilvl w:val="0"/>
                <w:numId w:val="4"/>
              </w:numPr>
              <w:rPr>
                <w:rFonts w:ascii="Calibri" w:hAnsi="Calibri"/>
                <w:szCs w:val="22"/>
              </w:rPr>
            </w:pPr>
            <w:r w:rsidRPr="00802C70">
              <w:rPr>
                <w:rFonts w:ascii="Calibri" w:hAnsi="Calibri"/>
                <w:szCs w:val="22"/>
              </w:rPr>
              <w:t>Consider air quality and mitigate adverse impacts where possible.</w:t>
            </w:r>
          </w:p>
          <w:p w14:paraId="34F54569" w14:textId="77777777" w:rsidR="00802C70" w:rsidRDefault="00802C70" w:rsidP="00802C70">
            <w:pPr>
              <w:rPr>
                <w:rFonts w:ascii="Calibri" w:hAnsi="Calibri"/>
                <w:szCs w:val="22"/>
              </w:rPr>
            </w:pPr>
          </w:p>
          <w:p w14:paraId="28B99D5B" w14:textId="77777777" w:rsidR="00802C70" w:rsidRDefault="00802C70" w:rsidP="00802C70">
            <w:pPr>
              <w:rPr>
                <w:rFonts w:ascii="Calibri" w:hAnsi="Calibri"/>
                <w:szCs w:val="22"/>
              </w:rPr>
            </w:pPr>
            <w:r>
              <w:rPr>
                <w:rFonts w:ascii="Calibri" w:hAnsi="Calibri"/>
                <w:szCs w:val="22"/>
              </w:rPr>
              <w:t>In this sense the proposal is considered to have a negligible impact on residential amenity. There is no additional projection along the common boundary with 3 Holly Grove</w:t>
            </w:r>
            <w:r w:rsidR="00691359">
              <w:rPr>
                <w:rFonts w:ascii="Calibri" w:hAnsi="Calibri"/>
                <w:szCs w:val="22"/>
              </w:rPr>
              <w:t xml:space="preserve"> and as such would not form a dominant or overbearing addition in that respect. Whilst there may be a minor loss of sunlight to 3 Poplar Drive by way of the two-storey extension, this is not likely to be significant or unacceptable and is only likely to occur in the evening hours of the summer months. As such this deemed acceptable. </w:t>
            </w:r>
          </w:p>
          <w:p w14:paraId="06A80811" w14:textId="77777777" w:rsidR="00691359" w:rsidRDefault="00691359" w:rsidP="00802C70">
            <w:pPr>
              <w:rPr>
                <w:rFonts w:ascii="Calibri" w:hAnsi="Calibri"/>
                <w:szCs w:val="22"/>
              </w:rPr>
            </w:pPr>
          </w:p>
          <w:p w14:paraId="1128B0E1" w14:textId="53E05B06" w:rsidR="00691359" w:rsidRDefault="00691359" w:rsidP="00802C70">
            <w:pPr>
              <w:rPr>
                <w:rFonts w:ascii="Calibri" w:hAnsi="Calibri"/>
                <w:szCs w:val="22"/>
              </w:rPr>
            </w:pPr>
            <w:r>
              <w:rPr>
                <w:rFonts w:ascii="Calibri" w:hAnsi="Calibri"/>
                <w:szCs w:val="22"/>
              </w:rPr>
              <w:t xml:space="preserve">In </w:t>
            </w:r>
            <w:r w:rsidR="00241403">
              <w:rPr>
                <w:rFonts w:ascii="Calibri" w:hAnsi="Calibri"/>
                <w:szCs w:val="22"/>
              </w:rPr>
              <w:t>addition,</w:t>
            </w:r>
            <w:r>
              <w:rPr>
                <w:rFonts w:ascii="Calibri" w:hAnsi="Calibri"/>
                <w:szCs w:val="22"/>
              </w:rPr>
              <w:t xml:space="preserve"> there is no proposed intrusive fenestration and </w:t>
            </w:r>
            <w:r w:rsidR="00241403">
              <w:rPr>
                <w:rFonts w:ascii="Calibri" w:hAnsi="Calibri"/>
                <w:szCs w:val="22"/>
              </w:rPr>
              <w:t>therefore</w:t>
            </w:r>
            <w:r>
              <w:rPr>
                <w:rFonts w:ascii="Calibri" w:hAnsi="Calibri"/>
                <w:szCs w:val="22"/>
              </w:rPr>
              <w:t xml:space="preserve"> no risk of a loss of privacy or overlooking, nor will the proposal result in an unacceptable loss of outlook. </w:t>
            </w:r>
            <w:r w:rsidR="00241403">
              <w:rPr>
                <w:rFonts w:ascii="Calibri" w:hAnsi="Calibri"/>
                <w:szCs w:val="22"/>
              </w:rPr>
              <w:t xml:space="preserve">The </w:t>
            </w:r>
            <w:r>
              <w:rPr>
                <w:rFonts w:ascii="Calibri" w:hAnsi="Calibri"/>
                <w:szCs w:val="22"/>
              </w:rPr>
              <w:t xml:space="preserve">proposal is considered acceptable with regard to DMG 1 (Amenity). </w:t>
            </w:r>
          </w:p>
          <w:p w14:paraId="0DB485A3" w14:textId="4C73CA67" w:rsidR="00691359" w:rsidRPr="00802C70" w:rsidRDefault="00691359" w:rsidP="00802C70">
            <w:pPr>
              <w:rPr>
                <w:rFonts w:ascii="Calibri" w:hAnsi="Calibri"/>
                <w:szCs w:val="22"/>
              </w:rPr>
            </w:pPr>
          </w:p>
        </w:tc>
      </w:tr>
      <w:tr w:rsidR="00C0704D" w:rsidRPr="00D2449B" w14:paraId="6754C065"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65B7C077" w14:textId="77777777" w:rsidR="00C0704D" w:rsidRDefault="00691359" w:rsidP="005E1C6C">
            <w:pPr>
              <w:contextualSpacing/>
              <w:rPr>
                <w:rFonts w:ascii="Calibri" w:hAnsi="Calibri"/>
                <w:bCs/>
                <w:szCs w:val="22"/>
              </w:rPr>
            </w:pPr>
            <w:r w:rsidRPr="00691359">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4B31A052" w14:textId="77777777" w:rsidR="00691359" w:rsidRDefault="00691359" w:rsidP="005E1C6C">
            <w:pPr>
              <w:contextualSpacing/>
              <w:rPr>
                <w:rFonts w:ascii="Calibri" w:hAnsi="Calibri"/>
                <w:bCs/>
                <w:szCs w:val="22"/>
              </w:rPr>
            </w:pPr>
          </w:p>
          <w:p w14:paraId="3F1C2B20" w14:textId="77777777" w:rsidR="00691359" w:rsidRDefault="00691359" w:rsidP="005E1C6C">
            <w:pPr>
              <w:contextualSpacing/>
              <w:rPr>
                <w:rFonts w:ascii="Calibri" w:hAnsi="Calibri"/>
                <w:bCs/>
                <w:szCs w:val="22"/>
              </w:rPr>
            </w:pPr>
            <w:r>
              <w:rPr>
                <w:rFonts w:ascii="Calibri" w:hAnsi="Calibri"/>
                <w:bCs/>
                <w:szCs w:val="22"/>
              </w:rPr>
              <w:t xml:space="preserve">In this sense it is important to note that, whilst the existing </w:t>
            </w:r>
            <w:proofErr w:type="spellStart"/>
            <w:r>
              <w:rPr>
                <w:rFonts w:ascii="Calibri" w:hAnsi="Calibri"/>
                <w:bCs/>
                <w:szCs w:val="22"/>
              </w:rPr>
              <w:t>streetscene</w:t>
            </w:r>
            <w:proofErr w:type="spellEnd"/>
            <w:r>
              <w:rPr>
                <w:rFonts w:ascii="Calibri" w:hAnsi="Calibri"/>
                <w:bCs/>
                <w:szCs w:val="22"/>
              </w:rPr>
              <w:t xml:space="preserve"> is varied in character and vernacular with no real common themes or features of note, the dwelling is situated on a prominent corner plot and as such </w:t>
            </w:r>
            <w:r w:rsidR="00E02312">
              <w:rPr>
                <w:rFonts w:ascii="Calibri" w:hAnsi="Calibri"/>
                <w:bCs/>
                <w:szCs w:val="22"/>
              </w:rPr>
              <w:t xml:space="preserve">incorporates two primary elevations. </w:t>
            </w:r>
          </w:p>
          <w:p w14:paraId="7F2700C6" w14:textId="77777777" w:rsidR="00E02312" w:rsidRDefault="00E02312" w:rsidP="005E1C6C">
            <w:pPr>
              <w:contextualSpacing/>
              <w:rPr>
                <w:rFonts w:ascii="Calibri" w:hAnsi="Calibri"/>
                <w:bCs/>
                <w:szCs w:val="22"/>
              </w:rPr>
            </w:pPr>
          </w:p>
          <w:p w14:paraId="195E6742" w14:textId="77777777" w:rsidR="00E02312" w:rsidRDefault="00E02312" w:rsidP="005E1C6C">
            <w:pPr>
              <w:contextualSpacing/>
              <w:rPr>
                <w:rFonts w:ascii="Calibri" w:hAnsi="Calibri"/>
                <w:bCs/>
                <w:szCs w:val="22"/>
              </w:rPr>
            </w:pPr>
            <w:r>
              <w:rPr>
                <w:rFonts w:ascii="Calibri" w:hAnsi="Calibri"/>
                <w:bCs/>
                <w:szCs w:val="22"/>
              </w:rPr>
              <w:lastRenderedPageBreak/>
              <w:t xml:space="preserve">As such, it is considered that the two-storey side and front extension would not be subordinate to the existing dwelling by way of its significant additional massing to both of these elevations, as well as substantial additional built roof-form. The resulting dwelling would dominate the </w:t>
            </w:r>
            <w:proofErr w:type="spellStart"/>
            <w:r>
              <w:rPr>
                <w:rFonts w:ascii="Calibri" w:hAnsi="Calibri"/>
                <w:bCs/>
                <w:szCs w:val="22"/>
              </w:rPr>
              <w:t>streetscene</w:t>
            </w:r>
            <w:proofErr w:type="spellEnd"/>
            <w:r>
              <w:rPr>
                <w:rFonts w:ascii="Calibri" w:hAnsi="Calibri"/>
                <w:bCs/>
                <w:szCs w:val="22"/>
              </w:rPr>
              <w:t xml:space="preserve"> with particular reverence given to the outlook from both Holly Grove and Poplar Drive. </w:t>
            </w:r>
          </w:p>
          <w:p w14:paraId="47873888" w14:textId="77777777" w:rsidR="00E02312" w:rsidRDefault="00E02312" w:rsidP="005E1C6C">
            <w:pPr>
              <w:contextualSpacing/>
              <w:rPr>
                <w:rFonts w:ascii="Calibri" w:hAnsi="Calibri"/>
                <w:bCs/>
                <w:szCs w:val="22"/>
              </w:rPr>
            </w:pPr>
          </w:p>
          <w:p w14:paraId="3014AC90" w14:textId="77777777" w:rsidR="00E02312" w:rsidRDefault="00E02312" w:rsidP="005E1C6C">
            <w:pPr>
              <w:contextualSpacing/>
              <w:rPr>
                <w:rFonts w:ascii="Calibri" w:hAnsi="Calibri"/>
                <w:bCs/>
                <w:szCs w:val="22"/>
              </w:rPr>
            </w:pPr>
            <w:r>
              <w:rPr>
                <w:rFonts w:ascii="Calibri" w:hAnsi="Calibri"/>
                <w:bCs/>
                <w:szCs w:val="22"/>
              </w:rPr>
              <w:t xml:space="preserve">In addition, the single-storey rear extension would be immediately visible from the public highway of Poplar Drive and incorporates an unsightly and </w:t>
            </w:r>
            <w:r w:rsidR="00241403">
              <w:rPr>
                <w:rFonts w:ascii="Calibri" w:hAnsi="Calibri"/>
                <w:bCs/>
                <w:szCs w:val="22"/>
              </w:rPr>
              <w:t>incongruous</w:t>
            </w:r>
            <w:r>
              <w:rPr>
                <w:rFonts w:ascii="Calibri" w:hAnsi="Calibri"/>
                <w:bCs/>
                <w:szCs w:val="22"/>
              </w:rPr>
              <w:t xml:space="preserve"> flat roof inclusive of sun lantern. It is noted that there is little precedence for this roof-form facing onto a primary elevation in the immediate area and as such, taking into account the two-storey side and front extension it is considered that a proposal of this nature would result in an incongruous and unsympathetic addition that would be harmful to the character, setting and visual amenities of the existing residential dwellings and fail to respond positively to or enhance its immediate context</w:t>
            </w:r>
            <w:r w:rsidR="00241403">
              <w:rPr>
                <w:rFonts w:ascii="Calibri" w:hAnsi="Calibri"/>
                <w:bCs/>
                <w:szCs w:val="22"/>
              </w:rPr>
              <w:t xml:space="preserve">. Given the above the proposal is not considered compliant with </w:t>
            </w:r>
            <w:r w:rsidR="00241403" w:rsidRPr="00241403">
              <w:rPr>
                <w:rFonts w:ascii="Calibri" w:hAnsi="Calibri"/>
                <w:bCs/>
                <w:szCs w:val="22"/>
              </w:rPr>
              <w:t>CS Policies DMG1 and DMH5, Policy LNDP3 of the Longridge Neighbourhood Plan and the design objectives found within the NPPF.</w:t>
            </w:r>
          </w:p>
          <w:p w14:paraId="10A3648A" w14:textId="42898088" w:rsidR="00241403" w:rsidRPr="00691359" w:rsidRDefault="00241403" w:rsidP="005E1C6C">
            <w:pPr>
              <w:contextualSpacing/>
              <w:rPr>
                <w:rFonts w:ascii="Calibri" w:hAnsi="Calibri"/>
                <w:bCs/>
                <w:szCs w:val="22"/>
              </w:rPr>
            </w:pPr>
          </w:p>
        </w:tc>
      </w:tr>
      <w:tr w:rsidR="00824DB6" w:rsidRPr="00D2449B" w14:paraId="673C0DDB"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7AD6ECE" w14:textId="77777777" w:rsidR="00824DB6" w:rsidRDefault="00241403" w:rsidP="00EA09F9">
            <w:pPr>
              <w:pStyle w:val="Header"/>
              <w:tabs>
                <w:tab w:val="clear" w:pos="4153"/>
                <w:tab w:val="clear" w:pos="8306"/>
              </w:tabs>
              <w:contextualSpacing/>
              <w:jc w:val="both"/>
              <w:rPr>
                <w:rFonts w:ascii="Calibri" w:hAnsi="Calibri"/>
                <w:bCs/>
                <w:szCs w:val="22"/>
              </w:rPr>
            </w:pPr>
            <w:r w:rsidRPr="00241403">
              <w:rPr>
                <w:rFonts w:ascii="Calibri" w:hAnsi="Calibri"/>
                <w:bCs/>
                <w:szCs w:val="22"/>
              </w:rPr>
              <w:t>The proposal does not seek to alter existing access arrangements, nor does it seek to alter the level of existing parking.</w:t>
            </w:r>
            <w:r>
              <w:rPr>
                <w:rFonts w:ascii="Calibri" w:hAnsi="Calibri"/>
                <w:bCs/>
                <w:szCs w:val="22"/>
              </w:rPr>
              <w:t xml:space="preserve"> Following consultations with LCC Highways, if the proposal was to be recommended for approval it would be necessary to indicate on an amended plan the provision of 1no. additional space, as a result of the proposal providing an additional bedroom. It is considered that this could be achieved given the driveway space available at the front of the dwelling. As such no further assessment is required and the proposal is considered compliant with DMG1 (Access). </w:t>
            </w:r>
          </w:p>
          <w:p w14:paraId="337694ED" w14:textId="67497229" w:rsidR="00241403" w:rsidRPr="00241403" w:rsidRDefault="00241403" w:rsidP="00EA09F9">
            <w:pPr>
              <w:pStyle w:val="Header"/>
              <w:tabs>
                <w:tab w:val="clear" w:pos="4153"/>
                <w:tab w:val="clear" w:pos="8306"/>
              </w:tabs>
              <w:contextualSpacing/>
              <w:jc w:val="both"/>
              <w:rPr>
                <w:rFonts w:ascii="Calibri" w:hAnsi="Calibri"/>
                <w:bCs/>
                <w:szCs w:val="22"/>
              </w:rPr>
            </w:pPr>
          </w:p>
        </w:tc>
      </w:tr>
      <w:tr w:rsidR="00C0704D" w:rsidRPr="00D2449B" w14:paraId="6D877C31"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AE8E797" w14:textId="77777777" w:rsidR="00C0704D" w:rsidRDefault="00241403" w:rsidP="00E46243">
            <w:pPr>
              <w:contextualSpacing/>
              <w:rPr>
                <w:rFonts w:ascii="Calibri" w:hAnsi="Calibri"/>
                <w:bCs/>
                <w:szCs w:val="22"/>
              </w:rPr>
            </w:pPr>
            <w:r w:rsidRPr="00241403">
              <w:rPr>
                <w:rFonts w:ascii="Calibri" w:hAnsi="Calibri"/>
                <w:bCs/>
                <w:szCs w:val="22"/>
              </w:rPr>
              <w:t>A Bat Survey was submitted as part of the application, concluding that the proposed development does not require an EPS License to proceed lawfully. Upon review, Officers are considered to be in agreement with this report. As such no further assessment is required.</w:t>
            </w:r>
          </w:p>
          <w:p w14:paraId="6337C4D8" w14:textId="2E799F81" w:rsidR="00241403" w:rsidRPr="00241403" w:rsidRDefault="00241403" w:rsidP="00E46243">
            <w:pPr>
              <w:contextualSpacing/>
              <w:rPr>
                <w:rFonts w:ascii="Calibri" w:hAnsi="Calibri"/>
                <w:bCs/>
                <w:szCs w:val="22"/>
              </w:rPr>
            </w:pPr>
          </w:p>
        </w:tc>
      </w:tr>
      <w:tr w:rsidR="00C0704D" w:rsidRPr="00D2449B" w14:paraId="0A9D02B4"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802C70">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802C70">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802C70">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35A2CAE1" w:rsidR="009F4443" w:rsidRPr="009F4443" w:rsidRDefault="00241403" w:rsidP="00CD2CEF">
            <w:pPr>
              <w:rPr>
                <w:rFonts w:asciiTheme="minorHAnsi" w:hAnsiTheme="minorHAnsi"/>
                <w:bCs/>
                <w:szCs w:val="22"/>
              </w:rPr>
            </w:pPr>
            <w:r w:rsidRPr="00241403">
              <w:rPr>
                <w:rFonts w:asciiTheme="minorHAnsi" w:hAnsiTheme="minorHAnsi"/>
                <w:bCs/>
                <w:szCs w:val="22"/>
              </w:rPr>
              <w:t>The proposal, by virtue of its design, size</w:t>
            </w:r>
            <w:r>
              <w:rPr>
                <w:rFonts w:asciiTheme="minorHAnsi" w:hAnsiTheme="minorHAnsi"/>
                <w:bCs/>
                <w:szCs w:val="22"/>
              </w:rPr>
              <w:t xml:space="preserve"> and</w:t>
            </w:r>
            <w:r w:rsidRPr="00241403">
              <w:rPr>
                <w:rFonts w:asciiTheme="minorHAnsi" w:hAnsiTheme="minorHAnsi"/>
                <w:bCs/>
                <w:szCs w:val="22"/>
              </w:rPr>
              <w:t xml:space="preserve"> scale would result in bulky, unsympathetic and disproportionate additions that would be harmful to the character, setting and visual amenities of the existing residential dwellings and fails to respond positively to or enhance the immediate context. As such the proposal is considered to be in direct conflict with Policies DMG1 and DMH5 of the </w:t>
            </w:r>
            <w:proofErr w:type="spellStart"/>
            <w:r w:rsidRPr="00241403">
              <w:rPr>
                <w:rFonts w:asciiTheme="minorHAnsi" w:hAnsiTheme="minorHAnsi"/>
                <w:bCs/>
                <w:szCs w:val="22"/>
              </w:rPr>
              <w:t>Ribble</w:t>
            </w:r>
            <w:proofErr w:type="spellEnd"/>
            <w:r w:rsidRPr="00241403">
              <w:rPr>
                <w:rFonts w:asciiTheme="minorHAnsi" w:hAnsiTheme="minorHAnsi"/>
                <w:bCs/>
                <w:szCs w:val="22"/>
              </w:rPr>
              <w:t xml:space="preserve"> Valley Core Strategy, Policy LNDP3 of the Longridge Neighbourhood Plan and Paragraph 130 of the NPPF.</w:t>
            </w:r>
          </w:p>
        </w:tc>
      </w:tr>
    </w:tbl>
    <w:p w14:paraId="513FB541" w14:textId="77777777" w:rsidR="0031197A" w:rsidRPr="00D2449B" w:rsidRDefault="006425E2">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A2D"/>
    <w:multiLevelType w:val="hybridMultilevel"/>
    <w:tmpl w:val="0514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8B5694"/>
    <w:multiLevelType w:val="hybridMultilevel"/>
    <w:tmpl w:val="20D4D6E8"/>
    <w:lvl w:ilvl="0" w:tplc="DFB49A1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D2B21"/>
    <w:multiLevelType w:val="hybridMultilevel"/>
    <w:tmpl w:val="77AECF14"/>
    <w:lvl w:ilvl="0" w:tplc="E96216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487598555">
    <w:abstractNumId w:val="1"/>
  </w:num>
  <w:num w:numId="3" w16cid:durableId="778181811">
    <w:abstractNumId w:val="0"/>
  </w:num>
  <w:num w:numId="4" w16cid:durableId="93285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2CE0"/>
    <w:rsid w:val="000B5CB5"/>
    <w:rsid w:val="00130035"/>
    <w:rsid w:val="001D4F7A"/>
    <w:rsid w:val="00241403"/>
    <w:rsid w:val="00250879"/>
    <w:rsid w:val="002857FB"/>
    <w:rsid w:val="0029334A"/>
    <w:rsid w:val="002A01CF"/>
    <w:rsid w:val="002C6277"/>
    <w:rsid w:val="002F2580"/>
    <w:rsid w:val="00321B6E"/>
    <w:rsid w:val="00440CB6"/>
    <w:rsid w:val="0046548C"/>
    <w:rsid w:val="004947BB"/>
    <w:rsid w:val="004A5EA9"/>
    <w:rsid w:val="004C2434"/>
    <w:rsid w:val="004F0649"/>
    <w:rsid w:val="00510FA2"/>
    <w:rsid w:val="00556ECD"/>
    <w:rsid w:val="005E1C6C"/>
    <w:rsid w:val="005E65DF"/>
    <w:rsid w:val="006425E2"/>
    <w:rsid w:val="00691359"/>
    <w:rsid w:val="00692B60"/>
    <w:rsid w:val="006A71AD"/>
    <w:rsid w:val="006C2BFA"/>
    <w:rsid w:val="006F6849"/>
    <w:rsid w:val="0070054B"/>
    <w:rsid w:val="00773A66"/>
    <w:rsid w:val="00776AE2"/>
    <w:rsid w:val="007C791C"/>
    <w:rsid w:val="007D7DF4"/>
    <w:rsid w:val="007E0D23"/>
    <w:rsid w:val="007F16D6"/>
    <w:rsid w:val="00802C70"/>
    <w:rsid w:val="00811771"/>
    <w:rsid w:val="00824DB6"/>
    <w:rsid w:val="00837F4F"/>
    <w:rsid w:val="008542DE"/>
    <w:rsid w:val="008A28C8"/>
    <w:rsid w:val="009F4443"/>
    <w:rsid w:val="00A059A4"/>
    <w:rsid w:val="00A42E82"/>
    <w:rsid w:val="00A579BB"/>
    <w:rsid w:val="00A63D55"/>
    <w:rsid w:val="00A95D89"/>
    <w:rsid w:val="00B93EB5"/>
    <w:rsid w:val="00BD3F03"/>
    <w:rsid w:val="00C0704D"/>
    <w:rsid w:val="00C25722"/>
    <w:rsid w:val="00C618DB"/>
    <w:rsid w:val="00D11007"/>
    <w:rsid w:val="00D17EB1"/>
    <w:rsid w:val="00D2449B"/>
    <w:rsid w:val="00D54E67"/>
    <w:rsid w:val="00DD62F6"/>
    <w:rsid w:val="00E02312"/>
    <w:rsid w:val="00E46243"/>
    <w:rsid w:val="00E66534"/>
    <w:rsid w:val="00E72F6C"/>
    <w:rsid w:val="00E963C6"/>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2023-04-18T11:26:00Z</cp:lastPrinted>
  <dcterms:created xsi:type="dcterms:W3CDTF">2023-04-18T11:28:00Z</dcterms:created>
  <dcterms:modified xsi:type="dcterms:W3CDTF">2023-04-18T11:28:00Z</dcterms:modified>
</cp:coreProperties>
</file>