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4D7A1" w14:textId="77777777" w:rsidR="005522D3" w:rsidRDefault="005522D3">
      <w:pPr>
        <w:pStyle w:val="PLANNING"/>
      </w:pPr>
    </w:p>
    <w:p w14:paraId="0C9100F3" w14:textId="28619007" w:rsidR="00441735" w:rsidRDefault="0094031E" w:rsidP="000C3E7C">
      <w:pPr>
        <w:pStyle w:val="PLANNING"/>
        <w:jc w:val="center"/>
      </w:pPr>
      <w:r>
        <w:rPr>
          <w:noProof/>
        </w:rPr>
        <w:drawing>
          <wp:inline distT="0" distB="0" distL="0" distR="0" wp14:anchorId="6B9D4F8F" wp14:editId="3C37165C">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31DE2C5E" w14:textId="77777777" w:rsidR="00441735" w:rsidRDefault="00441735">
      <w:pPr>
        <w:pStyle w:val="PLANNING"/>
      </w:pPr>
    </w:p>
    <w:p w14:paraId="3358CD91"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70D30F16"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6BF6AFE8"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71C74D4A"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05ED1363"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730D680C" w14:textId="77777777" w:rsidR="000C3E7C" w:rsidRDefault="000C3E7C" w:rsidP="000C3E7C">
      <w:pPr>
        <w:jc w:val="right"/>
        <w:rPr>
          <w:rFonts w:ascii="Calibri" w:hAnsi="Calibri"/>
          <w:noProof/>
          <w:sz w:val="18"/>
        </w:rPr>
      </w:pPr>
    </w:p>
    <w:p w14:paraId="645D7F35" w14:textId="77777777" w:rsidR="000C3E7C" w:rsidRDefault="000C3E7C" w:rsidP="000C3E7C">
      <w:pPr>
        <w:jc w:val="right"/>
        <w:rPr>
          <w:rFonts w:ascii="Calibri" w:hAnsi="Calibri"/>
          <w:noProof/>
          <w:sz w:val="18"/>
        </w:rPr>
      </w:pPr>
    </w:p>
    <w:p w14:paraId="71E5EEFD" w14:textId="77777777" w:rsidR="000C3E7C" w:rsidRDefault="000C3E7C" w:rsidP="000C3E7C">
      <w:pPr>
        <w:jc w:val="right"/>
        <w:rPr>
          <w:rFonts w:ascii="Calibri" w:hAnsi="Calibri"/>
          <w:noProof/>
          <w:sz w:val="18"/>
        </w:rPr>
      </w:pPr>
    </w:p>
    <w:p w14:paraId="1D0E5ED7" w14:textId="77777777" w:rsidR="000C3E7C" w:rsidRDefault="000C3E7C" w:rsidP="000C3E7C">
      <w:pPr>
        <w:jc w:val="right"/>
        <w:rPr>
          <w:rFonts w:ascii="Calibri" w:hAnsi="Calibri"/>
          <w:noProof/>
          <w:sz w:val="18"/>
        </w:rPr>
      </w:pPr>
    </w:p>
    <w:p w14:paraId="4B592C8E" w14:textId="77777777" w:rsidR="000C3E7C" w:rsidRDefault="000C3E7C" w:rsidP="000C3E7C">
      <w:pPr>
        <w:jc w:val="right"/>
        <w:rPr>
          <w:rFonts w:ascii="Calibri" w:hAnsi="Calibri"/>
          <w:noProof/>
          <w:sz w:val="18"/>
        </w:rPr>
      </w:pPr>
    </w:p>
    <w:p w14:paraId="370F243F" w14:textId="2954820C" w:rsidR="000C3E7C" w:rsidRPr="00894ED2" w:rsidRDefault="000C3E7C" w:rsidP="000C3E7C">
      <w:pPr>
        <w:rPr>
          <w:rFonts w:ascii="Calibri" w:hAnsi="Calibri"/>
          <w:noProof/>
        </w:rPr>
      </w:pPr>
      <w:r w:rsidRPr="00894ED2">
        <w:rPr>
          <w:rFonts w:ascii="Calibri" w:hAnsi="Calibri"/>
          <w:noProof/>
        </w:rPr>
        <w:t xml:space="preserve">My reference: </w:t>
      </w:r>
      <w:r w:rsidR="00635A26">
        <w:rPr>
          <w:rFonts w:ascii="Calibri" w:hAnsi="Calibri"/>
          <w:noProof/>
        </w:rPr>
        <w:t>3/2022/1003</w:t>
      </w:r>
    </w:p>
    <w:p w14:paraId="5AEE4480"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01C6C483" w14:textId="77777777" w:rsidR="000C3E7C" w:rsidRPr="00894ED2" w:rsidRDefault="00BB5956" w:rsidP="000C3E7C">
      <w:pPr>
        <w:rPr>
          <w:rFonts w:ascii="Calibri" w:hAnsi="Calibri"/>
          <w:noProof/>
        </w:rPr>
      </w:pPr>
      <w:r>
        <w:rPr>
          <w:rFonts w:ascii="Calibri" w:hAnsi="Calibri"/>
          <w:noProof/>
        </w:rPr>
        <w:t>www.ribblevalley.gov.uk</w:t>
      </w:r>
    </w:p>
    <w:p w14:paraId="416D792E"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1FCEBE45" w14:textId="784D9024"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A71B25">
        <w:rPr>
          <w:rFonts w:ascii="Calibri" w:hAnsi="Calibri"/>
          <w:noProof/>
        </w:rPr>
        <w:t>13 July 2023</w:t>
      </w:r>
      <w:r w:rsidRPr="00894ED2">
        <w:rPr>
          <w:rFonts w:ascii="Calibri" w:hAnsi="Calibri"/>
          <w:noProof/>
        </w:rPr>
        <w:fldChar w:fldCharType="end"/>
      </w:r>
    </w:p>
    <w:p w14:paraId="59661E67" w14:textId="77777777" w:rsidR="000C3E7C" w:rsidRDefault="000C3E7C" w:rsidP="000C3E7C">
      <w:pPr>
        <w:rPr>
          <w:rFonts w:ascii="Arial" w:hAnsi="Arial"/>
          <w:noProof/>
          <w:sz w:val="16"/>
        </w:rPr>
      </w:pPr>
    </w:p>
    <w:p w14:paraId="3DA93E3E" w14:textId="77777777" w:rsidR="00441735" w:rsidRDefault="00441735">
      <w:pPr>
        <w:pStyle w:val="PLANNING"/>
      </w:pPr>
    </w:p>
    <w:p w14:paraId="20C5AEC9" w14:textId="77777777" w:rsidR="00441735" w:rsidRDefault="00441735">
      <w:pPr>
        <w:pStyle w:val="PLANNING"/>
      </w:pPr>
    </w:p>
    <w:p w14:paraId="5ACF1BD3" w14:textId="1E89B2E6" w:rsidR="000C3E7C" w:rsidRDefault="000C3E7C" w:rsidP="000C3E7C">
      <w:pPr>
        <w:rPr>
          <w:rFonts w:ascii="Calibri" w:hAnsi="Calibri" w:cs="Calibri"/>
          <w:color w:val="000000"/>
        </w:rPr>
      </w:pPr>
      <w:r w:rsidRPr="00344823">
        <w:rPr>
          <w:rFonts w:ascii="Calibri" w:hAnsi="Calibri" w:cs="Calibri"/>
          <w:color w:val="000000"/>
        </w:rPr>
        <w:t xml:space="preserve">Location: </w:t>
      </w:r>
      <w:r w:rsidR="00635A26">
        <w:rPr>
          <w:rFonts w:ascii="Calibri" w:hAnsi="Calibri"/>
          <w:sz w:val="24"/>
          <w:szCs w:val="24"/>
        </w:rPr>
        <w:t>Land at Neddy Lane Billington BB7 9LL</w:t>
      </w:r>
    </w:p>
    <w:p w14:paraId="566B6071" w14:textId="4EF3EFAD" w:rsidR="000C3E7C" w:rsidRPr="0094031E" w:rsidRDefault="000C3E7C" w:rsidP="000C3E7C">
      <w:pPr>
        <w:tabs>
          <w:tab w:val="left" w:pos="1665"/>
        </w:tabs>
        <w:rPr>
          <w:rFonts w:ascii="Calibri" w:hAnsi="Calibri" w:cs="Calibri"/>
          <w:color w:val="000000"/>
          <w:sz w:val="24"/>
          <w:szCs w:val="24"/>
        </w:rPr>
      </w:pPr>
      <w:r w:rsidRPr="00344823">
        <w:rPr>
          <w:rFonts w:ascii="Calibri" w:hAnsi="Calibri" w:cs="Calibri"/>
          <w:color w:val="000000"/>
        </w:rPr>
        <w:t xml:space="preserve">Proposal: </w:t>
      </w:r>
      <w:r w:rsidR="00635A26">
        <w:rPr>
          <w:rFonts w:ascii="Calibri" w:hAnsi="Calibri"/>
          <w:sz w:val="24"/>
          <w:szCs w:val="24"/>
        </w:rPr>
        <w:t>Discharge of Condition 21 (</w:t>
      </w:r>
      <w:r w:rsidR="00635A26" w:rsidRPr="0094031E">
        <w:rPr>
          <w:rFonts w:ascii="Calibri" w:hAnsi="Calibri"/>
          <w:sz w:val="24"/>
          <w:szCs w:val="24"/>
        </w:rPr>
        <w:t>Compensatory Storage) from planning permission 3/2021/0205.</w:t>
      </w:r>
    </w:p>
    <w:p w14:paraId="705FB361" w14:textId="77777777" w:rsidR="000C3E7C" w:rsidRPr="0094031E" w:rsidRDefault="000C3E7C" w:rsidP="000C3E7C">
      <w:pPr>
        <w:rPr>
          <w:rFonts w:ascii="Calibri" w:hAnsi="Calibri" w:cs="Calibri"/>
          <w:color w:val="000000"/>
          <w:sz w:val="24"/>
          <w:szCs w:val="24"/>
        </w:rPr>
      </w:pPr>
    </w:p>
    <w:p w14:paraId="22717266" w14:textId="3511F411" w:rsidR="000C3E7C" w:rsidRPr="0094031E" w:rsidRDefault="000C3E7C" w:rsidP="000C3E7C">
      <w:pPr>
        <w:rPr>
          <w:rFonts w:ascii="Calibri" w:hAnsi="Calibri" w:cs="Calibri"/>
          <w:color w:val="000000"/>
          <w:sz w:val="24"/>
          <w:szCs w:val="24"/>
        </w:rPr>
      </w:pPr>
      <w:r w:rsidRPr="0094031E">
        <w:rPr>
          <w:rFonts w:ascii="Calibri" w:hAnsi="Calibri" w:cs="Calibri"/>
          <w:color w:val="000000"/>
          <w:sz w:val="24"/>
          <w:szCs w:val="24"/>
        </w:rPr>
        <w:t xml:space="preserve">I write in response to your application to discharge the condition pursuant to planning approval </w:t>
      </w:r>
    </w:p>
    <w:p w14:paraId="753E64BB" w14:textId="77777777" w:rsidR="000C3E7C" w:rsidRPr="0094031E" w:rsidRDefault="000C3E7C" w:rsidP="000C3E7C">
      <w:pPr>
        <w:rPr>
          <w:rFonts w:ascii="Calibri" w:hAnsi="Calibri" w:cs="Calibri"/>
          <w:color w:val="000000"/>
          <w:sz w:val="24"/>
          <w:szCs w:val="24"/>
        </w:rPr>
      </w:pPr>
    </w:p>
    <w:tbl>
      <w:tblPr>
        <w:tblW w:w="0" w:type="auto"/>
        <w:tblInd w:w="43" w:type="dxa"/>
        <w:tblCellMar>
          <w:top w:w="29" w:type="dxa"/>
          <w:left w:w="43" w:type="dxa"/>
          <w:bottom w:w="29" w:type="dxa"/>
          <w:right w:w="43" w:type="dxa"/>
        </w:tblCellMar>
        <w:tblLook w:val="0000" w:firstRow="0" w:lastRow="0" w:firstColumn="0" w:lastColumn="0" w:noHBand="0" w:noVBand="0"/>
      </w:tblPr>
      <w:tblGrid>
        <w:gridCol w:w="9414"/>
      </w:tblGrid>
      <w:tr w:rsidR="005F71C3" w:rsidRPr="0094031E" w14:paraId="4663886E" w14:textId="77777777" w:rsidTr="00635A26">
        <w:trPr>
          <w:cantSplit/>
        </w:trPr>
        <w:tc>
          <w:tcPr>
            <w:tcW w:w="9414" w:type="dxa"/>
            <w:tcBorders>
              <w:left w:val="nil"/>
            </w:tcBorders>
          </w:tcPr>
          <w:p w14:paraId="253D4CD0" w14:textId="3D03CEA5" w:rsidR="005F71C3" w:rsidRPr="0094031E" w:rsidRDefault="00635A26">
            <w:pPr>
              <w:pStyle w:val="TableText"/>
              <w:rPr>
                <w:rFonts w:ascii="Calibri" w:hAnsi="Calibri"/>
                <w:sz w:val="24"/>
                <w:szCs w:val="24"/>
              </w:rPr>
            </w:pPr>
            <w:r w:rsidRPr="0094031E">
              <w:rPr>
                <w:rFonts w:ascii="Calibri" w:hAnsi="Calibri"/>
                <w:sz w:val="24"/>
                <w:szCs w:val="24"/>
              </w:rPr>
              <w:t xml:space="preserve">Condition 21 (Compensatory Storage) can be partially discharged </w:t>
            </w:r>
            <w:r w:rsidR="0094031E" w:rsidRPr="0094031E">
              <w:rPr>
                <w:rFonts w:ascii="Calibri" w:hAnsi="Calibri"/>
                <w:sz w:val="24"/>
                <w:szCs w:val="24"/>
              </w:rPr>
              <w:t>in so far as the submitted details of the compensatory storage arrangements (as outlined in the Technical Note prepared by Banners Gate Ltd, reference 20023/docs/civils/planning/discon/TN01 Rev A dated 31</w:t>
            </w:r>
            <w:r w:rsidR="0094031E" w:rsidRPr="0094031E">
              <w:rPr>
                <w:rFonts w:ascii="Calibri" w:hAnsi="Calibri"/>
                <w:sz w:val="24"/>
                <w:szCs w:val="24"/>
                <w:vertAlign w:val="superscript"/>
              </w:rPr>
              <w:t>st</w:t>
            </w:r>
            <w:r w:rsidR="0094031E" w:rsidRPr="0094031E">
              <w:rPr>
                <w:rFonts w:ascii="Calibri" w:hAnsi="Calibri"/>
                <w:sz w:val="24"/>
                <w:szCs w:val="24"/>
              </w:rPr>
              <w:t xml:space="preserve"> May 2023</w:t>
            </w:r>
            <w:r w:rsidR="00425E09">
              <w:rPr>
                <w:rFonts w:ascii="Calibri" w:hAnsi="Calibri"/>
                <w:sz w:val="24"/>
                <w:szCs w:val="24"/>
              </w:rPr>
              <w:t>)</w:t>
            </w:r>
            <w:r w:rsidR="0094031E" w:rsidRPr="0094031E">
              <w:rPr>
                <w:rFonts w:ascii="Calibri" w:hAnsi="Calibri"/>
                <w:sz w:val="24"/>
                <w:szCs w:val="24"/>
              </w:rPr>
              <w:t xml:space="preserve">, is acceptable to the </w:t>
            </w:r>
            <w:r w:rsidRPr="0094031E">
              <w:rPr>
                <w:rFonts w:ascii="Calibri" w:hAnsi="Calibri"/>
                <w:sz w:val="24"/>
                <w:szCs w:val="24"/>
              </w:rPr>
              <w:t>Local Planning Authority</w:t>
            </w:r>
            <w:r w:rsidR="0094031E" w:rsidRPr="0094031E">
              <w:rPr>
                <w:rFonts w:ascii="Calibri" w:hAnsi="Calibri"/>
                <w:sz w:val="24"/>
                <w:szCs w:val="24"/>
              </w:rPr>
              <w:t>. In order to satisfy the condition in full, the approved scheme shall be implemented prior to any development on site, and subsequently maintained in accordance with the approved details</w:t>
            </w:r>
            <w:r w:rsidRPr="0094031E">
              <w:rPr>
                <w:rFonts w:ascii="Calibri" w:hAnsi="Calibri"/>
                <w:sz w:val="24"/>
                <w:szCs w:val="24"/>
              </w:rPr>
              <w:t>.</w:t>
            </w:r>
          </w:p>
          <w:p w14:paraId="75AB442E" w14:textId="2AEBEE2D" w:rsidR="00635A26" w:rsidRPr="0094031E" w:rsidRDefault="00635A26">
            <w:pPr>
              <w:pStyle w:val="TableText"/>
              <w:rPr>
                <w:rFonts w:ascii="Calibri" w:hAnsi="Calibri"/>
                <w:sz w:val="24"/>
                <w:szCs w:val="24"/>
              </w:rPr>
            </w:pPr>
          </w:p>
        </w:tc>
      </w:tr>
      <w:tr w:rsidR="005F71C3" w:rsidRPr="00641E0F" w14:paraId="06023E87" w14:textId="77777777" w:rsidTr="00635A26">
        <w:trPr>
          <w:cantSplit/>
        </w:trPr>
        <w:tc>
          <w:tcPr>
            <w:tcW w:w="9414" w:type="dxa"/>
            <w:tcBorders>
              <w:left w:val="nil"/>
            </w:tcBorders>
          </w:tcPr>
          <w:p w14:paraId="7375B734" w14:textId="77777777" w:rsidR="005F71C3" w:rsidRPr="00641E0F" w:rsidRDefault="005F71C3">
            <w:pPr>
              <w:pStyle w:val="TableText"/>
              <w:rPr>
                <w:rFonts w:ascii="Calibri" w:hAnsi="Calibri"/>
                <w:sz w:val="24"/>
                <w:szCs w:val="24"/>
              </w:rPr>
            </w:pPr>
          </w:p>
        </w:tc>
      </w:tr>
      <w:tr w:rsidR="005F71C3" w:rsidRPr="00641E0F" w14:paraId="7D834680" w14:textId="77777777" w:rsidTr="00635A26">
        <w:trPr>
          <w:cantSplit/>
        </w:trPr>
        <w:tc>
          <w:tcPr>
            <w:tcW w:w="9414" w:type="dxa"/>
            <w:tcBorders>
              <w:left w:val="nil"/>
            </w:tcBorders>
          </w:tcPr>
          <w:p w14:paraId="1F25859B" w14:textId="77777777" w:rsidR="005F71C3" w:rsidRPr="00641E0F" w:rsidRDefault="005F71C3">
            <w:pPr>
              <w:pStyle w:val="TableText"/>
              <w:rPr>
                <w:rFonts w:ascii="Calibri" w:hAnsi="Calibri"/>
                <w:sz w:val="24"/>
                <w:szCs w:val="24"/>
              </w:rPr>
            </w:pPr>
          </w:p>
        </w:tc>
      </w:tr>
      <w:tr w:rsidR="005F71C3" w:rsidRPr="00641E0F" w14:paraId="6A86D880" w14:textId="77777777" w:rsidTr="00635A26">
        <w:trPr>
          <w:cantSplit/>
        </w:trPr>
        <w:tc>
          <w:tcPr>
            <w:tcW w:w="9414" w:type="dxa"/>
            <w:tcBorders>
              <w:left w:val="nil"/>
            </w:tcBorders>
          </w:tcPr>
          <w:p w14:paraId="3034895F" w14:textId="6E9954D7" w:rsidR="005F71C3" w:rsidRPr="00641E0F" w:rsidRDefault="000E01BC" w:rsidP="000E01BC">
            <w:pPr>
              <w:pStyle w:val="TableText"/>
              <w:jc w:val="right"/>
              <w:rPr>
                <w:rFonts w:ascii="Calibri" w:hAnsi="Calibri"/>
                <w:sz w:val="24"/>
                <w:szCs w:val="24"/>
              </w:rPr>
            </w:pPr>
            <w:r>
              <w:rPr>
                <w:rFonts w:ascii="Calibri" w:hAnsi="Calibri"/>
                <w:sz w:val="24"/>
                <w:szCs w:val="24"/>
              </w:rPr>
              <w:t>P.T.O.</w:t>
            </w:r>
          </w:p>
        </w:tc>
      </w:tr>
      <w:tr w:rsidR="005F71C3" w14:paraId="155A80B2" w14:textId="77777777" w:rsidTr="00635A26">
        <w:trPr>
          <w:cantSplit/>
        </w:trPr>
        <w:tc>
          <w:tcPr>
            <w:tcW w:w="9414" w:type="dxa"/>
            <w:tcBorders>
              <w:left w:val="nil"/>
            </w:tcBorders>
          </w:tcPr>
          <w:p w14:paraId="6D38D8A5" w14:textId="7DFCBC1C" w:rsidR="00635A26" w:rsidRDefault="0094031E">
            <w:pPr>
              <w:pStyle w:val="TableText"/>
              <w:rPr>
                <w:rFonts w:ascii="Calibri" w:hAnsi="Calibri"/>
                <w:sz w:val="24"/>
                <w:szCs w:val="24"/>
              </w:rPr>
            </w:pPr>
            <w:bookmarkStart w:id="0" w:name="Informatives_table"/>
            <w:bookmarkEnd w:id="0"/>
            <w:r>
              <w:rPr>
                <w:rFonts w:ascii="Calibri" w:hAnsi="Calibri"/>
                <w:sz w:val="24"/>
                <w:szCs w:val="24"/>
              </w:rPr>
              <w:lastRenderedPageBreak/>
              <w:t>Notes</w:t>
            </w:r>
          </w:p>
          <w:p w14:paraId="415019A9" w14:textId="77777777" w:rsidR="0094031E" w:rsidRPr="0094031E" w:rsidRDefault="0094031E">
            <w:pPr>
              <w:pStyle w:val="TableText"/>
              <w:rPr>
                <w:rFonts w:ascii="Calibri" w:hAnsi="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8990"/>
            </w:tblGrid>
            <w:tr w:rsidR="00635A26" w:rsidRPr="0094031E" w14:paraId="782DB5AC" w14:textId="77777777" w:rsidTr="000E01BC">
              <w:tc>
                <w:tcPr>
                  <w:tcW w:w="0" w:type="auto"/>
                  <w:shd w:val="clear" w:color="auto" w:fill="auto"/>
                </w:tcPr>
                <w:p w14:paraId="682F72FF" w14:textId="0B61F04D" w:rsidR="00635A26" w:rsidRPr="0094031E" w:rsidRDefault="00635A26">
                  <w:pPr>
                    <w:pStyle w:val="TableText"/>
                    <w:rPr>
                      <w:rFonts w:ascii="Calibri" w:hAnsi="Calibri"/>
                      <w:sz w:val="24"/>
                      <w:szCs w:val="24"/>
                    </w:rPr>
                  </w:pPr>
                  <w:r w:rsidRPr="0094031E">
                    <w:rPr>
                      <w:rFonts w:ascii="Calibri" w:hAnsi="Calibri"/>
                      <w:sz w:val="24"/>
                      <w:szCs w:val="24"/>
                    </w:rPr>
                    <w:t>1</w:t>
                  </w:r>
                </w:p>
              </w:tc>
              <w:tc>
                <w:tcPr>
                  <w:tcW w:w="0" w:type="auto"/>
                  <w:shd w:val="clear" w:color="auto" w:fill="auto"/>
                </w:tcPr>
                <w:p w14:paraId="7F5B99F1" w14:textId="219C9727" w:rsidR="00635A26" w:rsidRPr="0094031E" w:rsidRDefault="00635A26">
                  <w:pPr>
                    <w:pStyle w:val="TableText"/>
                    <w:rPr>
                      <w:rFonts w:ascii="Calibri" w:hAnsi="Calibri"/>
                      <w:sz w:val="24"/>
                      <w:szCs w:val="24"/>
                    </w:rPr>
                  </w:pPr>
                  <w:r w:rsidRPr="0094031E">
                    <w:rPr>
                      <w:rFonts w:ascii="Calibri" w:hAnsi="Calibri"/>
                      <w:sz w:val="24"/>
                      <w:szCs w:val="24"/>
                    </w:rPr>
                    <w:t xml:space="preserve">The applicant is aware that once built, a flood map challenge will be required to demonstrate that the site is located in Flood Zone 1, and that adequate compensatory storage has been supplied to offset displaced volumes due to the raising of the building platform.  The flood map challenge must be based on the most up to date hydraulic modelling available and the applicant is aware that </w:t>
                  </w:r>
                  <w:r w:rsidR="0094031E">
                    <w:rPr>
                      <w:rFonts w:ascii="Calibri" w:hAnsi="Calibri"/>
                      <w:sz w:val="24"/>
                      <w:szCs w:val="24"/>
                    </w:rPr>
                    <w:t>the Environment Agency</w:t>
                  </w:r>
                  <w:r w:rsidRPr="0094031E">
                    <w:rPr>
                      <w:rFonts w:ascii="Calibri" w:hAnsi="Calibri"/>
                      <w:sz w:val="24"/>
                      <w:szCs w:val="24"/>
                    </w:rPr>
                    <w:t xml:space="preserve"> </w:t>
                  </w:r>
                  <w:r w:rsidR="0094031E">
                    <w:rPr>
                      <w:rFonts w:ascii="Calibri" w:hAnsi="Calibri"/>
                      <w:sz w:val="24"/>
                      <w:szCs w:val="24"/>
                    </w:rPr>
                    <w:t xml:space="preserve">(EA) </w:t>
                  </w:r>
                  <w:r w:rsidRPr="0094031E">
                    <w:rPr>
                      <w:rFonts w:ascii="Calibri" w:hAnsi="Calibri"/>
                      <w:sz w:val="24"/>
                      <w:szCs w:val="24"/>
                    </w:rPr>
                    <w:t xml:space="preserve">are currently undertaking updated flood modelling for Billington.  </w:t>
                  </w:r>
                  <w:r w:rsidR="0094031E">
                    <w:rPr>
                      <w:rFonts w:ascii="Calibri" w:hAnsi="Calibri"/>
                      <w:sz w:val="24"/>
                      <w:szCs w:val="24"/>
                    </w:rPr>
                    <w:t>The EA</w:t>
                  </w:r>
                  <w:r w:rsidRPr="0094031E">
                    <w:rPr>
                      <w:rFonts w:ascii="Calibri" w:hAnsi="Calibri"/>
                      <w:sz w:val="24"/>
                      <w:szCs w:val="24"/>
                    </w:rPr>
                    <w:t xml:space="preserve"> have made the applicant aware that, if </w:t>
                  </w:r>
                  <w:r w:rsidR="0094031E">
                    <w:rPr>
                      <w:rFonts w:ascii="Calibri" w:hAnsi="Calibri"/>
                      <w:sz w:val="24"/>
                      <w:szCs w:val="24"/>
                    </w:rPr>
                    <w:t>their</w:t>
                  </w:r>
                  <w:r w:rsidRPr="0094031E">
                    <w:rPr>
                      <w:rFonts w:ascii="Calibri" w:hAnsi="Calibri"/>
                      <w:sz w:val="24"/>
                      <w:szCs w:val="24"/>
                    </w:rPr>
                    <w:t xml:space="preserve"> initial updated draft hydraulic modelling for Billington (due imminently) indicates an increase in flood depths, </w:t>
                  </w:r>
                  <w:r w:rsidR="0094031E">
                    <w:rPr>
                      <w:rFonts w:ascii="Calibri" w:hAnsi="Calibri"/>
                      <w:sz w:val="24"/>
                      <w:szCs w:val="24"/>
                    </w:rPr>
                    <w:t>the applicant</w:t>
                  </w:r>
                  <w:r w:rsidRPr="0094031E">
                    <w:rPr>
                      <w:rFonts w:ascii="Calibri" w:hAnsi="Calibri"/>
                      <w:sz w:val="24"/>
                      <w:szCs w:val="24"/>
                    </w:rPr>
                    <w:t xml:space="preserve"> may need to review their scheme.</w:t>
                  </w:r>
                </w:p>
              </w:tc>
            </w:tr>
          </w:tbl>
          <w:p w14:paraId="522CA248" w14:textId="23A0DC86" w:rsidR="005F71C3" w:rsidRPr="00641E0F" w:rsidRDefault="005F71C3">
            <w:pPr>
              <w:pStyle w:val="TableText"/>
              <w:rPr>
                <w:rFonts w:ascii="Calibri" w:hAnsi="Calibri"/>
                <w:b/>
                <w:bCs/>
                <w:sz w:val="24"/>
                <w:szCs w:val="24"/>
              </w:rPr>
            </w:pPr>
          </w:p>
        </w:tc>
      </w:tr>
      <w:tr w:rsidR="005F71C3" w14:paraId="670EA127" w14:textId="77777777" w:rsidTr="00635A26">
        <w:trPr>
          <w:cantSplit/>
        </w:trPr>
        <w:tc>
          <w:tcPr>
            <w:tcW w:w="9414" w:type="dxa"/>
            <w:tcBorders>
              <w:left w:val="nil"/>
            </w:tcBorders>
          </w:tcPr>
          <w:p w14:paraId="4C07ECA7" w14:textId="4B82B275" w:rsidR="005F71C3" w:rsidRPr="00641E0F" w:rsidRDefault="005F71C3">
            <w:pPr>
              <w:pStyle w:val="TableText"/>
              <w:rPr>
                <w:rFonts w:ascii="Calibri" w:hAnsi="Calibri"/>
                <w:sz w:val="24"/>
                <w:szCs w:val="24"/>
              </w:rPr>
            </w:pPr>
          </w:p>
        </w:tc>
      </w:tr>
      <w:tr w:rsidR="005F71C3" w14:paraId="5D1CC0BD" w14:textId="77777777" w:rsidTr="00635A26">
        <w:trPr>
          <w:cantSplit/>
        </w:trPr>
        <w:tc>
          <w:tcPr>
            <w:tcW w:w="9414" w:type="dxa"/>
            <w:tcBorders>
              <w:left w:val="nil"/>
            </w:tcBorders>
          </w:tcPr>
          <w:p w14:paraId="57C5DF84" w14:textId="77777777" w:rsidR="005F71C3" w:rsidRPr="00641E0F" w:rsidRDefault="005F71C3">
            <w:pPr>
              <w:pStyle w:val="TableText"/>
              <w:rPr>
                <w:rFonts w:ascii="Calibri" w:hAnsi="Calibri"/>
                <w:sz w:val="24"/>
                <w:szCs w:val="24"/>
              </w:rPr>
            </w:pPr>
          </w:p>
        </w:tc>
      </w:tr>
    </w:tbl>
    <w:p w14:paraId="331B012E" w14:textId="77777777" w:rsidR="00FE266A" w:rsidRDefault="00FE266A" w:rsidP="00FE266A">
      <w:pPr>
        <w:pStyle w:val="BodySingle"/>
        <w:rPr>
          <w:rFonts w:ascii="Brush Script MT" w:hAnsi="Brush Script MT"/>
          <w:sz w:val="44"/>
          <w:szCs w:val="44"/>
        </w:rPr>
      </w:pPr>
      <w:r>
        <w:rPr>
          <w:rFonts w:ascii="Brush Script MT" w:hAnsi="Brush Script MT"/>
          <w:sz w:val="44"/>
          <w:szCs w:val="44"/>
        </w:rPr>
        <w:t>Nicola Hopkins</w:t>
      </w:r>
    </w:p>
    <w:p w14:paraId="2E09187B" w14:textId="77777777" w:rsidR="00FE266A" w:rsidRDefault="00FE266A" w:rsidP="00FE266A">
      <w:pPr>
        <w:rPr>
          <w:rFonts w:ascii="Calibri" w:hAnsi="Calibri"/>
          <w:b/>
          <w:sz w:val="24"/>
          <w:szCs w:val="24"/>
        </w:rPr>
      </w:pPr>
      <w:r>
        <w:rPr>
          <w:rFonts w:ascii="Calibri" w:hAnsi="Calibri"/>
          <w:b/>
          <w:sz w:val="24"/>
          <w:szCs w:val="24"/>
        </w:rPr>
        <w:t>NICOLA HOPKINS</w:t>
      </w:r>
    </w:p>
    <w:p w14:paraId="2DFCE733" w14:textId="77777777" w:rsidR="00FE266A" w:rsidRDefault="00FE266A" w:rsidP="00FE266A">
      <w:pPr>
        <w:rPr>
          <w:rFonts w:ascii="Calibri" w:hAnsi="Calibri"/>
          <w:b/>
          <w:sz w:val="24"/>
          <w:szCs w:val="24"/>
        </w:rPr>
      </w:pPr>
      <w:r>
        <w:rPr>
          <w:rFonts w:ascii="Calibri" w:hAnsi="Calibri"/>
          <w:b/>
          <w:sz w:val="24"/>
          <w:szCs w:val="24"/>
        </w:rPr>
        <w:t>DIRECTOR OF ECONOMIC DEVELOPMENT AND PLANNING</w:t>
      </w:r>
    </w:p>
    <w:p w14:paraId="5A3E5210" w14:textId="77777777" w:rsidR="00FE266A" w:rsidRDefault="00FE266A" w:rsidP="00FE266A">
      <w:pPr>
        <w:pStyle w:val="TableText"/>
      </w:pPr>
    </w:p>
    <w:p w14:paraId="23DF150B" w14:textId="77777777" w:rsidR="00E92439" w:rsidRDefault="00E92439" w:rsidP="00EC3181">
      <w:pPr>
        <w:pStyle w:val="TableText"/>
        <w:rPr>
          <w:rFonts w:ascii="Arial" w:hAnsi="Arial" w:cs="Arial"/>
          <w:b/>
        </w:rPr>
      </w:pPr>
    </w:p>
    <w:p w14:paraId="403709AF" w14:textId="77777777" w:rsidR="009F3984" w:rsidRDefault="009F3984" w:rsidP="00EC3181">
      <w:pPr>
        <w:pStyle w:val="TableText"/>
        <w:rPr>
          <w:rFonts w:ascii="Arial" w:hAnsi="Arial" w:cs="Arial"/>
          <w:b/>
        </w:rPr>
      </w:pPr>
    </w:p>
    <w:p w14:paraId="1A7B4B61" w14:textId="5D2A1A9E" w:rsidR="009F3984" w:rsidRPr="00DD62CA" w:rsidRDefault="00635A26" w:rsidP="009F3984">
      <w:pPr>
        <w:rPr>
          <w:rFonts w:ascii="Calibri" w:hAnsi="Calibri"/>
          <w:sz w:val="24"/>
          <w:szCs w:val="24"/>
        </w:rPr>
      </w:pPr>
      <w:r>
        <w:rPr>
          <w:rFonts w:ascii="Calibri" w:hAnsi="Calibri"/>
          <w:sz w:val="24"/>
          <w:szCs w:val="24"/>
        </w:rPr>
        <w:t>Mr Anthony Blackwell</w:t>
      </w:r>
    </w:p>
    <w:p w14:paraId="668EBD6D" w14:textId="77777777" w:rsidR="00635A26" w:rsidRDefault="00635A26" w:rsidP="009F3984">
      <w:pPr>
        <w:pStyle w:val="TableText"/>
        <w:rPr>
          <w:rFonts w:ascii="Calibri" w:hAnsi="Calibri"/>
          <w:sz w:val="24"/>
          <w:szCs w:val="24"/>
        </w:rPr>
      </w:pPr>
      <w:r>
        <w:rPr>
          <w:rFonts w:ascii="Calibri" w:hAnsi="Calibri"/>
          <w:sz w:val="24"/>
          <w:szCs w:val="24"/>
        </w:rPr>
        <w:t>Redrow Homes Limited</w:t>
      </w:r>
    </w:p>
    <w:p w14:paraId="3968F784" w14:textId="77777777" w:rsidR="00635A26" w:rsidRDefault="00635A26" w:rsidP="009F3984">
      <w:pPr>
        <w:pStyle w:val="TableText"/>
        <w:rPr>
          <w:rFonts w:ascii="Calibri" w:hAnsi="Calibri"/>
          <w:sz w:val="24"/>
          <w:szCs w:val="24"/>
        </w:rPr>
      </w:pPr>
      <w:r>
        <w:rPr>
          <w:rFonts w:ascii="Calibri" w:hAnsi="Calibri"/>
          <w:sz w:val="24"/>
          <w:szCs w:val="24"/>
        </w:rPr>
        <w:t>c/o Agent</w:t>
      </w:r>
    </w:p>
    <w:p w14:paraId="070782B0" w14:textId="0D05FA88" w:rsidR="009F3984" w:rsidRDefault="009F3984" w:rsidP="009F3984">
      <w:pPr>
        <w:pStyle w:val="TableText"/>
        <w:rPr>
          <w:rFonts w:ascii="Calibri" w:hAnsi="Calibri"/>
          <w:sz w:val="24"/>
          <w:szCs w:val="24"/>
        </w:rPr>
      </w:pPr>
    </w:p>
    <w:p w14:paraId="462D4120" w14:textId="77777777" w:rsidR="009F3984" w:rsidRDefault="009F3984" w:rsidP="009F3984">
      <w:pPr>
        <w:pStyle w:val="TableText"/>
        <w:rPr>
          <w:rFonts w:ascii="Calibri" w:hAnsi="Calibri"/>
          <w:sz w:val="24"/>
          <w:szCs w:val="24"/>
        </w:rPr>
      </w:pPr>
    </w:p>
    <w:p w14:paraId="51284263"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6ACDBF3B" w14:textId="77777777" w:rsidR="00635A26" w:rsidRDefault="00635A26" w:rsidP="009F3984">
      <w:pPr>
        <w:pStyle w:val="TableText"/>
        <w:rPr>
          <w:rFonts w:ascii="Calibri" w:hAnsi="Calibri"/>
          <w:sz w:val="24"/>
          <w:szCs w:val="24"/>
        </w:rPr>
      </w:pPr>
      <w:r>
        <w:rPr>
          <w:rFonts w:ascii="Calibri" w:hAnsi="Calibri"/>
          <w:sz w:val="24"/>
          <w:szCs w:val="24"/>
        </w:rPr>
        <w:t xml:space="preserve">Eden Planning </w:t>
      </w:r>
    </w:p>
    <w:p w14:paraId="6D81C208" w14:textId="77777777" w:rsidR="00635A26" w:rsidRDefault="00635A26" w:rsidP="009F3984">
      <w:pPr>
        <w:pStyle w:val="TableText"/>
        <w:rPr>
          <w:rFonts w:ascii="Calibri" w:hAnsi="Calibri"/>
          <w:sz w:val="24"/>
          <w:szCs w:val="24"/>
        </w:rPr>
      </w:pPr>
      <w:r>
        <w:rPr>
          <w:rFonts w:ascii="Calibri" w:hAnsi="Calibri"/>
          <w:sz w:val="24"/>
          <w:szCs w:val="24"/>
        </w:rPr>
        <w:t>Studio 05</w:t>
      </w:r>
    </w:p>
    <w:p w14:paraId="0B1E5404" w14:textId="77777777" w:rsidR="00635A26" w:rsidRDefault="00635A26" w:rsidP="009F3984">
      <w:pPr>
        <w:pStyle w:val="TableText"/>
        <w:rPr>
          <w:rFonts w:ascii="Calibri" w:hAnsi="Calibri"/>
          <w:sz w:val="24"/>
          <w:szCs w:val="24"/>
        </w:rPr>
      </w:pPr>
      <w:r>
        <w:rPr>
          <w:rFonts w:ascii="Calibri" w:hAnsi="Calibri"/>
          <w:sz w:val="24"/>
          <w:szCs w:val="24"/>
        </w:rPr>
        <w:t>Jackson House</w:t>
      </w:r>
    </w:p>
    <w:p w14:paraId="32BC70A9" w14:textId="77777777" w:rsidR="00635A26" w:rsidRDefault="00635A26" w:rsidP="009F3984">
      <w:pPr>
        <w:pStyle w:val="TableText"/>
        <w:rPr>
          <w:rFonts w:ascii="Calibri" w:hAnsi="Calibri"/>
          <w:sz w:val="24"/>
          <w:szCs w:val="24"/>
        </w:rPr>
      </w:pPr>
      <w:r>
        <w:rPr>
          <w:rFonts w:ascii="Calibri" w:hAnsi="Calibri"/>
          <w:sz w:val="24"/>
          <w:szCs w:val="24"/>
        </w:rPr>
        <w:t>Sale</w:t>
      </w:r>
    </w:p>
    <w:p w14:paraId="25D34927" w14:textId="77777777" w:rsidR="00635A26" w:rsidRDefault="00635A26" w:rsidP="009F3984">
      <w:pPr>
        <w:pStyle w:val="TableText"/>
        <w:rPr>
          <w:rFonts w:ascii="Calibri" w:hAnsi="Calibri"/>
          <w:sz w:val="24"/>
          <w:szCs w:val="24"/>
        </w:rPr>
      </w:pPr>
      <w:r>
        <w:rPr>
          <w:rFonts w:ascii="Calibri" w:hAnsi="Calibri"/>
          <w:sz w:val="24"/>
          <w:szCs w:val="24"/>
        </w:rPr>
        <w:t>M33 7RR</w:t>
      </w:r>
    </w:p>
    <w:p w14:paraId="1087C109" w14:textId="023AD392" w:rsidR="009F3984" w:rsidRDefault="009F3984" w:rsidP="009F3984">
      <w:pPr>
        <w:pStyle w:val="TableText"/>
        <w:rPr>
          <w:rFonts w:ascii="Calibri" w:hAnsi="Calibri"/>
          <w:sz w:val="24"/>
          <w:szCs w:val="24"/>
        </w:rPr>
      </w:pPr>
    </w:p>
    <w:p w14:paraId="43052D6B" w14:textId="77777777" w:rsidR="00740309" w:rsidRDefault="00740309" w:rsidP="009F3984">
      <w:pPr>
        <w:pStyle w:val="TableText"/>
        <w:rPr>
          <w:rFonts w:ascii="Calibri" w:hAnsi="Calibri"/>
          <w:sz w:val="24"/>
          <w:szCs w:val="24"/>
        </w:rPr>
      </w:pPr>
    </w:p>
    <w:p w14:paraId="38AC2FB9" w14:textId="77777777" w:rsidR="00851611" w:rsidRDefault="00851611" w:rsidP="00851611">
      <w:pPr>
        <w:rPr>
          <w:rFonts w:ascii="Calibri" w:hAnsi="Calibri" w:cs="Calibri"/>
          <w:b/>
          <w:bCs/>
          <w:szCs w:val="22"/>
        </w:rPr>
      </w:pPr>
      <w:r>
        <w:rPr>
          <w:rFonts w:ascii="Calibri" w:hAnsi="Calibri" w:cs="Calibri"/>
          <w:b/>
          <w:bCs/>
          <w:szCs w:val="22"/>
        </w:rPr>
        <w:t xml:space="preserve">Right of Appeal </w:t>
      </w:r>
    </w:p>
    <w:p w14:paraId="40AF9B7B" w14:textId="77777777" w:rsidR="00851611" w:rsidRDefault="00851611" w:rsidP="00851611">
      <w:pPr>
        <w:rPr>
          <w:rFonts w:ascii="Calibri" w:hAnsi="Calibri" w:cs="Calibri"/>
          <w:b/>
          <w:bCs/>
          <w:szCs w:val="22"/>
        </w:rPr>
      </w:pPr>
    </w:p>
    <w:p w14:paraId="2BEC9E45" w14:textId="77777777" w:rsidR="00851611" w:rsidRDefault="00851611" w:rsidP="0085161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F8075B7" w14:textId="77777777" w:rsidR="00851611" w:rsidRDefault="00851611" w:rsidP="0085161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E30AD3E"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C731377" w14:textId="77777777" w:rsidR="00851611" w:rsidRDefault="00851611" w:rsidP="0085161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5BEA475" w14:textId="77777777" w:rsidR="00851611" w:rsidRDefault="00851611" w:rsidP="00851611">
      <w:pPr>
        <w:rPr>
          <w:rFonts w:ascii="Calibri" w:hAnsi="Calibri" w:cs="Calibri"/>
          <w:szCs w:val="22"/>
        </w:rPr>
      </w:pPr>
    </w:p>
    <w:p w14:paraId="3DB7E961" w14:textId="77777777" w:rsidR="00851611" w:rsidRDefault="00851611" w:rsidP="00851611">
      <w:pPr>
        <w:rPr>
          <w:rFonts w:ascii="Calibri" w:hAnsi="Calibri" w:cs="Calibri"/>
          <w:szCs w:val="22"/>
        </w:rPr>
      </w:pPr>
      <w:r>
        <w:rPr>
          <w:rFonts w:ascii="Calibri" w:hAnsi="Calibri" w:cs="Calibri"/>
          <w:szCs w:val="22"/>
        </w:rPr>
        <w:t xml:space="preserve">Appeals can be made online at: </w:t>
      </w:r>
      <w:hyperlink r:id="rId8"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9" w:history="1">
        <w:r w:rsidRPr="0038684D">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w:t>
      </w:r>
      <w:r>
        <w:rPr>
          <w:rFonts w:ascii="Calibri" w:hAnsi="Calibri" w:cs="Calibri"/>
          <w:szCs w:val="22"/>
        </w:rPr>
        <w:lastRenderedPageBreak/>
        <w:t xml:space="preserve">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3811603" w14:textId="77777777" w:rsidR="00851611" w:rsidRDefault="00851611" w:rsidP="00851611">
      <w:pPr>
        <w:rPr>
          <w:rFonts w:ascii="Calibri" w:hAnsi="Calibri" w:cs="Calibri"/>
          <w:szCs w:val="22"/>
        </w:rPr>
      </w:pPr>
    </w:p>
    <w:p w14:paraId="1A3660E3" w14:textId="77777777" w:rsidR="00851611" w:rsidRDefault="00851611" w:rsidP="00851611">
      <w:pPr>
        <w:rPr>
          <w:rFonts w:ascii="Calibri" w:hAnsi="Calibri" w:cs="Calibri"/>
          <w:b/>
          <w:bCs/>
          <w:szCs w:val="22"/>
        </w:rPr>
      </w:pPr>
      <w:r>
        <w:rPr>
          <w:rFonts w:ascii="Calibri" w:hAnsi="Calibri" w:cs="Calibri"/>
          <w:b/>
          <w:bCs/>
          <w:szCs w:val="22"/>
        </w:rPr>
        <w:t xml:space="preserve">Purchase Notices </w:t>
      </w:r>
    </w:p>
    <w:p w14:paraId="332F983E" w14:textId="77777777" w:rsidR="00851611" w:rsidRDefault="00851611" w:rsidP="0085161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3F049B5" w14:textId="77777777" w:rsidR="00851611" w:rsidRDefault="00851611" w:rsidP="009F3984">
      <w:pPr>
        <w:pStyle w:val="TableText"/>
        <w:rPr>
          <w:rFonts w:ascii="Calibri" w:hAnsi="Calibri"/>
          <w:sz w:val="24"/>
          <w:szCs w:val="24"/>
        </w:rPr>
      </w:pPr>
    </w:p>
    <w:sectPr w:rsidR="00851611">
      <w:headerReference w:type="default" r:id="rId10"/>
      <w:footerReference w:type="default" r:id="rId11"/>
      <w:headerReference w:type="first" r:id="rId12"/>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AF66" w14:textId="77777777" w:rsidR="00635A26" w:rsidRDefault="00635A26">
      <w:r>
        <w:separator/>
      </w:r>
    </w:p>
  </w:endnote>
  <w:endnote w:type="continuationSeparator" w:id="0">
    <w:p w14:paraId="2A69422F" w14:textId="77777777" w:rsidR="00635A26" w:rsidRDefault="0063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6DF7"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6DA8" w14:textId="77777777" w:rsidR="00635A26" w:rsidRDefault="00635A26">
      <w:r>
        <w:separator/>
      </w:r>
    </w:p>
  </w:footnote>
  <w:footnote w:type="continuationSeparator" w:id="0">
    <w:p w14:paraId="3974AEEE" w14:textId="77777777" w:rsidR="00635A26" w:rsidRDefault="0063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3BFF"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482774FD"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2CBFDA9A" w14:textId="77777777" w:rsidR="005522D3" w:rsidRPr="00641E0F" w:rsidRDefault="005522D3">
    <w:pPr>
      <w:pStyle w:val="addresses"/>
      <w:rPr>
        <w:rFonts w:ascii="Calibri" w:hAnsi="Calibri"/>
        <w:sz w:val="24"/>
        <w:szCs w:val="24"/>
      </w:rPr>
    </w:pPr>
  </w:p>
  <w:p w14:paraId="57320914" w14:textId="109369B0" w:rsidR="005522D3" w:rsidRPr="00641E0F" w:rsidRDefault="005522D3">
    <w:pPr>
      <w:rPr>
        <w:rFonts w:ascii="Calibri" w:hAnsi="Calibri"/>
        <w:b/>
        <w:bCs/>
        <w:sz w:val="24"/>
        <w:szCs w:val="24"/>
      </w:rPr>
    </w:pPr>
    <w:r w:rsidRPr="00641E0F">
      <w:rPr>
        <w:rFonts w:ascii="Calibri" w:hAnsi="Calibri"/>
        <w:b/>
        <w:bCs/>
        <w:sz w:val="24"/>
        <w:szCs w:val="24"/>
      </w:rPr>
      <w:t>APPLICATION NO</w:t>
    </w:r>
    <w:r w:rsidRPr="000E01BC">
      <w:rPr>
        <w:rFonts w:ascii="Calibri" w:hAnsi="Calibri"/>
        <w:sz w:val="24"/>
        <w:szCs w:val="24"/>
      </w:rPr>
      <w:t xml:space="preserve">.       </w:t>
    </w:r>
    <w:r w:rsidR="00635A26" w:rsidRPr="000E01BC">
      <w:rPr>
        <w:rFonts w:ascii="Calibri" w:hAnsi="Calibri"/>
        <w:b/>
        <w:bCs/>
        <w:noProof/>
      </w:rPr>
      <w:t>3/2022/1003</w:t>
    </w:r>
    <w:r w:rsidRPr="000E01BC">
      <w:rPr>
        <w:rFonts w:ascii="Calibri" w:hAnsi="Calibri"/>
        <w:b/>
        <w:bCs/>
        <w:sz w:val="24"/>
        <w:szCs w:val="24"/>
      </w:rPr>
      <w:t xml:space="preserve">                                                                  </w:t>
    </w:r>
    <w:r w:rsidRPr="00641E0F">
      <w:rPr>
        <w:rFonts w:ascii="Calibri" w:hAnsi="Calibri"/>
        <w:b/>
        <w:bCs/>
        <w:sz w:val="24"/>
        <w:szCs w:val="24"/>
      </w:rPr>
      <w:t xml:space="preserve">DECISION DATE: </w:t>
    </w:r>
    <w:r w:rsidR="00635A26">
      <w:rPr>
        <w:rFonts w:ascii="Calibri" w:hAnsi="Calibri"/>
        <w:b/>
        <w:bCs/>
        <w:sz w:val="24"/>
        <w:szCs w:val="24"/>
      </w:rPr>
      <w:t>1</w:t>
    </w:r>
    <w:r w:rsidR="000E01BC">
      <w:rPr>
        <w:rFonts w:ascii="Calibri" w:hAnsi="Calibri"/>
        <w:b/>
        <w:bCs/>
        <w:sz w:val="24"/>
        <w:szCs w:val="24"/>
      </w:rPr>
      <w:t>3</w:t>
    </w:r>
    <w:r w:rsidR="00635A26">
      <w:rPr>
        <w:rFonts w:ascii="Calibri" w:hAnsi="Calibri"/>
        <w:b/>
        <w:bCs/>
        <w:sz w:val="24"/>
        <w:szCs w:val="24"/>
      </w:rPr>
      <w:t xml:space="preserve"> July 2023</w:t>
    </w:r>
  </w:p>
  <w:p w14:paraId="35933AE1" w14:textId="77777777" w:rsidR="005522D3" w:rsidRDefault="005522D3">
    <w:pPr>
      <w:pBdr>
        <w:bottom w:val="single" w:sz="4" w:space="1" w:color="auto"/>
      </w:pBdr>
    </w:pPr>
  </w:p>
  <w:p w14:paraId="6C4691D1"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3477" w14:textId="77777777" w:rsidR="005F71C3" w:rsidRPr="005F71C3" w:rsidRDefault="005F71C3" w:rsidP="005F71C3">
    <w:pPr>
      <w:pStyle w:val="Header"/>
      <w:jc w:val="center"/>
      <w:rPr>
        <w:rFonts w:ascii="Calibri" w:hAnsi="Calibri"/>
      </w:rPr>
    </w:pPr>
    <w:r w:rsidRPr="005F71C3">
      <w:rPr>
        <w:rFonts w:ascii="Calibri" w:hAnsi="Calibri"/>
      </w:rPr>
      <w:t>Chief Executive : Marshal Scott CPFA</w:t>
    </w:r>
  </w:p>
  <w:p w14:paraId="511970AD" w14:textId="77777777" w:rsidR="005F71C3" w:rsidRPr="005F71C3" w:rsidRDefault="005F71C3" w:rsidP="005F71C3">
    <w:pPr>
      <w:pStyle w:val="Header"/>
      <w:jc w:val="center"/>
      <w:rPr>
        <w:rFonts w:ascii="Calibri" w:hAnsi="Calibri"/>
      </w:rPr>
    </w:pPr>
    <w:r w:rsidRPr="005F71C3">
      <w:rPr>
        <w:rFonts w:ascii="Calibri" w:hAnsi="Calibri"/>
      </w:rPr>
      <w:t>Directors John Heap B Eng, MICE, N</w:t>
    </w:r>
    <w:r w:rsidR="001A0F1B">
      <w:rPr>
        <w:rFonts w:ascii="Calibri" w:hAnsi="Calibri"/>
      </w:rPr>
      <w:t>icola</w:t>
    </w:r>
    <w:r w:rsidRPr="005F71C3">
      <w:rPr>
        <w:rFonts w:ascii="Calibri" w:hAnsi="Calibri"/>
      </w:rPr>
      <w:t xml:space="preserve"> Hopkins MTCP MRTPI, Jane Pearson CPFA</w:t>
    </w:r>
  </w:p>
  <w:p w14:paraId="58048692"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A26"/>
    <w:rsid w:val="000434B1"/>
    <w:rsid w:val="000C3E7C"/>
    <w:rsid w:val="000E01BC"/>
    <w:rsid w:val="00150A6F"/>
    <w:rsid w:val="001A087C"/>
    <w:rsid w:val="001A0F1B"/>
    <w:rsid w:val="0025344E"/>
    <w:rsid w:val="00297B24"/>
    <w:rsid w:val="003449FF"/>
    <w:rsid w:val="00382199"/>
    <w:rsid w:val="00425E09"/>
    <w:rsid w:val="00441735"/>
    <w:rsid w:val="005522D3"/>
    <w:rsid w:val="00566271"/>
    <w:rsid w:val="00577DC1"/>
    <w:rsid w:val="005F71C3"/>
    <w:rsid w:val="00635A26"/>
    <w:rsid w:val="00641E0F"/>
    <w:rsid w:val="00661558"/>
    <w:rsid w:val="0070667B"/>
    <w:rsid w:val="00740309"/>
    <w:rsid w:val="007526EC"/>
    <w:rsid w:val="007A7F6F"/>
    <w:rsid w:val="00851611"/>
    <w:rsid w:val="00851E6F"/>
    <w:rsid w:val="008D7675"/>
    <w:rsid w:val="0094031E"/>
    <w:rsid w:val="00940816"/>
    <w:rsid w:val="009C2053"/>
    <w:rsid w:val="009F3984"/>
    <w:rsid w:val="00A71B25"/>
    <w:rsid w:val="00B05C9C"/>
    <w:rsid w:val="00B52864"/>
    <w:rsid w:val="00B6354F"/>
    <w:rsid w:val="00BB5956"/>
    <w:rsid w:val="00D405F4"/>
    <w:rsid w:val="00D93F8F"/>
    <w:rsid w:val="00DE6561"/>
    <w:rsid w:val="00E92439"/>
    <w:rsid w:val="00EC3181"/>
    <w:rsid w:val="00FE2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0C054"/>
  <w15:chartTrackingRefBased/>
  <w15:docId w15:val="{9D4325E3-FB15-47F2-9DA2-8A7A4088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 w:type="character" w:styleId="UnresolvedMention">
    <w:name w:val="Unresolved Mention"/>
    <w:uiPriority w:val="99"/>
    <w:semiHidden/>
    <w:unhideWhenUsed/>
    <w:rsid w:val="00851611"/>
    <w:rPr>
      <w:color w:val="605E5C"/>
      <w:shd w:val="clear" w:color="auto" w:fill="E1DFDD"/>
    </w:rPr>
  </w:style>
  <w:style w:type="table" w:styleId="TableGrid">
    <w:name w:val="Table Grid"/>
    <w:basedOn w:val="TableNormal"/>
    <w:uiPriority w:val="59"/>
    <w:rsid w:val="0063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833371662">
      <w:bodyDiv w:val="1"/>
      <w:marLeft w:val="0"/>
      <w:marRight w:val="0"/>
      <w:marTop w:val="0"/>
      <w:marBottom w:val="0"/>
      <w:divBdr>
        <w:top w:val="none" w:sz="0" w:space="0" w:color="auto"/>
        <w:left w:val="none" w:sz="0" w:space="0" w:color="auto"/>
        <w:bottom w:val="none" w:sz="0" w:space="0" w:color="auto"/>
        <w:right w:val="none" w:sz="0" w:space="0" w:color="auto"/>
      </w:divBdr>
    </w:div>
    <w:div w:id="1430200760">
      <w:bodyDiv w:val="1"/>
      <w:marLeft w:val="0"/>
      <w:marRight w:val="0"/>
      <w:marTop w:val="0"/>
      <w:marBottom w:val="0"/>
      <w:divBdr>
        <w:top w:val="none" w:sz="0" w:space="0" w:color="auto"/>
        <w:left w:val="none" w:sz="0" w:space="0" w:color="auto"/>
        <w:bottom w:val="none" w:sz="0" w:space="0" w:color="auto"/>
        <w:right w:val="none" w:sz="0" w:space="0" w:color="auto"/>
      </w:divBdr>
    </w:div>
    <w:div w:id="1585455820">
      <w:bodyDiv w:val="1"/>
      <w:marLeft w:val="0"/>
      <w:marRight w:val="0"/>
      <w:marTop w:val="0"/>
      <w:marBottom w:val="0"/>
      <w:divBdr>
        <w:top w:val="none" w:sz="0" w:space="0" w:color="auto"/>
        <w:left w:val="none" w:sz="0" w:space="0" w:color="auto"/>
        <w:bottom w:val="none" w:sz="0" w:space="0" w:color="auto"/>
        <w:right w:val="none" w:sz="0" w:space="0" w:color="auto"/>
      </w:divBdr>
    </w:div>
    <w:div w:id="1911771185">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planning-decis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v.uk/appeal-householder-planning-decis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3</Pages>
  <Words>851</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5594</CharactersWithSpaces>
  <SharedDoc>false</SharedDoc>
  <HLinks>
    <vt:vector size="18" baseType="variant">
      <vt:variant>
        <vt:i4>7864362</vt:i4>
      </vt:variant>
      <vt:variant>
        <vt:i4>9</vt:i4>
      </vt:variant>
      <vt:variant>
        <vt:i4>0</vt:i4>
      </vt:variant>
      <vt:variant>
        <vt:i4>5</vt:i4>
      </vt:variant>
      <vt:variant>
        <vt:lpwstr>https://www.gov.uk/appeal-householder-planning-decision</vt:lpwstr>
      </vt:variant>
      <vt:variant>
        <vt:lpwstr/>
      </vt:variant>
      <vt:variant>
        <vt:i4>2621483</vt:i4>
      </vt:variant>
      <vt:variant>
        <vt:i4>6</vt:i4>
      </vt:variant>
      <vt:variant>
        <vt:i4>0</vt:i4>
      </vt:variant>
      <vt:variant>
        <vt:i4>5</vt:i4>
      </vt:variant>
      <vt:variant>
        <vt:lpwstr>https://www.gov.uk/appeal-planning-decision</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2023-07-13T14:54:00Z</cp:lastPrinted>
  <dcterms:created xsi:type="dcterms:W3CDTF">2023-07-13T14:56:00Z</dcterms:created>
  <dcterms:modified xsi:type="dcterms:W3CDTF">2023-07-13T14:56:00Z</dcterms:modified>
</cp:coreProperties>
</file>