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96"/>
        <w:gridCol w:w="900"/>
        <w:gridCol w:w="198"/>
        <w:gridCol w:w="443"/>
        <w:gridCol w:w="238"/>
        <w:gridCol w:w="201"/>
        <w:gridCol w:w="1030"/>
        <w:gridCol w:w="1030"/>
        <w:gridCol w:w="519"/>
        <w:gridCol w:w="579"/>
        <w:gridCol w:w="428"/>
        <w:gridCol w:w="602"/>
        <w:gridCol w:w="1030"/>
        <w:gridCol w:w="1075"/>
      </w:tblGrid>
      <w:tr w:rsidR="008C75E4" w:rsidRPr="008C75E4" w14:paraId="7CF77EFE" w14:textId="77777777" w:rsidTr="00687A80">
        <w:trPr>
          <w:jc w:val="center"/>
        </w:trPr>
        <w:tc>
          <w:tcPr>
            <w:tcW w:w="9569" w:type="dxa"/>
            <w:gridSpan w:val="14"/>
            <w:tcMar>
              <w:top w:w="57" w:type="dxa"/>
              <w:bottom w:w="57" w:type="dxa"/>
            </w:tcMar>
          </w:tcPr>
          <w:p w14:paraId="1309E088" w14:textId="77777777" w:rsidR="004A5EA9" w:rsidRPr="008C75E4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</w:t>
            </w:r>
            <w:r w:rsidR="004A5EA9" w:rsidRPr="008C75E4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14:paraId="51BB3636" w14:textId="77777777" w:rsidTr="00687A80">
        <w:trPr>
          <w:trHeight w:val="535"/>
          <w:jc w:val="center"/>
        </w:trPr>
        <w:tc>
          <w:tcPr>
            <w:tcW w:w="1296" w:type="dxa"/>
            <w:tcMar>
              <w:top w:w="57" w:type="dxa"/>
              <w:bottom w:w="57" w:type="dxa"/>
            </w:tcMar>
          </w:tcPr>
          <w:p w14:paraId="3DCFE251" w14:textId="77777777" w:rsidR="004936A6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  <w:p w14:paraId="6B2A03A2" w14:textId="77777777" w:rsidR="00454754" w:rsidRPr="008C75E4" w:rsidRDefault="0045475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00" w:type="dxa"/>
          </w:tcPr>
          <w:p w14:paraId="45DA3F42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80" w:type="dxa"/>
            <w:gridSpan w:val="4"/>
          </w:tcPr>
          <w:p w14:paraId="60B9A5E9" w14:textId="78A2DA73" w:rsidR="004936A6" w:rsidRPr="008C75E4" w:rsidRDefault="0014441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KH</w:t>
            </w:r>
          </w:p>
        </w:tc>
        <w:tc>
          <w:tcPr>
            <w:tcW w:w="1030" w:type="dxa"/>
          </w:tcPr>
          <w:p w14:paraId="4D1EBACE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</w:tcPr>
          <w:p w14:paraId="2EF13E8A" w14:textId="5882E9AA" w:rsidR="004936A6" w:rsidRPr="008C75E4" w:rsidRDefault="00B177B2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1</w:t>
            </w:r>
            <w:r w:rsidR="009E78CB">
              <w:rPr>
                <w:rFonts w:ascii="Calibri" w:hAnsi="Calibri"/>
                <w:b/>
                <w:szCs w:val="22"/>
              </w:rPr>
              <w:t>4</w:t>
            </w:r>
            <w:r w:rsidR="00B023D7">
              <w:rPr>
                <w:rFonts w:ascii="Calibri" w:hAnsi="Calibri"/>
                <w:b/>
                <w:szCs w:val="22"/>
              </w:rPr>
              <w:t>.</w:t>
            </w:r>
            <w:r w:rsidR="00144414">
              <w:rPr>
                <w:rFonts w:ascii="Calibri" w:hAnsi="Calibri"/>
                <w:b/>
                <w:szCs w:val="22"/>
              </w:rPr>
              <w:t>1</w:t>
            </w:r>
            <w:r w:rsidR="009E78CB">
              <w:rPr>
                <w:rFonts w:ascii="Calibri" w:hAnsi="Calibri"/>
                <w:b/>
                <w:szCs w:val="22"/>
              </w:rPr>
              <w:t>1</w:t>
            </w:r>
            <w:r w:rsidR="00B023D7">
              <w:rPr>
                <w:rFonts w:ascii="Calibri" w:hAnsi="Calibri"/>
                <w:b/>
                <w:szCs w:val="22"/>
              </w:rPr>
              <w:t>.2</w:t>
            </w:r>
            <w:r w:rsidR="00144414">
              <w:rPr>
                <w:rFonts w:ascii="Calibri" w:hAnsi="Calibri"/>
                <w:b/>
                <w:szCs w:val="22"/>
              </w:rPr>
              <w:t>3</w:t>
            </w:r>
          </w:p>
        </w:tc>
        <w:tc>
          <w:tcPr>
            <w:tcW w:w="1098" w:type="dxa"/>
            <w:gridSpan w:val="2"/>
          </w:tcPr>
          <w:p w14:paraId="77F8F578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gridSpan w:val="2"/>
          </w:tcPr>
          <w:p w14:paraId="24EDE56C" w14:textId="3233D93D" w:rsidR="004936A6" w:rsidRPr="008C75E4" w:rsidRDefault="007E72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LH</w:t>
            </w:r>
          </w:p>
        </w:tc>
        <w:tc>
          <w:tcPr>
            <w:tcW w:w="1030" w:type="dxa"/>
          </w:tcPr>
          <w:p w14:paraId="55871834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75" w:type="dxa"/>
          </w:tcPr>
          <w:p w14:paraId="3AB87708" w14:textId="57CDE63F" w:rsidR="004936A6" w:rsidRPr="008C75E4" w:rsidRDefault="007E72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14/11/23</w:t>
            </w:r>
          </w:p>
        </w:tc>
      </w:tr>
      <w:tr w:rsidR="008C75E4" w:rsidRPr="008C75E4" w14:paraId="26D8FEDB" w14:textId="77777777" w:rsidTr="00687A80">
        <w:trPr>
          <w:jc w:val="center"/>
        </w:trPr>
        <w:tc>
          <w:tcPr>
            <w:tcW w:w="9569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339CF112" w14:textId="77777777"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7B011D35" w14:textId="77777777" w:rsidTr="00687A8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6DB5DDB0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461" w:type="dxa"/>
            <w:gridSpan w:val="6"/>
          </w:tcPr>
          <w:p w14:paraId="7506A9BC" w14:textId="6F09DD01" w:rsidR="004A5EA9" w:rsidRPr="008C75E4" w:rsidRDefault="008A2403" w:rsidP="008F6B5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3/202</w:t>
            </w:r>
            <w:r w:rsidR="00144414">
              <w:rPr>
                <w:rFonts w:ascii="Calibri" w:hAnsi="Calibri"/>
                <w:szCs w:val="22"/>
              </w:rPr>
              <w:t>2</w:t>
            </w:r>
            <w:r>
              <w:rPr>
                <w:rFonts w:ascii="Calibri" w:hAnsi="Calibri"/>
                <w:szCs w:val="22"/>
              </w:rPr>
              <w:t>/</w:t>
            </w:r>
            <w:r w:rsidR="00B023D7">
              <w:rPr>
                <w:rFonts w:ascii="Calibri" w:hAnsi="Calibri"/>
                <w:szCs w:val="22"/>
              </w:rPr>
              <w:t>1</w:t>
            </w:r>
            <w:r w:rsidR="00144414">
              <w:rPr>
                <w:rFonts w:ascii="Calibri" w:hAnsi="Calibri"/>
                <w:szCs w:val="22"/>
              </w:rPr>
              <w:t>013</w:t>
            </w:r>
          </w:p>
        </w:tc>
        <w:tc>
          <w:tcPr>
            <w:tcW w:w="3714" w:type="dxa"/>
            <w:gridSpan w:val="5"/>
            <w:vMerge w:val="restart"/>
            <w:tcMar>
              <w:top w:w="57" w:type="dxa"/>
              <w:bottom w:w="57" w:type="dxa"/>
            </w:tcMar>
          </w:tcPr>
          <w:p w14:paraId="1BAA9ACB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58BD180F" wp14:editId="6950E930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14:paraId="16D79BED" w14:textId="77777777" w:rsidTr="00687A8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74CA74AF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461" w:type="dxa"/>
            <w:gridSpan w:val="6"/>
          </w:tcPr>
          <w:p w14:paraId="15EB5649" w14:textId="49B7D330" w:rsidR="004A5EA9" w:rsidRPr="008C75E4" w:rsidRDefault="009E78CB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714" w:type="dxa"/>
            <w:gridSpan w:val="5"/>
            <w:vMerge/>
            <w:tcMar>
              <w:top w:w="57" w:type="dxa"/>
              <w:bottom w:w="57" w:type="dxa"/>
            </w:tcMar>
          </w:tcPr>
          <w:p w14:paraId="0059F9FA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25ED9CA5" w14:textId="77777777" w:rsidTr="00687A8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68859E1A" w14:textId="77777777"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461" w:type="dxa"/>
            <w:gridSpan w:val="6"/>
          </w:tcPr>
          <w:p w14:paraId="690F2CD5" w14:textId="1B171E92" w:rsidR="004A5EA9" w:rsidRPr="00454754" w:rsidRDefault="00144414" w:rsidP="00811771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KH</w:t>
            </w:r>
          </w:p>
        </w:tc>
        <w:tc>
          <w:tcPr>
            <w:tcW w:w="3714" w:type="dxa"/>
            <w:gridSpan w:val="5"/>
            <w:vMerge/>
            <w:tcMar>
              <w:top w:w="57" w:type="dxa"/>
              <w:bottom w:w="57" w:type="dxa"/>
            </w:tcMar>
          </w:tcPr>
          <w:p w14:paraId="0637CE2F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FD334A" w:rsidRPr="008C75E4" w14:paraId="0A0A2CAB" w14:textId="77777777" w:rsidTr="00687A80">
        <w:trPr>
          <w:jc w:val="center"/>
        </w:trPr>
        <w:tc>
          <w:tcPr>
            <w:tcW w:w="5855" w:type="dxa"/>
            <w:gridSpan w:val="9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79F28EE" w14:textId="77777777" w:rsidR="00FD334A" w:rsidRPr="008C75E4" w:rsidRDefault="00FD334A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1007" w:type="dxa"/>
            <w:gridSpan w:val="2"/>
            <w:tcBorders>
              <w:bottom w:val="single" w:sz="4" w:space="0" w:color="BFBFBF" w:themeColor="background1" w:themeShade="BF"/>
            </w:tcBorders>
          </w:tcPr>
          <w:p w14:paraId="1FF1F4C6" w14:textId="77777777" w:rsidR="00FD334A" w:rsidRPr="008C75E4" w:rsidRDefault="00FD334A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Decision</w:t>
            </w:r>
          </w:p>
        </w:tc>
        <w:tc>
          <w:tcPr>
            <w:tcW w:w="2707" w:type="dxa"/>
            <w:gridSpan w:val="3"/>
            <w:tcBorders>
              <w:bottom w:val="single" w:sz="4" w:space="0" w:color="BFBFBF" w:themeColor="background1" w:themeShade="BF"/>
            </w:tcBorders>
          </w:tcPr>
          <w:p w14:paraId="20482041" w14:textId="1436DFBB" w:rsidR="00FD334A" w:rsidRPr="008C75E4" w:rsidRDefault="00144414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APPROVE</w:t>
            </w:r>
          </w:p>
        </w:tc>
      </w:tr>
      <w:tr w:rsidR="008C75E4" w:rsidRPr="008C75E4" w14:paraId="5EBB2AB2" w14:textId="77777777" w:rsidTr="00687A80">
        <w:trPr>
          <w:trHeight w:hRule="exact" w:val="144"/>
          <w:jc w:val="center"/>
        </w:trPr>
        <w:tc>
          <w:tcPr>
            <w:tcW w:w="9569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4360416F" w14:textId="77777777" w:rsidR="004A5EA9" w:rsidRPr="00504440" w:rsidRDefault="004A5EA9" w:rsidP="007E0D23">
            <w:pPr>
              <w:tabs>
                <w:tab w:val="left" w:pos="400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14DCD8DF" w14:textId="77777777" w:rsidTr="00687A8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4D61D3AB" w14:textId="77777777"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94" w:type="dxa"/>
            <w:gridSpan w:val="9"/>
          </w:tcPr>
          <w:p w14:paraId="3D021B44" w14:textId="101BEA47" w:rsidR="004A5EA9" w:rsidRPr="008C75E4" w:rsidRDefault="00144414" w:rsidP="006A7D5D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Amendment to S</w:t>
            </w:r>
            <w:r w:rsidR="002B0846" w:rsidRPr="002B0846">
              <w:rPr>
                <w:rFonts w:ascii="Calibri" w:hAnsi="Calibri"/>
                <w:szCs w:val="22"/>
              </w:rPr>
              <w:t xml:space="preserve">106 </w:t>
            </w:r>
            <w:r>
              <w:rPr>
                <w:rFonts w:ascii="Calibri" w:hAnsi="Calibri"/>
                <w:szCs w:val="22"/>
              </w:rPr>
              <w:t>Agreement of 3/</w:t>
            </w:r>
            <w:r w:rsidR="00F66784">
              <w:rPr>
                <w:rFonts w:ascii="Calibri" w:hAnsi="Calibri"/>
                <w:szCs w:val="22"/>
              </w:rPr>
              <w:t>2</w:t>
            </w:r>
            <w:r>
              <w:rPr>
                <w:rFonts w:ascii="Calibri" w:hAnsi="Calibri"/>
                <w:szCs w:val="22"/>
              </w:rPr>
              <w:t xml:space="preserve">019/1104.  Modification to the definition of the over 55 </w:t>
            </w:r>
            <w:proofErr w:type="gramStart"/>
            <w:r>
              <w:rPr>
                <w:rFonts w:ascii="Calibri" w:hAnsi="Calibri"/>
                <w:szCs w:val="22"/>
              </w:rPr>
              <w:t>accommodation</w:t>
            </w:r>
            <w:proofErr w:type="gramEnd"/>
            <w:r w:rsidR="002B0846" w:rsidRPr="002B0846">
              <w:rPr>
                <w:rFonts w:ascii="Calibri" w:hAnsi="Calibri"/>
                <w:szCs w:val="22"/>
              </w:rPr>
              <w:t>.</w:t>
            </w:r>
          </w:p>
        </w:tc>
      </w:tr>
      <w:tr w:rsidR="008C75E4" w:rsidRPr="008C75E4" w14:paraId="7C54417D" w14:textId="77777777" w:rsidTr="00687A80">
        <w:trPr>
          <w:jc w:val="center"/>
        </w:trPr>
        <w:tc>
          <w:tcPr>
            <w:tcW w:w="3075" w:type="dxa"/>
            <w:gridSpan w:val="5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7789C54" w14:textId="77777777"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94" w:type="dxa"/>
            <w:gridSpan w:val="9"/>
            <w:tcBorders>
              <w:bottom w:val="single" w:sz="4" w:space="0" w:color="BFBFBF" w:themeColor="background1" w:themeShade="BF"/>
            </w:tcBorders>
          </w:tcPr>
          <w:p w14:paraId="691240FE" w14:textId="19986A80" w:rsidR="002A01CF" w:rsidRPr="008C75E4" w:rsidRDefault="002B0846" w:rsidP="00A42E82">
            <w:pPr>
              <w:rPr>
                <w:rFonts w:ascii="Calibri" w:hAnsi="Calibri"/>
                <w:szCs w:val="22"/>
              </w:rPr>
            </w:pPr>
            <w:r w:rsidRPr="002B0846">
              <w:rPr>
                <w:rFonts w:ascii="Calibri" w:hAnsi="Calibri"/>
                <w:szCs w:val="22"/>
              </w:rPr>
              <w:t xml:space="preserve">Land </w:t>
            </w:r>
            <w:r w:rsidR="00144414">
              <w:rPr>
                <w:rFonts w:ascii="Calibri" w:hAnsi="Calibri"/>
                <w:szCs w:val="22"/>
              </w:rPr>
              <w:t>off Hawthorne Farm, Hawthorn Place, Clitheroe BB7 2HU</w:t>
            </w:r>
          </w:p>
        </w:tc>
      </w:tr>
      <w:tr w:rsidR="008C75E4" w:rsidRPr="008C75E4" w14:paraId="797514AD" w14:textId="77777777" w:rsidTr="00687A80">
        <w:trPr>
          <w:trHeight w:hRule="exact" w:val="144"/>
          <w:jc w:val="center"/>
        </w:trPr>
        <w:tc>
          <w:tcPr>
            <w:tcW w:w="9569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476143DB" w14:textId="77777777" w:rsidR="00A95D89" w:rsidRPr="00504440" w:rsidRDefault="00A95D89" w:rsidP="007E0D23">
            <w:pPr>
              <w:tabs>
                <w:tab w:val="left" w:pos="266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062A28D0" w14:textId="77777777" w:rsidTr="00687A8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1BA7352C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94" w:type="dxa"/>
            <w:gridSpan w:val="9"/>
          </w:tcPr>
          <w:p w14:paraId="78AFAA6E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8C75E4" w:rsidRPr="008C75E4" w14:paraId="4BDC3AC1" w14:textId="77777777" w:rsidTr="00687A80">
        <w:trPr>
          <w:jc w:val="center"/>
        </w:trPr>
        <w:tc>
          <w:tcPr>
            <w:tcW w:w="9569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1A6C67F1" w14:textId="0EA6179C" w:rsidR="003A4376" w:rsidRPr="009825FF" w:rsidRDefault="004A7F63" w:rsidP="009825F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</w:tr>
      <w:tr w:rsidR="008C75E4" w:rsidRPr="008C75E4" w14:paraId="179CD13B" w14:textId="77777777" w:rsidTr="00687A80">
        <w:trPr>
          <w:trHeight w:hRule="exact" w:val="144"/>
          <w:jc w:val="center"/>
        </w:trPr>
        <w:tc>
          <w:tcPr>
            <w:tcW w:w="9569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AC6CC69" w14:textId="77777777" w:rsidR="00C618DB" w:rsidRPr="00504440" w:rsidRDefault="00C618DB" w:rsidP="006126D1">
            <w:pPr>
              <w:jc w:val="both"/>
              <w:rPr>
                <w:rFonts w:ascii="Calibri" w:hAnsi="Calibri"/>
                <w:bCs/>
                <w:sz w:val="4"/>
                <w:szCs w:val="4"/>
              </w:rPr>
            </w:pPr>
          </w:p>
        </w:tc>
      </w:tr>
      <w:tr w:rsidR="008C75E4" w:rsidRPr="008C75E4" w14:paraId="194C3A3A" w14:textId="77777777" w:rsidTr="00687A8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76138C49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94" w:type="dxa"/>
            <w:gridSpan w:val="9"/>
          </w:tcPr>
          <w:p w14:paraId="66F9D423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Highways/Water Authority/Other Bodies</w:t>
            </w:r>
          </w:p>
        </w:tc>
      </w:tr>
      <w:tr w:rsidR="008C75E4" w:rsidRPr="008C75E4" w14:paraId="160ECAAC" w14:textId="77777777" w:rsidTr="00687A8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1C62920C" w14:textId="744355B7" w:rsidR="002A01CF" w:rsidRPr="008C75E4" w:rsidRDefault="00144414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</w:tc>
        <w:tc>
          <w:tcPr>
            <w:tcW w:w="6494" w:type="dxa"/>
            <w:gridSpan w:val="9"/>
          </w:tcPr>
          <w:p w14:paraId="0C899B12" w14:textId="77777777" w:rsidR="002A01CF" w:rsidRPr="008C75E4" w:rsidRDefault="002A01CF" w:rsidP="006126D1">
            <w:pPr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227E2B6B" w14:textId="77777777" w:rsidTr="00687A80">
        <w:trPr>
          <w:jc w:val="center"/>
        </w:trPr>
        <w:tc>
          <w:tcPr>
            <w:tcW w:w="9569" w:type="dxa"/>
            <w:gridSpan w:val="14"/>
            <w:tcMar>
              <w:top w:w="57" w:type="dxa"/>
              <w:bottom w:w="57" w:type="dxa"/>
            </w:tcMar>
          </w:tcPr>
          <w:p w14:paraId="5081E6C0" w14:textId="0F3A555E" w:rsidR="00C0704D" w:rsidRPr="008C75E4" w:rsidRDefault="00C0704D" w:rsidP="00FC046F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5E1201AB" w14:textId="77777777" w:rsidTr="00687A8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5D546F47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94" w:type="dxa"/>
            <w:gridSpan w:val="9"/>
          </w:tcPr>
          <w:p w14:paraId="0B3DD49B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C75E4" w:rsidRPr="008C75E4" w14:paraId="15B37984" w14:textId="77777777" w:rsidTr="00687A80">
        <w:trPr>
          <w:jc w:val="center"/>
        </w:trPr>
        <w:tc>
          <w:tcPr>
            <w:tcW w:w="9569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96EF7BF" w14:textId="3518D3E2" w:rsidR="005878FE" w:rsidRDefault="00B177B2" w:rsidP="00435FC9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</w:t>
            </w:r>
            <w:r w:rsidR="00F44B77">
              <w:rPr>
                <w:rFonts w:ascii="Calibri" w:hAnsi="Calibri"/>
                <w:szCs w:val="22"/>
              </w:rPr>
              <w:t>here was no public consultation given the nature of the application nonetheless t</w:t>
            </w:r>
            <w:r>
              <w:rPr>
                <w:rFonts w:ascii="Calibri" w:hAnsi="Calibri"/>
                <w:szCs w:val="22"/>
              </w:rPr>
              <w:t>wo third party representations have been received.</w:t>
            </w:r>
          </w:p>
          <w:p w14:paraId="3964829F" w14:textId="77777777" w:rsidR="00B177B2" w:rsidRDefault="00B177B2" w:rsidP="00435FC9">
            <w:pPr>
              <w:jc w:val="both"/>
              <w:rPr>
                <w:rFonts w:ascii="Calibri" w:hAnsi="Calibri"/>
                <w:szCs w:val="22"/>
              </w:rPr>
            </w:pPr>
          </w:p>
          <w:p w14:paraId="41166D7D" w14:textId="6FAA7D24" w:rsidR="00AE4FD3" w:rsidRDefault="00B177B2" w:rsidP="00435FC9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They raise concerns relating </w:t>
            </w:r>
            <w:r w:rsidR="00AE4FD3">
              <w:rPr>
                <w:rFonts w:ascii="Calibri" w:hAnsi="Calibri"/>
                <w:szCs w:val="22"/>
              </w:rPr>
              <w:t xml:space="preserve">to changes in the numbers and types.  However, this proposal does not change the approved plans and seeks only to </w:t>
            </w:r>
            <w:r w:rsidR="007E729B">
              <w:rPr>
                <w:rFonts w:ascii="Calibri" w:hAnsi="Calibri"/>
                <w:szCs w:val="22"/>
              </w:rPr>
              <w:t>align the description</w:t>
            </w:r>
            <w:r w:rsidR="00AE4FD3">
              <w:rPr>
                <w:rFonts w:ascii="Calibri" w:hAnsi="Calibri"/>
                <w:szCs w:val="22"/>
              </w:rPr>
              <w:t xml:space="preserve"> of </w:t>
            </w:r>
            <w:r w:rsidR="00F44B77">
              <w:rPr>
                <w:rFonts w:ascii="Calibri" w:hAnsi="Calibri"/>
                <w:szCs w:val="22"/>
              </w:rPr>
              <w:t xml:space="preserve">older person </w:t>
            </w:r>
            <w:r w:rsidR="00687A80">
              <w:rPr>
                <w:rFonts w:ascii="Calibri" w:hAnsi="Calibri"/>
                <w:szCs w:val="22"/>
              </w:rPr>
              <w:t xml:space="preserve">market housing </w:t>
            </w:r>
            <w:r w:rsidR="007E729B">
              <w:rPr>
                <w:rFonts w:ascii="Calibri" w:hAnsi="Calibri"/>
                <w:szCs w:val="22"/>
              </w:rPr>
              <w:t>units as set out in the legal agreement</w:t>
            </w:r>
            <w:r w:rsidR="00AE4FD3">
              <w:rPr>
                <w:rFonts w:ascii="Calibri" w:hAnsi="Calibri"/>
                <w:szCs w:val="22"/>
              </w:rPr>
              <w:t xml:space="preserve"> </w:t>
            </w:r>
            <w:r w:rsidR="007E729B">
              <w:rPr>
                <w:rFonts w:ascii="Calibri" w:hAnsi="Calibri"/>
                <w:szCs w:val="22"/>
              </w:rPr>
              <w:t>to the approved plans</w:t>
            </w:r>
            <w:r w:rsidR="00AE4FD3">
              <w:rPr>
                <w:rFonts w:ascii="Calibri" w:hAnsi="Calibri"/>
                <w:szCs w:val="22"/>
              </w:rPr>
              <w:t>.</w:t>
            </w:r>
          </w:p>
          <w:p w14:paraId="73D6E245" w14:textId="11B693E2" w:rsidR="00B177B2" w:rsidRPr="00435FC9" w:rsidRDefault="00B177B2" w:rsidP="00435FC9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1817CCE5" w14:textId="77777777" w:rsidTr="00687A80">
        <w:trPr>
          <w:trHeight w:hRule="exact" w:val="144"/>
          <w:jc w:val="center"/>
        </w:trPr>
        <w:tc>
          <w:tcPr>
            <w:tcW w:w="9569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1496797" w14:textId="77777777" w:rsidR="00C0704D" w:rsidRPr="00504440" w:rsidRDefault="00C0704D" w:rsidP="006126D1">
            <w:pPr>
              <w:jc w:val="both"/>
              <w:rPr>
                <w:rFonts w:ascii="Calibri" w:hAnsi="Calibri"/>
                <w:sz w:val="4"/>
                <w:szCs w:val="4"/>
              </w:rPr>
            </w:pPr>
          </w:p>
        </w:tc>
      </w:tr>
      <w:tr w:rsidR="008C75E4" w:rsidRPr="008C75E4" w14:paraId="29EF65D3" w14:textId="77777777" w:rsidTr="00687A80">
        <w:trPr>
          <w:jc w:val="center"/>
        </w:trPr>
        <w:tc>
          <w:tcPr>
            <w:tcW w:w="9569" w:type="dxa"/>
            <w:gridSpan w:val="14"/>
            <w:tcMar>
              <w:top w:w="57" w:type="dxa"/>
              <w:bottom w:w="57" w:type="dxa"/>
            </w:tcMar>
          </w:tcPr>
          <w:p w14:paraId="641C3A24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8C75E4" w:rsidRPr="008C75E4" w14:paraId="31BFD846" w14:textId="77777777" w:rsidTr="00687A80">
        <w:trPr>
          <w:trHeight w:val="864"/>
          <w:jc w:val="center"/>
        </w:trPr>
        <w:tc>
          <w:tcPr>
            <w:tcW w:w="9569" w:type="dxa"/>
            <w:gridSpan w:val="14"/>
            <w:tcMar>
              <w:top w:w="57" w:type="dxa"/>
              <w:bottom w:w="57" w:type="dxa"/>
            </w:tcMar>
          </w:tcPr>
          <w:p w14:paraId="602214F6" w14:textId="77777777" w:rsidR="008542DE" w:rsidRDefault="00C0704D" w:rsidP="00504440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Ribble Valley Core Strategy:</w:t>
            </w:r>
          </w:p>
          <w:p w14:paraId="5CD699AB" w14:textId="77777777" w:rsidR="00144414" w:rsidRDefault="00144414" w:rsidP="00144414">
            <w:pPr>
              <w:rPr>
                <w:rFonts w:ascii="Calibri" w:hAnsi="Calibri"/>
                <w:bCs/>
                <w:szCs w:val="22"/>
              </w:rPr>
            </w:pPr>
          </w:p>
          <w:p w14:paraId="4309DD93" w14:textId="3C3F20B5" w:rsidR="00144414" w:rsidRPr="00DD7F04" w:rsidRDefault="00144414" w:rsidP="00144414">
            <w:pPr>
              <w:rPr>
                <w:rFonts w:ascii="Calibri" w:hAnsi="Calibri"/>
                <w:bCs/>
                <w:szCs w:val="22"/>
              </w:rPr>
            </w:pPr>
            <w:r w:rsidRPr="00DD7F04">
              <w:rPr>
                <w:rFonts w:ascii="Calibri" w:hAnsi="Calibri"/>
                <w:bCs/>
                <w:szCs w:val="22"/>
              </w:rPr>
              <w:t>Key Statement DS1 – Development Strategy</w:t>
            </w:r>
          </w:p>
          <w:p w14:paraId="6C861B41" w14:textId="77777777" w:rsidR="00144414" w:rsidRDefault="00144414" w:rsidP="00144414">
            <w:pPr>
              <w:rPr>
                <w:rFonts w:ascii="Calibri" w:hAnsi="Calibri"/>
                <w:bCs/>
                <w:szCs w:val="22"/>
              </w:rPr>
            </w:pPr>
            <w:r w:rsidRPr="00DD7F04">
              <w:rPr>
                <w:rFonts w:ascii="Calibri" w:hAnsi="Calibri"/>
                <w:bCs/>
                <w:szCs w:val="22"/>
              </w:rPr>
              <w:t>Key Statement DS2 – Sustainable Development</w:t>
            </w:r>
          </w:p>
          <w:p w14:paraId="463455BE" w14:textId="750A022B" w:rsidR="005F259A" w:rsidRDefault="005F259A" w:rsidP="00144414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Key Statement H1 – Housing Provision</w:t>
            </w:r>
          </w:p>
          <w:p w14:paraId="16CE9811" w14:textId="2F9DBA2B" w:rsidR="005F259A" w:rsidRDefault="005F259A" w:rsidP="00144414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Key Statement H2 – Housing Balance</w:t>
            </w:r>
          </w:p>
          <w:p w14:paraId="6C71CB31" w14:textId="36AEF077" w:rsidR="005F259A" w:rsidRDefault="005F259A" w:rsidP="00144414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Key Statement DMI1 – Planning Obligations</w:t>
            </w:r>
          </w:p>
          <w:p w14:paraId="2B9AC393" w14:textId="77777777" w:rsidR="00144414" w:rsidRPr="00DD7F04" w:rsidRDefault="00144414" w:rsidP="00144414">
            <w:pPr>
              <w:rPr>
                <w:rFonts w:ascii="Calibri" w:hAnsi="Calibri"/>
                <w:bCs/>
                <w:szCs w:val="22"/>
              </w:rPr>
            </w:pPr>
          </w:p>
          <w:p w14:paraId="64307330" w14:textId="52AFD1AE" w:rsidR="001946E0" w:rsidRPr="008C75E4" w:rsidRDefault="00144414" w:rsidP="005F2756">
            <w:pPr>
              <w:rPr>
                <w:rFonts w:ascii="Calibri" w:hAnsi="Calibri"/>
                <w:b/>
                <w:szCs w:val="22"/>
              </w:rPr>
            </w:pPr>
            <w:r w:rsidRPr="00D1059B">
              <w:rPr>
                <w:rFonts w:ascii="Calibri" w:hAnsi="Calibri"/>
                <w:b/>
                <w:szCs w:val="22"/>
              </w:rPr>
              <w:t>National Planning Policy Framework (NPPF)</w:t>
            </w:r>
          </w:p>
        </w:tc>
      </w:tr>
      <w:tr w:rsidR="008C75E4" w:rsidRPr="008C75E4" w14:paraId="5791DF35" w14:textId="77777777" w:rsidTr="00687A80">
        <w:trPr>
          <w:trHeight w:val="864"/>
          <w:jc w:val="center"/>
        </w:trPr>
        <w:tc>
          <w:tcPr>
            <w:tcW w:w="9569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7D8B51F" w14:textId="77777777" w:rsidR="00C0704D" w:rsidRPr="008C75E4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5EDA4341" w14:textId="77777777" w:rsidR="0015636B" w:rsidRDefault="0015636B" w:rsidP="00310162">
            <w:pPr>
              <w:pStyle w:val="PLANNING"/>
              <w:rPr>
                <w:rFonts w:asciiTheme="minorHAnsi" w:hAnsiTheme="minorHAnsi" w:cstheme="minorHAnsi"/>
                <w:bCs/>
                <w:szCs w:val="22"/>
              </w:rPr>
            </w:pPr>
          </w:p>
          <w:p w14:paraId="47E497A8" w14:textId="254DBD8E" w:rsidR="005F2756" w:rsidRDefault="00F66784" w:rsidP="00310162">
            <w:pPr>
              <w:pStyle w:val="PLANNING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3/2022/0351 – Discharge of condition 18 (phasing of landscaping) and 19 (landscape management plan) of application 3/2019/1104 – Approved.</w:t>
            </w:r>
          </w:p>
          <w:p w14:paraId="7DE1EE7B" w14:textId="77777777" w:rsidR="00F66784" w:rsidRDefault="00F66784" w:rsidP="00310162">
            <w:pPr>
              <w:pStyle w:val="PLANNING"/>
              <w:rPr>
                <w:rFonts w:asciiTheme="minorHAnsi" w:hAnsiTheme="minorHAnsi" w:cstheme="minorHAnsi"/>
                <w:bCs/>
                <w:szCs w:val="22"/>
              </w:rPr>
            </w:pPr>
          </w:p>
          <w:p w14:paraId="2E9FB226" w14:textId="10B6BD1C" w:rsidR="00F66784" w:rsidRDefault="00F66784" w:rsidP="00310162">
            <w:pPr>
              <w:pStyle w:val="PLANNING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3/2022/0184 – Erection of two flat stack signs with 4 flags (2 to the right of the entrance and 2 to the front of the sales area – Approved.</w:t>
            </w:r>
          </w:p>
          <w:p w14:paraId="7E9EEBA6" w14:textId="77777777" w:rsidR="00F66784" w:rsidRDefault="00F66784" w:rsidP="00310162">
            <w:pPr>
              <w:pStyle w:val="PLANNING"/>
              <w:rPr>
                <w:rFonts w:asciiTheme="minorHAnsi" w:hAnsiTheme="minorHAnsi" w:cstheme="minorHAnsi"/>
                <w:bCs/>
                <w:szCs w:val="22"/>
              </w:rPr>
            </w:pPr>
          </w:p>
          <w:p w14:paraId="35C1FD7D" w14:textId="3B882185" w:rsidR="00F66784" w:rsidRDefault="00F66784" w:rsidP="00310162">
            <w:pPr>
              <w:pStyle w:val="PLANNING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lastRenderedPageBreak/>
              <w:t>3/2022/0177 – Discharge of conditions 3 (materials), 5 (Construction method statement), 9 (Drainage), 10 (CMS), 13 (bat and bird boxes), 16 (lighting) and 17 (boundary treatments) of application 3/2019/1104 – Approved.</w:t>
            </w:r>
          </w:p>
          <w:p w14:paraId="546D3E71" w14:textId="77777777" w:rsidR="00F66784" w:rsidRDefault="00F66784" w:rsidP="00310162">
            <w:pPr>
              <w:pStyle w:val="PLANNING"/>
              <w:rPr>
                <w:rFonts w:asciiTheme="minorHAnsi" w:hAnsiTheme="minorHAnsi" w:cstheme="minorHAnsi"/>
                <w:bCs/>
                <w:szCs w:val="22"/>
              </w:rPr>
            </w:pPr>
          </w:p>
          <w:p w14:paraId="74B0CA7B" w14:textId="23A84669" w:rsidR="00F66784" w:rsidRDefault="00F66784" w:rsidP="00F66784">
            <w:pPr>
              <w:pStyle w:val="PLANNING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3/2022/0087 </w:t>
            </w:r>
            <w:r w:rsidR="007E729B">
              <w:rPr>
                <w:rFonts w:asciiTheme="minorHAnsi" w:hAnsiTheme="minorHAnsi" w:cstheme="minorHAnsi"/>
                <w:bCs/>
                <w:szCs w:val="22"/>
              </w:rPr>
              <w:t>–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="007E729B">
              <w:rPr>
                <w:rFonts w:asciiTheme="minorHAnsi" w:hAnsiTheme="minorHAnsi" w:cstheme="minorHAnsi"/>
                <w:bCs/>
                <w:szCs w:val="22"/>
              </w:rPr>
              <w:t xml:space="preserve">(Non-material) 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Amendment to planning permission 3/2019/1104 to allow changes to </w:t>
            </w:r>
            <w:proofErr w:type="spellStart"/>
            <w:r>
              <w:rPr>
                <w:rFonts w:asciiTheme="minorHAnsi" w:hAnsiTheme="minorHAnsi" w:cstheme="minorHAnsi"/>
                <w:bCs/>
                <w:szCs w:val="22"/>
              </w:rPr>
              <w:t>housetypes</w:t>
            </w:r>
            <w:proofErr w:type="spellEnd"/>
            <w:r>
              <w:rPr>
                <w:rFonts w:asciiTheme="minorHAnsi" w:hAnsiTheme="minorHAnsi" w:cstheme="minorHAnsi"/>
                <w:bCs/>
                <w:szCs w:val="22"/>
              </w:rPr>
              <w:t xml:space="preserve"> to add variety and interest and to include the removal of one approved dwelling from the application (now 57 dwellings) – Approved.</w:t>
            </w:r>
          </w:p>
          <w:p w14:paraId="4324B497" w14:textId="77777777" w:rsidR="005F2756" w:rsidRDefault="005F2756" w:rsidP="00310162">
            <w:pPr>
              <w:pStyle w:val="PLANNING"/>
              <w:rPr>
                <w:rFonts w:asciiTheme="minorHAnsi" w:hAnsiTheme="minorHAnsi" w:cstheme="minorHAnsi"/>
                <w:bCs/>
                <w:szCs w:val="22"/>
              </w:rPr>
            </w:pPr>
          </w:p>
          <w:p w14:paraId="6AA454C4" w14:textId="42844E17" w:rsidR="005F2756" w:rsidRDefault="005F2756" w:rsidP="00310162">
            <w:pPr>
              <w:pStyle w:val="PLANNING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3/</w:t>
            </w:r>
            <w:r w:rsidR="00F66784">
              <w:rPr>
                <w:rFonts w:asciiTheme="minorHAnsi" w:hAnsiTheme="minorHAnsi" w:cstheme="minorHAnsi"/>
                <w:bCs/>
                <w:szCs w:val="22"/>
              </w:rPr>
              <w:t>2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019/1104 – Erection of 58 dwellings (including 30% affordable) with open space, </w:t>
            </w:r>
            <w:proofErr w:type="gramStart"/>
            <w:r>
              <w:rPr>
                <w:rFonts w:asciiTheme="minorHAnsi" w:hAnsiTheme="minorHAnsi" w:cstheme="minorHAnsi"/>
                <w:bCs/>
                <w:szCs w:val="22"/>
              </w:rPr>
              <w:t>infrastructure</w:t>
            </w:r>
            <w:proofErr w:type="gramEnd"/>
            <w:r>
              <w:rPr>
                <w:rFonts w:asciiTheme="minorHAnsi" w:hAnsiTheme="minorHAnsi" w:cstheme="minorHAnsi"/>
                <w:bCs/>
                <w:szCs w:val="22"/>
              </w:rPr>
              <w:t xml:space="preserve"> and associated works – Approved subject to legal agreement.</w:t>
            </w:r>
          </w:p>
          <w:p w14:paraId="3FA928E0" w14:textId="5AB8466B" w:rsidR="0015636B" w:rsidRPr="004D0149" w:rsidRDefault="0015636B" w:rsidP="00310162">
            <w:pPr>
              <w:pStyle w:val="PLANNING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8C75E4" w:rsidRPr="008C75E4" w14:paraId="5D94AD40" w14:textId="77777777" w:rsidTr="00687A80">
        <w:trPr>
          <w:trHeight w:hRule="exact" w:val="144"/>
          <w:jc w:val="center"/>
        </w:trPr>
        <w:tc>
          <w:tcPr>
            <w:tcW w:w="9569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122CD92F" w14:textId="77777777" w:rsidR="003F16AA" w:rsidRPr="00504440" w:rsidRDefault="003F16AA" w:rsidP="00504440">
            <w:pPr>
              <w:rPr>
                <w:sz w:val="4"/>
                <w:szCs w:val="4"/>
              </w:rPr>
            </w:pPr>
          </w:p>
        </w:tc>
      </w:tr>
      <w:tr w:rsidR="008C75E4" w:rsidRPr="008C75E4" w14:paraId="17F66015" w14:textId="77777777" w:rsidTr="00687A80">
        <w:trPr>
          <w:jc w:val="center"/>
        </w:trPr>
        <w:tc>
          <w:tcPr>
            <w:tcW w:w="9569" w:type="dxa"/>
            <w:gridSpan w:val="14"/>
            <w:tcMar>
              <w:top w:w="57" w:type="dxa"/>
              <w:bottom w:w="57" w:type="dxa"/>
            </w:tcMar>
          </w:tcPr>
          <w:p w14:paraId="2BC74D8A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14:paraId="341DBF73" w14:textId="77777777" w:rsidTr="00687A80">
        <w:trPr>
          <w:trHeight w:val="1152"/>
          <w:jc w:val="center"/>
        </w:trPr>
        <w:tc>
          <w:tcPr>
            <w:tcW w:w="9569" w:type="dxa"/>
            <w:gridSpan w:val="14"/>
            <w:tcMar>
              <w:top w:w="57" w:type="dxa"/>
              <w:bottom w:w="57" w:type="dxa"/>
            </w:tcMar>
          </w:tcPr>
          <w:p w14:paraId="61D0BAE7" w14:textId="77777777" w:rsidR="00D102D9" w:rsidRDefault="00C0704D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Description and Surrounding Area:</w:t>
            </w:r>
          </w:p>
          <w:p w14:paraId="46134DCA" w14:textId="77777777" w:rsidR="00144414" w:rsidRDefault="00144414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1800F864" w14:textId="25613D65" w:rsidR="00E821C1" w:rsidRDefault="0015636B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site</w:t>
            </w:r>
            <w:r w:rsidR="00237F18">
              <w:rPr>
                <w:rFonts w:ascii="Calibri" w:hAnsi="Calibri"/>
                <w:szCs w:val="22"/>
              </w:rPr>
              <w:t xml:space="preserve"> </w:t>
            </w:r>
            <w:r w:rsidR="00956DD2">
              <w:rPr>
                <w:rFonts w:ascii="Calibri" w:hAnsi="Calibri"/>
                <w:szCs w:val="22"/>
              </w:rPr>
              <w:t xml:space="preserve">has permission for 58 residential properties </w:t>
            </w:r>
            <w:r w:rsidR="00687A80">
              <w:rPr>
                <w:rFonts w:ascii="Calibri" w:hAnsi="Calibri"/>
                <w:szCs w:val="22"/>
              </w:rPr>
              <w:t xml:space="preserve">(amended to 57 units) </w:t>
            </w:r>
            <w:r w:rsidR="002B0846">
              <w:rPr>
                <w:rFonts w:ascii="Calibri" w:hAnsi="Calibri"/>
                <w:szCs w:val="22"/>
              </w:rPr>
              <w:t xml:space="preserve">located </w:t>
            </w:r>
            <w:r w:rsidR="009F6D2D">
              <w:rPr>
                <w:rFonts w:ascii="Calibri" w:hAnsi="Calibri"/>
                <w:szCs w:val="22"/>
              </w:rPr>
              <w:t>to the</w:t>
            </w:r>
            <w:r w:rsidR="002B0846">
              <w:rPr>
                <w:rFonts w:ascii="Calibri" w:hAnsi="Calibri"/>
                <w:szCs w:val="22"/>
              </w:rPr>
              <w:t xml:space="preserve"> </w:t>
            </w:r>
            <w:r w:rsidR="00956DD2">
              <w:rPr>
                <w:rFonts w:ascii="Calibri" w:hAnsi="Calibri"/>
                <w:szCs w:val="22"/>
              </w:rPr>
              <w:t>north</w:t>
            </w:r>
            <w:r w:rsidR="009F6D2D">
              <w:rPr>
                <w:rFonts w:ascii="Calibri" w:hAnsi="Calibri"/>
                <w:szCs w:val="22"/>
              </w:rPr>
              <w:t>-east</w:t>
            </w:r>
            <w:r w:rsidR="002B0846">
              <w:rPr>
                <w:rFonts w:ascii="Calibri" w:hAnsi="Calibri"/>
                <w:szCs w:val="22"/>
              </w:rPr>
              <w:t xml:space="preserve"> </w:t>
            </w:r>
            <w:r w:rsidR="00956DD2">
              <w:rPr>
                <w:rFonts w:ascii="Calibri" w:hAnsi="Calibri"/>
                <w:szCs w:val="22"/>
              </w:rPr>
              <w:t>o</w:t>
            </w:r>
            <w:r w:rsidR="002B0846">
              <w:rPr>
                <w:rFonts w:ascii="Calibri" w:hAnsi="Calibri"/>
                <w:szCs w:val="22"/>
              </w:rPr>
              <w:t xml:space="preserve">f </w:t>
            </w:r>
            <w:r w:rsidR="00956DD2">
              <w:rPr>
                <w:rFonts w:ascii="Calibri" w:hAnsi="Calibri"/>
                <w:szCs w:val="22"/>
              </w:rPr>
              <w:t xml:space="preserve">Hawthorne Place, </w:t>
            </w:r>
            <w:r w:rsidR="002B0846">
              <w:rPr>
                <w:rFonts w:ascii="Calibri" w:hAnsi="Calibri"/>
                <w:szCs w:val="22"/>
              </w:rPr>
              <w:t>Clitheroe</w:t>
            </w:r>
            <w:r w:rsidR="009F6D2D">
              <w:rPr>
                <w:rFonts w:ascii="Calibri" w:hAnsi="Calibri"/>
                <w:szCs w:val="22"/>
              </w:rPr>
              <w:t xml:space="preserve">. </w:t>
            </w:r>
            <w:r w:rsidR="00956DD2">
              <w:rPr>
                <w:rFonts w:ascii="Calibri" w:hAnsi="Calibri"/>
                <w:szCs w:val="22"/>
              </w:rPr>
              <w:t xml:space="preserve">Work </w:t>
            </w:r>
            <w:r w:rsidR="00B177B2">
              <w:rPr>
                <w:rFonts w:ascii="Calibri" w:hAnsi="Calibri"/>
                <w:szCs w:val="22"/>
              </w:rPr>
              <w:t>has commended on the site and a small number of units have been completed.</w:t>
            </w:r>
          </w:p>
          <w:p w14:paraId="1F9F0F61" w14:textId="229AA8DA" w:rsidR="00144414" w:rsidRPr="00E821C1" w:rsidRDefault="00144414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28776CD5" w14:textId="77777777" w:rsidTr="00687A80">
        <w:trPr>
          <w:trHeight w:val="1152"/>
          <w:jc w:val="center"/>
        </w:trPr>
        <w:tc>
          <w:tcPr>
            <w:tcW w:w="9569" w:type="dxa"/>
            <w:gridSpan w:val="14"/>
            <w:tcMar>
              <w:top w:w="57" w:type="dxa"/>
              <w:bottom w:w="57" w:type="dxa"/>
            </w:tcMar>
          </w:tcPr>
          <w:p w14:paraId="744675FE" w14:textId="77777777" w:rsidR="00F8201E" w:rsidRDefault="00C0704D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Proposed Development for which consent is sought:</w:t>
            </w:r>
          </w:p>
          <w:p w14:paraId="29E6664D" w14:textId="77777777" w:rsidR="00144414" w:rsidRDefault="00144414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</w:p>
          <w:p w14:paraId="49E17039" w14:textId="77777777" w:rsidR="00687A80" w:rsidRPr="00A11BCC" w:rsidRDefault="00687A80" w:rsidP="00687A8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Cs/>
                <w:szCs w:val="22"/>
              </w:rPr>
            </w:pPr>
            <w:r w:rsidRPr="00A11BCC">
              <w:rPr>
                <w:rFonts w:ascii="Calibri" w:hAnsi="Calibri"/>
                <w:bCs/>
                <w:szCs w:val="22"/>
              </w:rPr>
              <w:t xml:space="preserve">The application seeks to vary the section 106 agreement relating to </w:t>
            </w:r>
            <w:r>
              <w:rPr>
                <w:rFonts w:ascii="Calibri" w:hAnsi="Calibri"/>
                <w:bCs/>
                <w:szCs w:val="22"/>
              </w:rPr>
              <w:t>Hawthorn Farm, Hawthorne Place, Clitheroe</w:t>
            </w:r>
            <w:r w:rsidRPr="00A11BCC">
              <w:rPr>
                <w:rFonts w:ascii="Calibri" w:hAnsi="Calibri"/>
                <w:bCs/>
                <w:szCs w:val="22"/>
              </w:rPr>
              <w:t>.  The submitted details propose t</w:t>
            </w:r>
            <w:r>
              <w:rPr>
                <w:rFonts w:ascii="Calibri" w:hAnsi="Calibri"/>
                <w:bCs/>
                <w:szCs w:val="22"/>
              </w:rPr>
              <w:t xml:space="preserve">o vary the wording of the definition of over 55’s accommodation to remove reference to the term ‘bungalow’ and the requirement for a bedroom to be on the ground floor. This revised wording is to reflect the fact that the older person units previously approved were two-storey, and so it seeks to align the s106 with the approved plans.  </w:t>
            </w:r>
          </w:p>
          <w:p w14:paraId="689B11FF" w14:textId="77777777" w:rsidR="00687A80" w:rsidRDefault="00687A80" w:rsidP="00687A8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200E54EE" w14:textId="77777777" w:rsidR="00687A80" w:rsidRPr="00BF2460" w:rsidRDefault="00687A80" w:rsidP="00687A8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In this respect s</w:t>
            </w:r>
            <w:r w:rsidRPr="00BF2460">
              <w:rPr>
                <w:rFonts w:ascii="Calibri" w:hAnsi="Calibri"/>
                <w:bCs/>
                <w:szCs w:val="22"/>
              </w:rPr>
              <w:t>ection 106A (Modification and discharge of planning obligations) of the Town and Country planning Act (1990) states the following:</w:t>
            </w:r>
          </w:p>
          <w:p w14:paraId="60DCFA83" w14:textId="77777777" w:rsidR="00687A80" w:rsidRPr="00BF2460" w:rsidRDefault="00687A80" w:rsidP="00687A8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Cs/>
                <w:szCs w:val="22"/>
              </w:rPr>
            </w:pPr>
          </w:p>
          <w:p w14:paraId="18835B71" w14:textId="77777777" w:rsidR="00687A80" w:rsidRPr="00BF2460" w:rsidRDefault="00687A80" w:rsidP="00687A80">
            <w:pPr>
              <w:pStyle w:val="Header"/>
              <w:jc w:val="both"/>
              <w:rPr>
                <w:rFonts w:ascii="Calibri" w:hAnsi="Calibri"/>
                <w:bCs/>
                <w:i/>
                <w:iCs/>
                <w:szCs w:val="22"/>
              </w:rPr>
            </w:pPr>
            <w:r w:rsidRPr="00BF2460">
              <w:rPr>
                <w:rFonts w:ascii="Calibri" w:hAnsi="Calibri"/>
                <w:bCs/>
                <w:i/>
                <w:iCs/>
                <w:szCs w:val="22"/>
              </w:rPr>
              <w:t xml:space="preserve">106A (6) Where an application is made to an authority under subsection (3), the authority may </w:t>
            </w:r>
            <w:proofErr w:type="gramStart"/>
            <w:r w:rsidRPr="00BF2460">
              <w:rPr>
                <w:rFonts w:ascii="Calibri" w:hAnsi="Calibri"/>
                <w:bCs/>
                <w:i/>
                <w:iCs/>
                <w:szCs w:val="22"/>
              </w:rPr>
              <w:t>determine</w:t>
            </w:r>
            <w:proofErr w:type="gramEnd"/>
          </w:p>
          <w:p w14:paraId="0257CE74" w14:textId="77777777" w:rsidR="00687A80" w:rsidRPr="00BF2460" w:rsidRDefault="00687A80" w:rsidP="00687A80">
            <w:pPr>
              <w:pStyle w:val="Header"/>
              <w:jc w:val="both"/>
              <w:rPr>
                <w:rFonts w:ascii="Calibri" w:hAnsi="Calibri"/>
                <w:bCs/>
                <w:i/>
                <w:iCs/>
                <w:szCs w:val="22"/>
              </w:rPr>
            </w:pPr>
          </w:p>
          <w:p w14:paraId="7D97E7CB" w14:textId="77777777" w:rsidR="00687A80" w:rsidRPr="00BF2460" w:rsidRDefault="00687A80" w:rsidP="00687A80">
            <w:pPr>
              <w:pStyle w:val="Header"/>
              <w:numPr>
                <w:ilvl w:val="0"/>
                <w:numId w:val="11"/>
              </w:numPr>
              <w:jc w:val="both"/>
              <w:rPr>
                <w:rFonts w:ascii="Calibri" w:hAnsi="Calibri"/>
                <w:bCs/>
                <w:i/>
                <w:iCs/>
                <w:szCs w:val="22"/>
              </w:rPr>
            </w:pPr>
            <w:r w:rsidRPr="00BF2460">
              <w:rPr>
                <w:rFonts w:ascii="Calibri" w:hAnsi="Calibri"/>
                <w:bCs/>
                <w:i/>
                <w:iCs/>
                <w:szCs w:val="22"/>
              </w:rPr>
              <w:t xml:space="preserve">that the planning obligation shall continue to have effect without </w:t>
            </w:r>
            <w:proofErr w:type="gramStart"/>
            <w:r w:rsidRPr="00BF2460">
              <w:rPr>
                <w:rFonts w:ascii="Calibri" w:hAnsi="Calibri"/>
                <w:bCs/>
                <w:i/>
                <w:iCs/>
                <w:szCs w:val="22"/>
              </w:rPr>
              <w:t>modification;</w:t>
            </w:r>
            <w:proofErr w:type="gramEnd"/>
          </w:p>
          <w:p w14:paraId="47A444AB" w14:textId="77777777" w:rsidR="00687A80" w:rsidRPr="00BF2460" w:rsidRDefault="00687A80" w:rsidP="00687A80">
            <w:pPr>
              <w:pStyle w:val="Header"/>
              <w:numPr>
                <w:ilvl w:val="0"/>
                <w:numId w:val="11"/>
              </w:numPr>
              <w:jc w:val="both"/>
              <w:rPr>
                <w:rFonts w:ascii="Calibri" w:hAnsi="Calibri"/>
                <w:bCs/>
                <w:i/>
                <w:iCs/>
                <w:szCs w:val="22"/>
              </w:rPr>
            </w:pPr>
            <w:r w:rsidRPr="00BF2460">
              <w:rPr>
                <w:rFonts w:ascii="Calibri" w:hAnsi="Calibri"/>
                <w:bCs/>
                <w:i/>
                <w:iCs/>
                <w:szCs w:val="22"/>
              </w:rPr>
              <w:t>if the obligation no longer serves a useful purpose, that it shall be discharged; or</w:t>
            </w:r>
          </w:p>
          <w:p w14:paraId="03EB3083" w14:textId="77777777" w:rsidR="00687A80" w:rsidRPr="00BF2460" w:rsidRDefault="00687A80" w:rsidP="00687A80">
            <w:pPr>
              <w:pStyle w:val="Header"/>
              <w:numPr>
                <w:ilvl w:val="0"/>
                <w:numId w:val="11"/>
              </w:numPr>
              <w:jc w:val="both"/>
              <w:rPr>
                <w:rFonts w:ascii="Calibri" w:hAnsi="Calibri"/>
                <w:bCs/>
                <w:i/>
                <w:iCs/>
                <w:szCs w:val="22"/>
              </w:rPr>
            </w:pPr>
            <w:r w:rsidRPr="00BF2460">
              <w:rPr>
                <w:rFonts w:ascii="Calibri" w:hAnsi="Calibri"/>
                <w:bCs/>
                <w:i/>
                <w:iCs/>
                <w:szCs w:val="22"/>
              </w:rPr>
              <w:t xml:space="preserve">if the obligation continues to serve a useful purpose, but would serve that purpose equally well if it had effect subject to the modifications specified in the application, that it shall have effect subject to those </w:t>
            </w:r>
            <w:proofErr w:type="gramStart"/>
            <w:r w:rsidRPr="00BF2460">
              <w:rPr>
                <w:rFonts w:ascii="Calibri" w:hAnsi="Calibri"/>
                <w:bCs/>
                <w:i/>
                <w:iCs/>
                <w:szCs w:val="22"/>
              </w:rPr>
              <w:t>modifications</w:t>
            </w:r>
            <w:proofErr w:type="gramEnd"/>
          </w:p>
          <w:p w14:paraId="70B0C3A4" w14:textId="77777777" w:rsidR="00687A80" w:rsidRDefault="00687A80" w:rsidP="00687A80">
            <w:pPr>
              <w:pStyle w:val="Header"/>
              <w:jc w:val="both"/>
              <w:rPr>
                <w:rFonts w:ascii="Calibri" w:hAnsi="Calibri"/>
                <w:b/>
                <w:szCs w:val="22"/>
              </w:rPr>
            </w:pPr>
          </w:p>
          <w:p w14:paraId="484E514E" w14:textId="77777777" w:rsidR="00687A80" w:rsidRPr="00651F53" w:rsidRDefault="00687A80" w:rsidP="00687A8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Cs/>
                <w:szCs w:val="22"/>
              </w:rPr>
            </w:pPr>
            <w:r w:rsidRPr="00651F53">
              <w:rPr>
                <w:rFonts w:ascii="Calibri" w:hAnsi="Calibri"/>
                <w:bCs/>
                <w:szCs w:val="22"/>
              </w:rPr>
              <w:t xml:space="preserve">Consent for the </w:t>
            </w:r>
            <w:r>
              <w:rPr>
                <w:rFonts w:ascii="Calibri" w:hAnsi="Calibri"/>
                <w:bCs/>
                <w:szCs w:val="22"/>
              </w:rPr>
              <w:t xml:space="preserve">housing site </w:t>
            </w:r>
            <w:r w:rsidRPr="00651F53">
              <w:rPr>
                <w:rFonts w:ascii="Calibri" w:hAnsi="Calibri"/>
                <w:bCs/>
                <w:szCs w:val="22"/>
              </w:rPr>
              <w:t xml:space="preserve">was granted in </w:t>
            </w:r>
            <w:r>
              <w:rPr>
                <w:rFonts w:ascii="Calibri" w:hAnsi="Calibri"/>
                <w:bCs/>
                <w:szCs w:val="22"/>
              </w:rPr>
              <w:t>202</w:t>
            </w:r>
            <w:r w:rsidRPr="00651F53">
              <w:rPr>
                <w:rFonts w:ascii="Calibri" w:hAnsi="Calibri"/>
                <w:bCs/>
                <w:szCs w:val="22"/>
              </w:rPr>
              <w:t>1 (3/</w:t>
            </w:r>
            <w:r>
              <w:rPr>
                <w:rFonts w:ascii="Calibri" w:hAnsi="Calibri"/>
                <w:bCs/>
                <w:szCs w:val="22"/>
              </w:rPr>
              <w:t>20</w:t>
            </w:r>
            <w:r w:rsidRPr="00651F53">
              <w:rPr>
                <w:rFonts w:ascii="Calibri" w:hAnsi="Calibri"/>
                <w:bCs/>
                <w:szCs w:val="22"/>
              </w:rPr>
              <w:t>19/</w:t>
            </w:r>
            <w:r>
              <w:rPr>
                <w:rFonts w:ascii="Calibri" w:hAnsi="Calibri"/>
                <w:bCs/>
                <w:szCs w:val="22"/>
              </w:rPr>
              <w:t>11</w:t>
            </w:r>
            <w:r w:rsidRPr="00651F53">
              <w:rPr>
                <w:rFonts w:ascii="Calibri" w:hAnsi="Calibri"/>
                <w:bCs/>
                <w:szCs w:val="22"/>
              </w:rPr>
              <w:t>0</w:t>
            </w:r>
            <w:r>
              <w:rPr>
                <w:rFonts w:ascii="Calibri" w:hAnsi="Calibri"/>
                <w:bCs/>
                <w:szCs w:val="22"/>
              </w:rPr>
              <w:t>4</w:t>
            </w:r>
            <w:r w:rsidRPr="00651F53">
              <w:rPr>
                <w:rFonts w:ascii="Calibri" w:hAnsi="Calibri"/>
                <w:bCs/>
                <w:szCs w:val="22"/>
              </w:rPr>
              <w:t xml:space="preserve">) with an associated section 106 agreement that </w:t>
            </w:r>
            <w:r>
              <w:rPr>
                <w:rFonts w:ascii="Calibri" w:hAnsi="Calibri"/>
                <w:bCs/>
                <w:szCs w:val="22"/>
              </w:rPr>
              <w:t xml:space="preserve">secured the provision of affordable housing, older person housing, education and </w:t>
            </w:r>
            <w:proofErr w:type="gramStart"/>
            <w:r>
              <w:rPr>
                <w:rFonts w:ascii="Calibri" w:hAnsi="Calibri"/>
                <w:bCs/>
                <w:szCs w:val="22"/>
              </w:rPr>
              <w:t>off site</w:t>
            </w:r>
            <w:proofErr w:type="gramEnd"/>
            <w:r>
              <w:rPr>
                <w:rFonts w:ascii="Calibri" w:hAnsi="Calibri"/>
                <w:bCs/>
                <w:szCs w:val="22"/>
              </w:rPr>
              <w:t xml:space="preserve"> recreation contributions.</w:t>
            </w:r>
          </w:p>
          <w:p w14:paraId="7F91F85F" w14:textId="77777777" w:rsidR="00687A80" w:rsidRPr="00651F53" w:rsidRDefault="00687A80" w:rsidP="00687A8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Cs/>
                <w:szCs w:val="22"/>
              </w:rPr>
            </w:pPr>
          </w:p>
          <w:p w14:paraId="1DF248F4" w14:textId="6B9A9ECB" w:rsidR="00687A80" w:rsidRDefault="00687A80" w:rsidP="00CA524A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The proposed variation </w:t>
            </w:r>
            <w:r w:rsidRPr="00A11BCC">
              <w:rPr>
                <w:rFonts w:ascii="Calibri" w:hAnsi="Calibri"/>
                <w:bCs/>
                <w:szCs w:val="22"/>
              </w:rPr>
              <w:t xml:space="preserve">to the original section 106 agreement </w:t>
            </w:r>
            <w:r>
              <w:rPr>
                <w:rFonts w:ascii="Calibri" w:hAnsi="Calibri"/>
                <w:bCs/>
                <w:szCs w:val="22"/>
              </w:rPr>
              <w:t>does not change the provision of the approved older person open market accommodation, just to clarify it with</w:t>
            </w:r>
            <w:r w:rsidRPr="00A11BCC">
              <w:rPr>
                <w:rFonts w:ascii="Calibri" w:hAnsi="Calibri"/>
                <w:bCs/>
                <w:szCs w:val="22"/>
              </w:rPr>
              <w:t xml:space="preserve"> the </w:t>
            </w:r>
            <w:r>
              <w:rPr>
                <w:rFonts w:ascii="Calibri" w:hAnsi="Calibri"/>
                <w:bCs/>
                <w:szCs w:val="22"/>
              </w:rPr>
              <w:t>correction of the terminology.  There is therefore no material change to the obligations previously secured</w:t>
            </w:r>
            <w:r w:rsidR="00CA524A">
              <w:rPr>
                <w:rFonts w:ascii="Calibri" w:hAnsi="Calibri"/>
                <w:bCs/>
                <w:szCs w:val="22"/>
              </w:rPr>
              <w:t xml:space="preserve"> and t</w:t>
            </w:r>
            <w:r w:rsidR="00CA524A">
              <w:rPr>
                <w:rFonts w:ascii="Calibri" w:hAnsi="Calibri"/>
                <w:szCs w:val="22"/>
              </w:rPr>
              <w:t xml:space="preserve">he proposal does not result in any conflict with policy H2 of the Core Strategy, which aims to ensure that there is a suitable mix of housing to meet the housing needs and demands for the borough and ensure that properties are available to accommodate the changing needs of occupants. </w:t>
            </w:r>
          </w:p>
          <w:p w14:paraId="4E297B99" w14:textId="6F66DA4C" w:rsidR="00BC46BC" w:rsidRPr="00687A80" w:rsidRDefault="00BC46BC" w:rsidP="00687A80">
            <w:pPr>
              <w:pStyle w:val="Header"/>
              <w:jc w:val="both"/>
              <w:rPr>
                <w:rFonts w:asciiTheme="minorHAnsi" w:hAnsiTheme="minorHAnsi"/>
                <w:bCs/>
                <w:szCs w:val="22"/>
              </w:rPr>
            </w:pPr>
          </w:p>
        </w:tc>
      </w:tr>
      <w:tr w:rsidR="008C75E4" w:rsidRPr="008C75E4" w14:paraId="2AF9B66B" w14:textId="77777777" w:rsidTr="00687A80">
        <w:trPr>
          <w:trHeight w:val="864"/>
          <w:jc w:val="center"/>
        </w:trPr>
        <w:tc>
          <w:tcPr>
            <w:tcW w:w="9569" w:type="dxa"/>
            <w:gridSpan w:val="14"/>
            <w:tcMar>
              <w:top w:w="57" w:type="dxa"/>
              <w:bottom w:w="57" w:type="dxa"/>
            </w:tcMar>
          </w:tcPr>
          <w:p w14:paraId="5725DC93" w14:textId="77777777" w:rsidR="00C0704D" w:rsidRPr="008C75E4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Observations/Consideration of Matters Raised/Conclusion:</w:t>
            </w:r>
          </w:p>
          <w:p w14:paraId="2A50F728" w14:textId="77777777" w:rsidR="00CA524A" w:rsidRDefault="00CA524A" w:rsidP="00237F18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476BA3D0" w14:textId="735798EC" w:rsidR="00101C3F" w:rsidRDefault="00CA524A" w:rsidP="00237F18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lastRenderedPageBreak/>
              <w:t>Taking account of the above</w:t>
            </w:r>
            <w:r w:rsidRPr="00A11BCC">
              <w:rPr>
                <w:rFonts w:ascii="Calibri" w:hAnsi="Calibri"/>
                <w:bCs/>
                <w:szCs w:val="22"/>
              </w:rPr>
              <w:t xml:space="preserve"> and taking account of the provisions of section 106A (6) (</w:t>
            </w:r>
            <w:r w:rsidR="00355AC5">
              <w:rPr>
                <w:rFonts w:ascii="Calibri" w:hAnsi="Calibri"/>
                <w:bCs/>
                <w:szCs w:val="22"/>
              </w:rPr>
              <w:t>C</w:t>
            </w:r>
            <w:r w:rsidRPr="00A11BCC">
              <w:rPr>
                <w:rFonts w:ascii="Calibri" w:hAnsi="Calibri"/>
                <w:bCs/>
                <w:szCs w:val="22"/>
              </w:rPr>
              <w:t xml:space="preserve">) of the </w:t>
            </w:r>
            <w:r w:rsidRPr="00A11BCC">
              <w:rPr>
                <w:rFonts w:asciiTheme="minorHAnsi" w:hAnsiTheme="minorHAnsi"/>
                <w:bCs/>
                <w:szCs w:val="22"/>
              </w:rPr>
              <w:t xml:space="preserve">Town and Country Planning Act (1990), it is considered that the </w:t>
            </w:r>
            <w:r>
              <w:rPr>
                <w:rFonts w:asciiTheme="minorHAnsi" w:hAnsiTheme="minorHAnsi"/>
                <w:bCs/>
                <w:szCs w:val="22"/>
              </w:rPr>
              <w:t xml:space="preserve">variation to the </w:t>
            </w:r>
            <w:r w:rsidRPr="00A11BCC">
              <w:rPr>
                <w:rFonts w:asciiTheme="minorHAnsi" w:hAnsiTheme="minorHAnsi"/>
                <w:bCs/>
                <w:szCs w:val="22"/>
              </w:rPr>
              <w:t xml:space="preserve">existing agreement </w:t>
            </w:r>
            <w:r>
              <w:rPr>
                <w:rFonts w:asciiTheme="minorHAnsi" w:hAnsiTheme="minorHAnsi"/>
                <w:bCs/>
                <w:szCs w:val="22"/>
              </w:rPr>
              <w:t>is acceptable and should be approved.</w:t>
            </w:r>
          </w:p>
          <w:p w14:paraId="628BDF13" w14:textId="44C2F8BE" w:rsidR="008A1F9A" w:rsidRPr="00BA2247" w:rsidRDefault="008A1F9A" w:rsidP="00CA524A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C0704D" w:rsidRPr="008C75E4" w14:paraId="14530A24" w14:textId="77777777" w:rsidTr="00687A80">
        <w:trPr>
          <w:jc w:val="center"/>
        </w:trPr>
        <w:tc>
          <w:tcPr>
            <w:tcW w:w="2837" w:type="dxa"/>
            <w:gridSpan w:val="4"/>
            <w:tcMar>
              <w:top w:w="57" w:type="dxa"/>
              <w:bottom w:w="57" w:type="dxa"/>
            </w:tcMar>
          </w:tcPr>
          <w:p w14:paraId="48D7EA88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lastRenderedPageBreak/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732" w:type="dxa"/>
            <w:gridSpan w:val="10"/>
          </w:tcPr>
          <w:p w14:paraId="1E4D3E12" w14:textId="05CEB106" w:rsidR="00C0704D" w:rsidRPr="008C75E4" w:rsidRDefault="00237F18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That the</w:t>
            </w:r>
            <w:r w:rsidR="00161CE4">
              <w:rPr>
                <w:rFonts w:ascii="Calibri" w:hAnsi="Calibri"/>
                <w:bCs/>
                <w:szCs w:val="22"/>
              </w:rPr>
              <w:t xml:space="preserve"> </w:t>
            </w:r>
            <w:r w:rsidR="00144414">
              <w:rPr>
                <w:rFonts w:ascii="Calibri" w:hAnsi="Calibri"/>
                <w:bCs/>
                <w:szCs w:val="22"/>
              </w:rPr>
              <w:t xml:space="preserve">variation to the </w:t>
            </w:r>
            <w:r>
              <w:rPr>
                <w:rFonts w:ascii="Calibri" w:hAnsi="Calibri"/>
                <w:bCs/>
                <w:szCs w:val="22"/>
              </w:rPr>
              <w:t xml:space="preserve">S106 </w:t>
            </w:r>
            <w:r w:rsidR="00144414">
              <w:rPr>
                <w:rFonts w:ascii="Calibri" w:hAnsi="Calibri"/>
                <w:bCs/>
                <w:szCs w:val="22"/>
              </w:rPr>
              <w:t>Agreement be granted.</w:t>
            </w:r>
            <w:r>
              <w:rPr>
                <w:rFonts w:ascii="Calibri" w:hAnsi="Calibri"/>
                <w:bCs/>
                <w:szCs w:val="22"/>
              </w:rPr>
              <w:t xml:space="preserve"> </w:t>
            </w:r>
          </w:p>
        </w:tc>
      </w:tr>
    </w:tbl>
    <w:p w14:paraId="50B8B323" w14:textId="775A1C3D" w:rsidR="00F66784" w:rsidRDefault="00F66784" w:rsidP="006126D1">
      <w:pPr>
        <w:jc w:val="both"/>
        <w:rPr>
          <w:rFonts w:ascii="Calibri" w:hAnsi="Calibri"/>
          <w:szCs w:val="22"/>
        </w:rPr>
      </w:pPr>
    </w:p>
    <w:sectPr w:rsidR="00F66784" w:rsidSect="0050444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96DAA" w14:textId="77777777" w:rsidR="00D80310" w:rsidRDefault="00D80310" w:rsidP="006D0B5F">
      <w:r>
        <w:separator/>
      </w:r>
    </w:p>
  </w:endnote>
  <w:endnote w:type="continuationSeparator" w:id="0">
    <w:p w14:paraId="75AFA8F1" w14:textId="77777777" w:rsidR="00D80310" w:rsidRDefault="00D80310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ECC4C" w14:textId="77777777" w:rsidR="00D80310" w:rsidRDefault="00D80310" w:rsidP="006D0B5F">
      <w:r>
        <w:separator/>
      </w:r>
    </w:p>
  </w:footnote>
  <w:footnote w:type="continuationSeparator" w:id="0">
    <w:p w14:paraId="1C5912BB" w14:textId="77777777" w:rsidR="00D80310" w:rsidRDefault="00D80310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4ED4"/>
    <w:multiLevelType w:val="hybridMultilevel"/>
    <w:tmpl w:val="B4C810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51906"/>
    <w:multiLevelType w:val="hybridMultilevel"/>
    <w:tmpl w:val="4BFE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42780"/>
    <w:multiLevelType w:val="hybridMultilevel"/>
    <w:tmpl w:val="3EDC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B2938"/>
    <w:multiLevelType w:val="hybridMultilevel"/>
    <w:tmpl w:val="024E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62D32"/>
    <w:multiLevelType w:val="hybridMultilevel"/>
    <w:tmpl w:val="43CC4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137597">
    <w:abstractNumId w:val="10"/>
  </w:num>
  <w:num w:numId="2" w16cid:durableId="768355274">
    <w:abstractNumId w:val="8"/>
  </w:num>
  <w:num w:numId="3" w16cid:durableId="388840446">
    <w:abstractNumId w:val="4"/>
  </w:num>
  <w:num w:numId="4" w16cid:durableId="1786466786">
    <w:abstractNumId w:val="5"/>
  </w:num>
  <w:num w:numId="5" w16cid:durableId="752623538">
    <w:abstractNumId w:val="1"/>
  </w:num>
  <w:num w:numId="6" w16cid:durableId="1998848627">
    <w:abstractNumId w:val="2"/>
  </w:num>
  <w:num w:numId="7" w16cid:durableId="438718735">
    <w:abstractNumId w:val="6"/>
  </w:num>
  <w:num w:numId="8" w16cid:durableId="1145317743">
    <w:abstractNumId w:val="9"/>
  </w:num>
  <w:num w:numId="9" w16cid:durableId="464006775">
    <w:abstractNumId w:val="3"/>
  </w:num>
  <w:num w:numId="10" w16cid:durableId="1247763936">
    <w:abstractNumId w:val="7"/>
  </w:num>
  <w:num w:numId="11" w16cid:durableId="1545681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75DD"/>
    <w:rsid w:val="00016A73"/>
    <w:rsid w:val="00041FBF"/>
    <w:rsid w:val="00055B13"/>
    <w:rsid w:val="0008638E"/>
    <w:rsid w:val="000B5CB5"/>
    <w:rsid w:val="000C7A57"/>
    <w:rsid w:val="000E1539"/>
    <w:rsid w:val="00101855"/>
    <w:rsid w:val="00101C3F"/>
    <w:rsid w:val="0010371E"/>
    <w:rsid w:val="00106932"/>
    <w:rsid w:val="00130035"/>
    <w:rsid w:val="00141512"/>
    <w:rsid w:val="00144414"/>
    <w:rsid w:val="0015636B"/>
    <w:rsid w:val="00161CE4"/>
    <w:rsid w:val="0016428F"/>
    <w:rsid w:val="00174004"/>
    <w:rsid w:val="00193439"/>
    <w:rsid w:val="001946E0"/>
    <w:rsid w:val="00196722"/>
    <w:rsid w:val="001B769B"/>
    <w:rsid w:val="001C1453"/>
    <w:rsid w:val="001D4F7A"/>
    <w:rsid w:val="001D5ADD"/>
    <w:rsid w:val="00203F50"/>
    <w:rsid w:val="00206E24"/>
    <w:rsid w:val="00237DA1"/>
    <w:rsid w:val="00237F18"/>
    <w:rsid w:val="00250879"/>
    <w:rsid w:val="00263B45"/>
    <w:rsid w:val="00284480"/>
    <w:rsid w:val="0028751A"/>
    <w:rsid w:val="0029334A"/>
    <w:rsid w:val="002A01CF"/>
    <w:rsid w:val="002A7DF7"/>
    <w:rsid w:val="002B0846"/>
    <w:rsid w:val="002B7854"/>
    <w:rsid w:val="002C6277"/>
    <w:rsid w:val="002D4346"/>
    <w:rsid w:val="002E2952"/>
    <w:rsid w:val="002E7CC1"/>
    <w:rsid w:val="002F041D"/>
    <w:rsid w:val="002F2580"/>
    <w:rsid w:val="002F7502"/>
    <w:rsid w:val="00310162"/>
    <w:rsid w:val="003137E0"/>
    <w:rsid w:val="00320A6F"/>
    <w:rsid w:val="00321B6E"/>
    <w:rsid w:val="003359D0"/>
    <w:rsid w:val="00341E8D"/>
    <w:rsid w:val="00347F5E"/>
    <w:rsid w:val="00355AC5"/>
    <w:rsid w:val="003562A3"/>
    <w:rsid w:val="003634D9"/>
    <w:rsid w:val="0036759A"/>
    <w:rsid w:val="003825D5"/>
    <w:rsid w:val="003A4376"/>
    <w:rsid w:val="003C28E1"/>
    <w:rsid w:val="003D29AF"/>
    <w:rsid w:val="003E2151"/>
    <w:rsid w:val="003F16AA"/>
    <w:rsid w:val="003F16B4"/>
    <w:rsid w:val="003F3DB5"/>
    <w:rsid w:val="003F481A"/>
    <w:rsid w:val="00404C72"/>
    <w:rsid w:val="00435FC9"/>
    <w:rsid w:val="0044039F"/>
    <w:rsid w:val="00440CB6"/>
    <w:rsid w:val="00446D63"/>
    <w:rsid w:val="00454754"/>
    <w:rsid w:val="004654DD"/>
    <w:rsid w:val="004854EC"/>
    <w:rsid w:val="004936A6"/>
    <w:rsid w:val="004947BB"/>
    <w:rsid w:val="004A5EA9"/>
    <w:rsid w:val="004A7F63"/>
    <w:rsid w:val="004B1DFD"/>
    <w:rsid w:val="004C2434"/>
    <w:rsid w:val="004D0149"/>
    <w:rsid w:val="004D6FC7"/>
    <w:rsid w:val="004E58E3"/>
    <w:rsid w:val="004F0649"/>
    <w:rsid w:val="004F1043"/>
    <w:rsid w:val="004F1E99"/>
    <w:rsid w:val="00503E36"/>
    <w:rsid w:val="0050432D"/>
    <w:rsid w:val="00504440"/>
    <w:rsid w:val="00510DBF"/>
    <w:rsid w:val="00510FA2"/>
    <w:rsid w:val="00510FE3"/>
    <w:rsid w:val="00521ABA"/>
    <w:rsid w:val="005226D1"/>
    <w:rsid w:val="00525341"/>
    <w:rsid w:val="00527A31"/>
    <w:rsid w:val="00534611"/>
    <w:rsid w:val="00545D8C"/>
    <w:rsid w:val="00556ECD"/>
    <w:rsid w:val="005631B3"/>
    <w:rsid w:val="005633B0"/>
    <w:rsid w:val="005635FF"/>
    <w:rsid w:val="00573B90"/>
    <w:rsid w:val="005878FE"/>
    <w:rsid w:val="00593040"/>
    <w:rsid w:val="005B0A0E"/>
    <w:rsid w:val="005D3432"/>
    <w:rsid w:val="005E1C6C"/>
    <w:rsid w:val="005E65DF"/>
    <w:rsid w:val="005F1593"/>
    <w:rsid w:val="005F259A"/>
    <w:rsid w:val="005F2756"/>
    <w:rsid w:val="006101D7"/>
    <w:rsid w:val="006124F1"/>
    <w:rsid w:val="006126D1"/>
    <w:rsid w:val="0061423C"/>
    <w:rsid w:val="006326A2"/>
    <w:rsid w:val="00633B50"/>
    <w:rsid w:val="00665C24"/>
    <w:rsid w:val="00687A80"/>
    <w:rsid w:val="00690EC3"/>
    <w:rsid w:val="00692B60"/>
    <w:rsid w:val="00695F88"/>
    <w:rsid w:val="006A71AD"/>
    <w:rsid w:val="006A7D5D"/>
    <w:rsid w:val="006C126E"/>
    <w:rsid w:val="006C2BFA"/>
    <w:rsid w:val="006D0B5F"/>
    <w:rsid w:val="006D4E58"/>
    <w:rsid w:val="006D7624"/>
    <w:rsid w:val="006F137D"/>
    <w:rsid w:val="006F4D38"/>
    <w:rsid w:val="0070054B"/>
    <w:rsid w:val="00706480"/>
    <w:rsid w:val="00710DBB"/>
    <w:rsid w:val="00714560"/>
    <w:rsid w:val="00725F1C"/>
    <w:rsid w:val="007430C8"/>
    <w:rsid w:val="00755FCC"/>
    <w:rsid w:val="00756DAE"/>
    <w:rsid w:val="007633AB"/>
    <w:rsid w:val="00776AE2"/>
    <w:rsid w:val="007921CD"/>
    <w:rsid w:val="007C5713"/>
    <w:rsid w:val="007C791C"/>
    <w:rsid w:val="007D6D02"/>
    <w:rsid w:val="007D7DF4"/>
    <w:rsid w:val="007E0D23"/>
    <w:rsid w:val="007E5EFF"/>
    <w:rsid w:val="007E729B"/>
    <w:rsid w:val="007F196D"/>
    <w:rsid w:val="00805895"/>
    <w:rsid w:val="008075CB"/>
    <w:rsid w:val="00811771"/>
    <w:rsid w:val="008154DD"/>
    <w:rsid w:val="008542DE"/>
    <w:rsid w:val="0086109A"/>
    <w:rsid w:val="008638DE"/>
    <w:rsid w:val="00891182"/>
    <w:rsid w:val="008A1F9A"/>
    <w:rsid w:val="008A2403"/>
    <w:rsid w:val="008A28C8"/>
    <w:rsid w:val="008C6FDA"/>
    <w:rsid w:val="008C75E4"/>
    <w:rsid w:val="008F6B58"/>
    <w:rsid w:val="0090282C"/>
    <w:rsid w:val="00906D0C"/>
    <w:rsid w:val="00934B34"/>
    <w:rsid w:val="00937595"/>
    <w:rsid w:val="009565F5"/>
    <w:rsid w:val="00956DD2"/>
    <w:rsid w:val="00965B80"/>
    <w:rsid w:val="009825FF"/>
    <w:rsid w:val="00985097"/>
    <w:rsid w:val="00990492"/>
    <w:rsid w:val="00994EF1"/>
    <w:rsid w:val="009C4BCF"/>
    <w:rsid w:val="009C7F61"/>
    <w:rsid w:val="009E6A8B"/>
    <w:rsid w:val="009E78CB"/>
    <w:rsid w:val="009F6D2D"/>
    <w:rsid w:val="00A04A96"/>
    <w:rsid w:val="00A07220"/>
    <w:rsid w:val="00A40070"/>
    <w:rsid w:val="00A42E82"/>
    <w:rsid w:val="00A46EE9"/>
    <w:rsid w:val="00A55E83"/>
    <w:rsid w:val="00A579BB"/>
    <w:rsid w:val="00A63D55"/>
    <w:rsid w:val="00A8441B"/>
    <w:rsid w:val="00A9088C"/>
    <w:rsid w:val="00A9168C"/>
    <w:rsid w:val="00A95D89"/>
    <w:rsid w:val="00AB3243"/>
    <w:rsid w:val="00AB5232"/>
    <w:rsid w:val="00AE4FD3"/>
    <w:rsid w:val="00B023D7"/>
    <w:rsid w:val="00B14DDC"/>
    <w:rsid w:val="00B177B2"/>
    <w:rsid w:val="00B30A5E"/>
    <w:rsid w:val="00B31505"/>
    <w:rsid w:val="00B3524E"/>
    <w:rsid w:val="00B6269C"/>
    <w:rsid w:val="00B74C73"/>
    <w:rsid w:val="00B93EB5"/>
    <w:rsid w:val="00B96F5A"/>
    <w:rsid w:val="00BA2247"/>
    <w:rsid w:val="00BA5D97"/>
    <w:rsid w:val="00BA6B19"/>
    <w:rsid w:val="00BB1C52"/>
    <w:rsid w:val="00BB2A50"/>
    <w:rsid w:val="00BC1E48"/>
    <w:rsid w:val="00BC46BC"/>
    <w:rsid w:val="00BD3F03"/>
    <w:rsid w:val="00C0704D"/>
    <w:rsid w:val="00C214A6"/>
    <w:rsid w:val="00C24A51"/>
    <w:rsid w:val="00C25722"/>
    <w:rsid w:val="00C44E40"/>
    <w:rsid w:val="00C45F67"/>
    <w:rsid w:val="00C50517"/>
    <w:rsid w:val="00C618DB"/>
    <w:rsid w:val="00C6456D"/>
    <w:rsid w:val="00C93384"/>
    <w:rsid w:val="00CA28BA"/>
    <w:rsid w:val="00CA524A"/>
    <w:rsid w:val="00CD1729"/>
    <w:rsid w:val="00CD2E03"/>
    <w:rsid w:val="00CD38B1"/>
    <w:rsid w:val="00D102D9"/>
    <w:rsid w:val="00D1063F"/>
    <w:rsid w:val="00D11007"/>
    <w:rsid w:val="00D1420C"/>
    <w:rsid w:val="00D1649F"/>
    <w:rsid w:val="00D16B4F"/>
    <w:rsid w:val="00D23470"/>
    <w:rsid w:val="00D2449B"/>
    <w:rsid w:val="00D36D4B"/>
    <w:rsid w:val="00D54384"/>
    <w:rsid w:val="00D54E67"/>
    <w:rsid w:val="00D54F48"/>
    <w:rsid w:val="00D632BB"/>
    <w:rsid w:val="00D80310"/>
    <w:rsid w:val="00D9608A"/>
    <w:rsid w:val="00D96DF7"/>
    <w:rsid w:val="00D97AA3"/>
    <w:rsid w:val="00DA0C56"/>
    <w:rsid w:val="00DA27B6"/>
    <w:rsid w:val="00DB708F"/>
    <w:rsid w:val="00DC3C8A"/>
    <w:rsid w:val="00DD0313"/>
    <w:rsid w:val="00DD45BC"/>
    <w:rsid w:val="00DD62F6"/>
    <w:rsid w:val="00DD7E97"/>
    <w:rsid w:val="00DE740E"/>
    <w:rsid w:val="00DF42DA"/>
    <w:rsid w:val="00E03AFD"/>
    <w:rsid w:val="00E0485E"/>
    <w:rsid w:val="00E06DFC"/>
    <w:rsid w:val="00E23FB0"/>
    <w:rsid w:val="00E270CB"/>
    <w:rsid w:val="00E3317F"/>
    <w:rsid w:val="00E46243"/>
    <w:rsid w:val="00E66534"/>
    <w:rsid w:val="00E719D1"/>
    <w:rsid w:val="00E71A35"/>
    <w:rsid w:val="00E72F6C"/>
    <w:rsid w:val="00E80113"/>
    <w:rsid w:val="00E821C1"/>
    <w:rsid w:val="00EA09F9"/>
    <w:rsid w:val="00EA1673"/>
    <w:rsid w:val="00EB7D74"/>
    <w:rsid w:val="00EC23C7"/>
    <w:rsid w:val="00ED00B7"/>
    <w:rsid w:val="00EF1341"/>
    <w:rsid w:val="00EF44E6"/>
    <w:rsid w:val="00F012FA"/>
    <w:rsid w:val="00F055D3"/>
    <w:rsid w:val="00F129DD"/>
    <w:rsid w:val="00F16D0F"/>
    <w:rsid w:val="00F32789"/>
    <w:rsid w:val="00F44B77"/>
    <w:rsid w:val="00F66784"/>
    <w:rsid w:val="00F71D53"/>
    <w:rsid w:val="00F731F5"/>
    <w:rsid w:val="00F75F59"/>
    <w:rsid w:val="00F8201E"/>
    <w:rsid w:val="00FB34C4"/>
    <w:rsid w:val="00FB6E77"/>
    <w:rsid w:val="00FC046F"/>
    <w:rsid w:val="00FC6A11"/>
    <w:rsid w:val="00FC77EC"/>
    <w:rsid w:val="00FD334A"/>
    <w:rsid w:val="00FD6AE3"/>
    <w:rsid w:val="00FD7F21"/>
    <w:rsid w:val="00FF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8B8E8"/>
  <w15:docId w15:val="{23CA7309-7333-40C5-927B-57E069F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939DF-4820-42E4-B7FB-5BDBC0385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Lesley Lund</cp:lastModifiedBy>
  <cp:revision>2</cp:revision>
  <cp:lastPrinted>2020-03-11T10:54:00Z</cp:lastPrinted>
  <dcterms:created xsi:type="dcterms:W3CDTF">2023-11-14T16:47:00Z</dcterms:created>
  <dcterms:modified xsi:type="dcterms:W3CDTF">2023-11-14T16:47:00Z</dcterms:modified>
</cp:coreProperties>
</file>