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BA7C"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4F685DC9" w14:textId="77777777">
        <w:trPr>
          <w:cantSplit/>
        </w:trPr>
        <w:tc>
          <w:tcPr>
            <w:tcW w:w="6983" w:type="dxa"/>
            <w:gridSpan w:val="4"/>
          </w:tcPr>
          <w:p w14:paraId="2D611AAA"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0148A9A7" w14:textId="77777777" w:rsidR="002F3ADA" w:rsidRPr="00DD62CA" w:rsidRDefault="002F3ADA">
            <w:pPr>
              <w:rPr>
                <w:rFonts w:ascii="Calibri" w:hAnsi="Calibri"/>
                <w:sz w:val="24"/>
                <w:szCs w:val="24"/>
              </w:rPr>
            </w:pPr>
          </w:p>
        </w:tc>
        <w:tc>
          <w:tcPr>
            <w:tcW w:w="1713" w:type="dxa"/>
          </w:tcPr>
          <w:p w14:paraId="5BA1207E" w14:textId="77777777" w:rsidR="002F3ADA" w:rsidRPr="00DD62CA" w:rsidRDefault="002F3ADA">
            <w:pPr>
              <w:rPr>
                <w:rFonts w:ascii="Calibri" w:hAnsi="Calibri"/>
                <w:sz w:val="24"/>
                <w:szCs w:val="24"/>
              </w:rPr>
            </w:pPr>
          </w:p>
        </w:tc>
      </w:tr>
      <w:tr w:rsidR="002F3ADA" w:rsidRPr="00DD62CA" w14:paraId="25C89BF2" w14:textId="77777777">
        <w:trPr>
          <w:cantSplit/>
        </w:trPr>
        <w:tc>
          <w:tcPr>
            <w:tcW w:w="4123" w:type="dxa"/>
            <w:gridSpan w:val="2"/>
          </w:tcPr>
          <w:p w14:paraId="71E2CF6B"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253C2F30" w14:textId="77777777" w:rsidR="002F3ADA" w:rsidRPr="00DD62CA" w:rsidRDefault="002F3ADA">
            <w:pPr>
              <w:rPr>
                <w:rFonts w:ascii="Calibri" w:hAnsi="Calibri"/>
                <w:sz w:val="24"/>
                <w:szCs w:val="24"/>
              </w:rPr>
            </w:pPr>
          </w:p>
        </w:tc>
        <w:tc>
          <w:tcPr>
            <w:tcW w:w="1404" w:type="dxa"/>
          </w:tcPr>
          <w:p w14:paraId="10EB0CE5" w14:textId="77777777" w:rsidR="002F3ADA" w:rsidRPr="00DD62CA" w:rsidRDefault="002F3ADA">
            <w:pPr>
              <w:rPr>
                <w:rFonts w:ascii="Calibri" w:hAnsi="Calibri"/>
                <w:sz w:val="24"/>
                <w:szCs w:val="24"/>
              </w:rPr>
            </w:pPr>
          </w:p>
        </w:tc>
        <w:tc>
          <w:tcPr>
            <w:tcW w:w="1713" w:type="dxa"/>
          </w:tcPr>
          <w:p w14:paraId="245A7978" w14:textId="77777777" w:rsidR="002F3ADA" w:rsidRPr="00DD62CA" w:rsidRDefault="002F3ADA">
            <w:pPr>
              <w:rPr>
                <w:rFonts w:ascii="Calibri" w:hAnsi="Calibri"/>
                <w:sz w:val="24"/>
                <w:szCs w:val="24"/>
              </w:rPr>
            </w:pPr>
          </w:p>
        </w:tc>
        <w:tc>
          <w:tcPr>
            <w:tcW w:w="1713" w:type="dxa"/>
          </w:tcPr>
          <w:p w14:paraId="3DF2C6FD" w14:textId="77777777" w:rsidR="002F3ADA" w:rsidRPr="00DD62CA" w:rsidRDefault="002F3ADA">
            <w:pPr>
              <w:rPr>
                <w:rFonts w:ascii="Calibri" w:hAnsi="Calibri"/>
                <w:sz w:val="24"/>
                <w:szCs w:val="24"/>
              </w:rPr>
            </w:pPr>
          </w:p>
        </w:tc>
      </w:tr>
      <w:tr w:rsidR="00C00AD7" w:rsidRPr="00DD62CA" w14:paraId="47DCDC12" w14:textId="77777777" w:rsidTr="00111C12">
        <w:trPr>
          <w:cantSplit/>
        </w:trPr>
        <w:tc>
          <w:tcPr>
            <w:tcW w:w="6983" w:type="dxa"/>
            <w:gridSpan w:val="4"/>
          </w:tcPr>
          <w:p w14:paraId="1C136A0F"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2FD87E71" w14:textId="77777777" w:rsidR="00C00AD7" w:rsidRPr="00DD62CA" w:rsidRDefault="00C00AD7">
            <w:pPr>
              <w:rPr>
                <w:rFonts w:ascii="Calibri" w:hAnsi="Calibri"/>
                <w:sz w:val="24"/>
                <w:szCs w:val="24"/>
              </w:rPr>
            </w:pPr>
          </w:p>
        </w:tc>
        <w:tc>
          <w:tcPr>
            <w:tcW w:w="1713" w:type="dxa"/>
          </w:tcPr>
          <w:p w14:paraId="1F778959" w14:textId="77777777" w:rsidR="00C00AD7" w:rsidRPr="00DD62CA" w:rsidRDefault="00C00AD7">
            <w:pPr>
              <w:rPr>
                <w:rFonts w:ascii="Calibri" w:hAnsi="Calibri"/>
                <w:sz w:val="24"/>
                <w:szCs w:val="24"/>
              </w:rPr>
            </w:pPr>
          </w:p>
        </w:tc>
      </w:tr>
      <w:tr w:rsidR="00C00AD7" w:rsidRPr="00DD62CA" w14:paraId="2F6F71AF" w14:textId="77777777" w:rsidTr="00111C12">
        <w:trPr>
          <w:cantSplit/>
        </w:trPr>
        <w:tc>
          <w:tcPr>
            <w:tcW w:w="8696" w:type="dxa"/>
            <w:gridSpan w:val="5"/>
            <w:tcBorders>
              <w:bottom w:val="single" w:sz="6" w:space="0" w:color="auto"/>
            </w:tcBorders>
          </w:tcPr>
          <w:p w14:paraId="7EF375FA"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5D01F70C" w14:textId="77777777" w:rsidR="00C00AD7" w:rsidRPr="00DD62CA" w:rsidRDefault="00C00AD7">
            <w:pPr>
              <w:rPr>
                <w:rFonts w:ascii="Calibri" w:hAnsi="Calibri"/>
                <w:sz w:val="24"/>
                <w:szCs w:val="24"/>
              </w:rPr>
            </w:pPr>
          </w:p>
        </w:tc>
      </w:tr>
      <w:tr w:rsidR="00C00AD7" w:rsidRPr="00DD62CA" w14:paraId="64774383" w14:textId="77777777" w:rsidTr="00111C12">
        <w:trPr>
          <w:cantSplit/>
        </w:trPr>
        <w:tc>
          <w:tcPr>
            <w:tcW w:w="5579" w:type="dxa"/>
            <w:gridSpan w:val="3"/>
          </w:tcPr>
          <w:p w14:paraId="616916BF"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179A84DE" w14:textId="77777777" w:rsidR="00C00AD7" w:rsidRPr="00DD62CA" w:rsidRDefault="00C00AD7">
            <w:pPr>
              <w:rPr>
                <w:rFonts w:ascii="Calibri" w:hAnsi="Calibri"/>
                <w:sz w:val="24"/>
                <w:szCs w:val="24"/>
              </w:rPr>
            </w:pPr>
          </w:p>
        </w:tc>
        <w:tc>
          <w:tcPr>
            <w:tcW w:w="1713" w:type="dxa"/>
          </w:tcPr>
          <w:p w14:paraId="1DE7E635" w14:textId="77777777" w:rsidR="00C00AD7" w:rsidRPr="00DD62CA" w:rsidRDefault="00C00AD7">
            <w:pPr>
              <w:rPr>
                <w:rFonts w:ascii="Calibri" w:hAnsi="Calibri"/>
                <w:sz w:val="24"/>
                <w:szCs w:val="24"/>
              </w:rPr>
            </w:pPr>
          </w:p>
        </w:tc>
      </w:tr>
      <w:tr w:rsidR="002F3ADA" w:rsidRPr="00DD62CA" w14:paraId="36011835" w14:textId="77777777">
        <w:trPr>
          <w:cantSplit/>
        </w:trPr>
        <w:tc>
          <w:tcPr>
            <w:tcW w:w="10409" w:type="dxa"/>
            <w:gridSpan w:val="6"/>
          </w:tcPr>
          <w:p w14:paraId="4E65E4A3"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491B86BE" w14:textId="77777777">
        <w:trPr>
          <w:cantSplit/>
        </w:trPr>
        <w:tc>
          <w:tcPr>
            <w:tcW w:w="2410" w:type="dxa"/>
          </w:tcPr>
          <w:p w14:paraId="630A7EAC"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24AA6906" w14:textId="77777777" w:rsidR="002F3ADA" w:rsidRPr="00DD62CA" w:rsidRDefault="00A4291C">
            <w:pPr>
              <w:pStyle w:val="addresses"/>
              <w:rPr>
                <w:rFonts w:ascii="Calibri" w:hAnsi="Calibri"/>
                <w:sz w:val="24"/>
                <w:szCs w:val="24"/>
              </w:rPr>
            </w:pPr>
            <w:r>
              <w:rPr>
                <w:rFonts w:ascii="Calibri" w:hAnsi="Calibri"/>
                <w:sz w:val="24"/>
                <w:szCs w:val="24"/>
              </w:rPr>
              <w:t>3/2022/1062</w:t>
            </w:r>
          </w:p>
        </w:tc>
        <w:tc>
          <w:tcPr>
            <w:tcW w:w="1404" w:type="dxa"/>
          </w:tcPr>
          <w:p w14:paraId="388BCB2B" w14:textId="77777777" w:rsidR="002F3ADA" w:rsidRPr="00DD62CA" w:rsidRDefault="002F3ADA">
            <w:pPr>
              <w:rPr>
                <w:rFonts w:ascii="Calibri" w:hAnsi="Calibri"/>
                <w:sz w:val="24"/>
                <w:szCs w:val="24"/>
              </w:rPr>
            </w:pPr>
          </w:p>
        </w:tc>
        <w:tc>
          <w:tcPr>
            <w:tcW w:w="1713" w:type="dxa"/>
          </w:tcPr>
          <w:p w14:paraId="65FE0F1B" w14:textId="77777777" w:rsidR="002F3ADA" w:rsidRPr="00DD62CA" w:rsidRDefault="002F3ADA">
            <w:pPr>
              <w:rPr>
                <w:rFonts w:ascii="Calibri" w:hAnsi="Calibri"/>
                <w:sz w:val="24"/>
                <w:szCs w:val="24"/>
              </w:rPr>
            </w:pPr>
          </w:p>
        </w:tc>
        <w:tc>
          <w:tcPr>
            <w:tcW w:w="1713" w:type="dxa"/>
          </w:tcPr>
          <w:p w14:paraId="5E965A85" w14:textId="77777777" w:rsidR="002F3ADA" w:rsidRPr="00DD62CA" w:rsidRDefault="002F3ADA">
            <w:pPr>
              <w:rPr>
                <w:rFonts w:ascii="Calibri" w:hAnsi="Calibri"/>
                <w:sz w:val="24"/>
                <w:szCs w:val="24"/>
              </w:rPr>
            </w:pPr>
          </w:p>
        </w:tc>
      </w:tr>
      <w:tr w:rsidR="002F3ADA" w:rsidRPr="00DD62CA" w14:paraId="3F2B6FF9" w14:textId="77777777">
        <w:trPr>
          <w:cantSplit/>
        </w:trPr>
        <w:tc>
          <w:tcPr>
            <w:tcW w:w="2410" w:type="dxa"/>
          </w:tcPr>
          <w:p w14:paraId="400D0C7A"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FA47BE9" w14:textId="3972DC27" w:rsidR="002F3ADA" w:rsidRPr="00DD62CA" w:rsidRDefault="00A4291C">
            <w:pPr>
              <w:rPr>
                <w:rFonts w:ascii="Calibri" w:hAnsi="Calibri"/>
                <w:sz w:val="24"/>
                <w:szCs w:val="24"/>
              </w:rPr>
            </w:pPr>
            <w:r>
              <w:rPr>
                <w:rFonts w:ascii="Calibri" w:hAnsi="Calibri"/>
                <w:sz w:val="24"/>
                <w:szCs w:val="24"/>
              </w:rPr>
              <w:t>1</w:t>
            </w:r>
            <w:r w:rsidR="002C39D3">
              <w:rPr>
                <w:rFonts w:ascii="Calibri" w:hAnsi="Calibri"/>
                <w:sz w:val="24"/>
                <w:szCs w:val="24"/>
              </w:rPr>
              <w:t xml:space="preserve"> June</w:t>
            </w:r>
            <w:r>
              <w:rPr>
                <w:rFonts w:ascii="Calibri" w:hAnsi="Calibri"/>
                <w:sz w:val="24"/>
                <w:szCs w:val="24"/>
              </w:rPr>
              <w:t xml:space="preserve"> 2023</w:t>
            </w:r>
          </w:p>
        </w:tc>
        <w:tc>
          <w:tcPr>
            <w:tcW w:w="1404" w:type="dxa"/>
          </w:tcPr>
          <w:p w14:paraId="74328071" w14:textId="77777777" w:rsidR="002F3ADA" w:rsidRPr="00DD62CA" w:rsidRDefault="002F3ADA">
            <w:pPr>
              <w:rPr>
                <w:rFonts w:ascii="Calibri" w:hAnsi="Calibri"/>
                <w:sz w:val="24"/>
                <w:szCs w:val="24"/>
              </w:rPr>
            </w:pPr>
          </w:p>
        </w:tc>
        <w:tc>
          <w:tcPr>
            <w:tcW w:w="1713" w:type="dxa"/>
          </w:tcPr>
          <w:p w14:paraId="50767758" w14:textId="77777777" w:rsidR="002F3ADA" w:rsidRPr="00DD62CA" w:rsidRDefault="002F3ADA">
            <w:pPr>
              <w:rPr>
                <w:rFonts w:ascii="Calibri" w:hAnsi="Calibri"/>
                <w:sz w:val="24"/>
                <w:szCs w:val="24"/>
              </w:rPr>
            </w:pPr>
          </w:p>
        </w:tc>
        <w:tc>
          <w:tcPr>
            <w:tcW w:w="1713" w:type="dxa"/>
          </w:tcPr>
          <w:p w14:paraId="6BCD5464" w14:textId="77777777" w:rsidR="002F3ADA" w:rsidRPr="00DD62CA" w:rsidRDefault="002F3ADA">
            <w:pPr>
              <w:rPr>
                <w:rFonts w:ascii="Calibri" w:hAnsi="Calibri"/>
                <w:sz w:val="24"/>
                <w:szCs w:val="24"/>
              </w:rPr>
            </w:pPr>
          </w:p>
        </w:tc>
      </w:tr>
      <w:tr w:rsidR="002F3ADA" w:rsidRPr="00DD62CA" w14:paraId="0E21027B" w14:textId="77777777">
        <w:trPr>
          <w:cantSplit/>
        </w:trPr>
        <w:tc>
          <w:tcPr>
            <w:tcW w:w="2410" w:type="dxa"/>
          </w:tcPr>
          <w:p w14:paraId="00736FD0"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6795358F" w14:textId="77777777" w:rsidR="002F3ADA" w:rsidRPr="00DD62CA" w:rsidRDefault="00A4291C">
            <w:pPr>
              <w:rPr>
                <w:rFonts w:ascii="Calibri" w:hAnsi="Calibri"/>
                <w:sz w:val="24"/>
                <w:szCs w:val="24"/>
              </w:rPr>
            </w:pPr>
            <w:r>
              <w:rPr>
                <w:rFonts w:ascii="Calibri" w:hAnsi="Calibri"/>
                <w:sz w:val="24"/>
                <w:szCs w:val="24"/>
              </w:rPr>
              <w:t>11/11/2022</w:t>
            </w:r>
          </w:p>
        </w:tc>
        <w:tc>
          <w:tcPr>
            <w:tcW w:w="1404" w:type="dxa"/>
          </w:tcPr>
          <w:p w14:paraId="6234953A" w14:textId="77777777" w:rsidR="002F3ADA" w:rsidRPr="00DD62CA" w:rsidRDefault="002F3ADA">
            <w:pPr>
              <w:rPr>
                <w:rFonts w:ascii="Calibri" w:hAnsi="Calibri"/>
                <w:sz w:val="24"/>
                <w:szCs w:val="24"/>
              </w:rPr>
            </w:pPr>
          </w:p>
        </w:tc>
        <w:tc>
          <w:tcPr>
            <w:tcW w:w="1713" w:type="dxa"/>
          </w:tcPr>
          <w:p w14:paraId="164DB50E" w14:textId="77777777" w:rsidR="002F3ADA" w:rsidRPr="00DD62CA" w:rsidRDefault="002F3ADA">
            <w:pPr>
              <w:rPr>
                <w:rFonts w:ascii="Calibri" w:hAnsi="Calibri"/>
                <w:sz w:val="24"/>
                <w:szCs w:val="24"/>
              </w:rPr>
            </w:pPr>
          </w:p>
        </w:tc>
        <w:tc>
          <w:tcPr>
            <w:tcW w:w="1713" w:type="dxa"/>
          </w:tcPr>
          <w:p w14:paraId="3E278B8A" w14:textId="77777777" w:rsidR="002F3ADA" w:rsidRPr="00DD62CA" w:rsidRDefault="002F3ADA">
            <w:pPr>
              <w:rPr>
                <w:rFonts w:ascii="Calibri" w:hAnsi="Calibri"/>
                <w:sz w:val="24"/>
                <w:szCs w:val="24"/>
              </w:rPr>
            </w:pPr>
          </w:p>
        </w:tc>
      </w:tr>
      <w:tr w:rsidR="002F3ADA" w:rsidRPr="00DD62CA" w14:paraId="082F09F1" w14:textId="77777777">
        <w:trPr>
          <w:cantSplit/>
        </w:trPr>
        <w:tc>
          <w:tcPr>
            <w:tcW w:w="10409" w:type="dxa"/>
            <w:gridSpan w:val="6"/>
          </w:tcPr>
          <w:p w14:paraId="2368D7E4" w14:textId="77777777" w:rsidR="002F3ADA" w:rsidRPr="00DD62CA" w:rsidRDefault="002F3ADA">
            <w:pPr>
              <w:rPr>
                <w:rFonts w:ascii="Calibri" w:hAnsi="Calibri"/>
                <w:sz w:val="24"/>
                <w:szCs w:val="24"/>
              </w:rPr>
            </w:pPr>
          </w:p>
        </w:tc>
      </w:tr>
      <w:tr w:rsidR="002F3ADA" w:rsidRPr="00DD62CA" w14:paraId="4151A7CF" w14:textId="77777777" w:rsidTr="00F92BEF">
        <w:trPr>
          <w:cantSplit/>
        </w:trPr>
        <w:tc>
          <w:tcPr>
            <w:tcW w:w="2410" w:type="dxa"/>
          </w:tcPr>
          <w:p w14:paraId="0F9D1A4D"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1906B4D9" w14:textId="77777777" w:rsidR="002F3ADA" w:rsidRPr="00DD62CA" w:rsidRDefault="002F3ADA">
            <w:pPr>
              <w:rPr>
                <w:rFonts w:ascii="Calibri" w:hAnsi="Calibri"/>
                <w:sz w:val="24"/>
                <w:szCs w:val="24"/>
              </w:rPr>
            </w:pPr>
          </w:p>
        </w:tc>
        <w:tc>
          <w:tcPr>
            <w:tcW w:w="1456" w:type="dxa"/>
          </w:tcPr>
          <w:p w14:paraId="31549724" w14:textId="77777777" w:rsidR="002F3ADA" w:rsidRPr="00DD62CA" w:rsidRDefault="002F3ADA">
            <w:pPr>
              <w:rPr>
                <w:rFonts w:ascii="Calibri" w:hAnsi="Calibri"/>
                <w:sz w:val="24"/>
                <w:szCs w:val="24"/>
              </w:rPr>
            </w:pPr>
          </w:p>
        </w:tc>
        <w:tc>
          <w:tcPr>
            <w:tcW w:w="1404" w:type="dxa"/>
          </w:tcPr>
          <w:p w14:paraId="1536FD4C"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79A00F71" w14:textId="77777777" w:rsidR="002F3ADA" w:rsidRPr="00DD62CA" w:rsidRDefault="002F3ADA">
            <w:pPr>
              <w:rPr>
                <w:rFonts w:ascii="Calibri" w:hAnsi="Calibri"/>
                <w:sz w:val="24"/>
                <w:szCs w:val="24"/>
              </w:rPr>
            </w:pPr>
          </w:p>
        </w:tc>
        <w:tc>
          <w:tcPr>
            <w:tcW w:w="1713" w:type="dxa"/>
          </w:tcPr>
          <w:p w14:paraId="0C7D6328" w14:textId="77777777" w:rsidR="002F3ADA" w:rsidRPr="00DD62CA" w:rsidRDefault="002F3ADA">
            <w:pPr>
              <w:rPr>
                <w:rFonts w:ascii="Calibri" w:hAnsi="Calibri"/>
                <w:sz w:val="24"/>
                <w:szCs w:val="24"/>
              </w:rPr>
            </w:pPr>
          </w:p>
        </w:tc>
      </w:tr>
      <w:tr w:rsidR="002F3ADA" w:rsidRPr="00DD62CA" w14:paraId="332C10EB" w14:textId="77777777" w:rsidTr="00F92BEF">
        <w:trPr>
          <w:cantSplit/>
        </w:trPr>
        <w:tc>
          <w:tcPr>
            <w:tcW w:w="4123" w:type="dxa"/>
            <w:gridSpan w:val="2"/>
            <w:vMerge w:val="restart"/>
          </w:tcPr>
          <w:p w14:paraId="749F8577" w14:textId="77777777" w:rsidR="00441F1F" w:rsidRDefault="00A4291C">
            <w:pPr>
              <w:rPr>
                <w:rFonts w:ascii="Calibri" w:hAnsi="Calibri"/>
                <w:sz w:val="24"/>
                <w:szCs w:val="24"/>
              </w:rPr>
            </w:pPr>
            <w:bookmarkStart w:id="0" w:name="ApplicantName"/>
            <w:r>
              <w:rPr>
                <w:rFonts w:ascii="Calibri" w:hAnsi="Calibri"/>
                <w:sz w:val="24"/>
                <w:szCs w:val="24"/>
              </w:rPr>
              <w:t>Mr Michael Forshaw</w:t>
            </w:r>
          </w:p>
          <w:bookmarkEnd w:id="0"/>
          <w:p w14:paraId="26D01B32" w14:textId="77777777" w:rsidR="00A4291C" w:rsidRDefault="00A4291C">
            <w:pPr>
              <w:rPr>
                <w:rFonts w:ascii="Calibri" w:hAnsi="Calibri"/>
                <w:sz w:val="24"/>
                <w:szCs w:val="24"/>
              </w:rPr>
            </w:pPr>
            <w:r>
              <w:rPr>
                <w:rFonts w:ascii="Calibri" w:hAnsi="Calibri"/>
                <w:sz w:val="24"/>
                <w:szCs w:val="24"/>
              </w:rPr>
              <w:t>Little Town Farm</w:t>
            </w:r>
          </w:p>
          <w:p w14:paraId="18B01579" w14:textId="77777777" w:rsidR="00A4291C" w:rsidRDefault="00A4291C">
            <w:pPr>
              <w:rPr>
                <w:rFonts w:ascii="Calibri" w:hAnsi="Calibri"/>
                <w:sz w:val="24"/>
                <w:szCs w:val="24"/>
              </w:rPr>
            </w:pPr>
            <w:r>
              <w:rPr>
                <w:rFonts w:ascii="Calibri" w:hAnsi="Calibri"/>
                <w:sz w:val="24"/>
                <w:szCs w:val="24"/>
              </w:rPr>
              <w:t>Thornley</w:t>
            </w:r>
          </w:p>
          <w:p w14:paraId="3634814C" w14:textId="77777777" w:rsidR="00A4291C" w:rsidRDefault="00A4291C">
            <w:pPr>
              <w:rPr>
                <w:rFonts w:ascii="Calibri" w:hAnsi="Calibri"/>
                <w:sz w:val="24"/>
                <w:szCs w:val="24"/>
              </w:rPr>
            </w:pPr>
            <w:r>
              <w:rPr>
                <w:rFonts w:ascii="Calibri" w:hAnsi="Calibri"/>
                <w:sz w:val="24"/>
                <w:szCs w:val="24"/>
              </w:rPr>
              <w:t>Preston</w:t>
            </w:r>
          </w:p>
          <w:p w14:paraId="17511F3F" w14:textId="77777777" w:rsidR="002F3ADA" w:rsidRPr="00DD62CA" w:rsidRDefault="00A4291C">
            <w:pPr>
              <w:rPr>
                <w:rFonts w:ascii="Calibri" w:hAnsi="Calibri"/>
                <w:sz w:val="24"/>
                <w:szCs w:val="24"/>
              </w:rPr>
            </w:pPr>
            <w:r>
              <w:rPr>
                <w:rFonts w:ascii="Calibri" w:hAnsi="Calibri"/>
                <w:sz w:val="24"/>
                <w:szCs w:val="24"/>
              </w:rPr>
              <w:t>PR3 2TB</w:t>
            </w:r>
          </w:p>
        </w:tc>
        <w:tc>
          <w:tcPr>
            <w:tcW w:w="1456" w:type="dxa"/>
            <w:tcBorders>
              <w:left w:val="nil"/>
            </w:tcBorders>
          </w:tcPr>
          <w:p w14:paraId="1E28772D"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1170B12C" w14:textId="77777777" w:rsidR="00441F1F" w:rsidRDefault="00A4291C">
            <w:pPr>
              <w:pStyle w:val="addresses"/>
              <w:rPr>
                <w:rFonts w:ascii="Calibri" w:hAnsi="Calibri"/>
                <w:sz w:val="24"/>
                <w:szCs w:val="24"/>
              </w:rPr>
            </w:pPr>
            <w:r>
              <w:rPr>
                <w:rFonts w:ascii="Calibri" w:hAnsi="Calibri"/>
                <w:sz w:val="24"/>
                <w:szCs w:val="24"/>
              </w:rPr>
              <w:t>Mr Peter Bamber</w:t>
            </w:r>
          </w:p>
          <w:p w14:paraId="2B49A4D3" w14:textId="77777777" w:rsidR="00A4291C" w:rsidRDefault="00A4291C">
            <w:pPr>
              <w:pStyle w:val="addresses"/>
              <w:rPr>
                <w:rFonts w:ascii="Calibri" w:hAnsi="Calibri"/>
                <w:sz w:val="24"/>
                <w:szCs w:val="24"/>
              </w:rPr>
            </w:pPr>
            <w:r>
              <w:rPr>
                <w:rFonts w:ascii="Calibri" w:hAnsi="Calibri"/>
                <w:sz w:val="24"/>
                <w:szCs w:val="24"/>
              </w:rPr>
              <w:t>PGB Architectural Services Ltd</w:t>
            </w:r>
          </w:p>
          <w:p w14:paraId="43450333" w14:textId="77777777" w:rsidR="00A4291C" w:rsidRDefault="00A4291C">
            <w:pPr>
              <w:pStyle w:val="addresses"/>
              <w:rPr>
                <w:rFonts w:ascii="Calibri" w:hAnsi="Calibri"/>
                <w:sz w:val="24"/>
                <w:szCs w:val="24"/>
              </w:rPr>
            </w:pPr>
            <w:r>
              <w:rPr>
                <w:rFonts w:ascii="Calibri" w:hAnsi="Calibri"/>
                <w:sz w:val="24"/>
                <w:szCs w:val="24"/>
              </w:rPr>
              <w:t>12 Glen Avenue</w:t>
            </w:r>
          </w:p>
          <w:p w14:paraId="49989F7B" w14:textId="77777777" w:rsidR="00A4291C" w:rsidRDefault="00A4291C">
            <w:pPr>
              <w:pStyle w:val="addresses"/>
              <w:rPr>
                <w:rFonts w:ascii="Calibri" w:hAnsi="Calibri"/>
                <w:sz w:val="24"/>
                <w:szCs w:val="24"/>
              </w:rPr>
            </w:pPr>
            <w:r>
              <w:rPr>
                <w:rFonts w:ascii="Calibri" w:hAnsi="Calibri"/>
                <w:sz w:val="24"/>
                <w:szCs w:val="24"/>
              </w:rPr>
              <w:t>Knowle Green</w:t>
            </w:r>
          </w:p>
          <w:p w14:paraId="7F2B175C" w14:textId="77777777" w:rsidR="002F3ADA" w:rsidRPr="00DD62CA" w:rsidRDefault="00A4291C">
            <w:pPr>
              <w:pStyle w:val="addresses"/>
              <w:rPr>
                <w:rFonts w:ascii="Calibri" w:hAnsi="Calibri"/>
                <w:sz w:val="24"/>
                <w:szCs w:val="24"/>
              </w:rPr>
            </w:pPr>
            <w:r>
              <w:rPr>
                <w:rFonts w:ascii="Calibri" w:hAnsi="Calibri"/>
                <w:sz w:val="24"/>
                <w:szCs w:val="24"/>
              </w:rPr>
              <w:t>PR3 2ZQ</w:t>
            </w:r>
          </w:p>
        </w:tc>
      </w:tr>
      <w:tr w:rsidR="002F3ADA" w:rsidRPr="00DD62CA" w14:paraId="3EDD5347" w14:textId="77777777" w:rsidTr="00F92BEF">
        <w:trPr>
          <w:cantSplit/>
        </w:trPr>
        <w:tc>
          <w:tcPr>
            <w:tcW w:w="4123" w:type="dxa"/>
            <w:gridSpan w:val="2"/>
            <w:vMerge/>
          </w:tcPr>
          <w:p w14:paraId="3C91E1CF" w14:textId="77777777" w:rsidR="002F3ADA" w:rsidRPr="00DD62CA" w:rsidRDefault="002F3ADA">
            <w:pPr>
              <w:rPr>
                <w:rFonts w:ascii="Calibri" w:hAnsi="Calibri"/>
                <w:sz w:val="24"/>
                <w:szCs w:val="24"/>
              </w:rPr>
            </w:pPr>
          </w:p>
        </w:tc>
        <w:tc>
          <w:tcPr>
            <w:tcW w:w="1456" w:type="dxa"/>
          </w:tcPr>
          <w:p w14:paraId="4390A541" w14:textId="77777777" w:rsidR="002F3ADA" w:rsidRPr="00DD62CA" w:rsidRDefault="002F3ADA">
            <w:pPr>
              <w:rPr>
                <w:rFonts w:ascii="Calibri" w:hAnsi="Calibri"/>
                <w:sz w:val="24"/>
                <w:szCs w:val="24"/>
              </w:rPr>
            </w:pPr>
          </w:p>
        </w:tc>
        <w:tc>
          <w:tcPr>
            <w:tcW w:w="4830" w:type="dxa"/>
            <w:gridSpan w:val="3"/>
            <w:vMerge/>
          </w:tcPr>
          <w:p w14:paraId="1F208D66" w14:textId="77777777" w:rsidR="002F3ADA" w:rsidRPr="00DD62CA" w:rsidRDefault="002F3ADA">
            <w:pPr>
              <w:rPr>
                <w:rFonts w:ascii="Calibri" w:hAnsi="Calibri"/>
                <w:sz w:val="24"/>
                <w:szCs w:val="24"/>
              </w:rPr>
            </w:pPr>
          </w:p>
        </w:tc>
      </w:tr>
      <w:tr w:rsidR="002F3ADA" w:rsidRPr="00DD62CA" w14:paraId="6FE4B838" w14:textId="77777777" w:rsidTr="00F92BEF">
        <w:trPr>
          <w:cantSplit/>
        </w:trPr>
        <w:tc>
          <w:tcPr>
            <w:tcW w:w="4123" w:type="dxa"/>
            <w:gridSpan w:val="2"/>
            <w:vMerge/>
          </w:tcPr>
          <w:p w14:paraId="4BD0A0BC" w14:textId="77777777" w:rsidR="002F3ADA" w:rsidRPr="00DD62CA" w:rsidRDefault="002F3ADA">
            <w:pPr>
              <w:rPr>
                <w:rFonts w:ascii="Calibri" w:hAnsi="Calibri"/>
                <w:sz w:val="24"/>
                <w:szCs w:val="24"/>
              </w:rPr>
            </w:pPr>
          </w:p>
        </w:tc>
        <w:tc>
          <w:tcPr>
            <w:tcW w:w="1456" w:type="dxa"/>
          </w:tcPr>
          <w:p w14:paraId="1DB33340" w14:textId="77777777" w:rsidR="002F3ADA" w:rsidRPr="00DD62CA" w:rsidRDefault="002F3ADA">
            <w:pPr>
              <w:rPr>
                <w:rFonts w:ascii="Calibri" w:hAnsi="Calibri"/>
                <w:sz w:val="24"/>
                <w:szCs w:val="24"/>
              </w:rPr>
            </w:pPr>
          </w:p>
        </w:tc>
        <w:tc>
          <w:tcPr>
            <w:tcW w:w="4830" w:type="dxa"/>
            <w:gridSpan w:val="3"/>
            <w:vMerge/>
          </w:tcPr>
          <w:p w14:paraId="7EC1E7C0" w14:textId="77777777" w:rsidR="002F3ADA" w:rsidRPr="00DD62CA" w:rsidRDefault="002F3ADA">
            <w:pPr>
              <w:rPr>
                <w:rFonts w:ascii="Calibri" w:hAnsi="Calibri"/>
                <w:sz w:val="24"/>
                <w:szCs w:val="24"/>
              </w:rPr>
            </w:pPr>
          </w:p>
        </w:tc>
      </w:tr>
      <w:tr w:rsidR="002F3ADA" w:rsidRPr="00DD62CA" w14:paraId="66F2F695" w14:textId="77777777" w:rsidTr="00F92BEF">
        <w:trPr>
          <w:cantSplit/>
        </w:trPr>
        <w:tc>
          <w:tcPr>
            <w:tcW w:w="4123" w:type="dxa"/>
            <w:gridSpan w:val="2"/>
            <w:vMerge/>
          </w:tcPr>
          <w:p w14:paraId="347C25C5" w14:textId="77777777" w:rsidR="002F3ADA" w:rsidRPr="00DD62CA" w:rsidRDefault="002F3ADA">
            <w:pPr>
              <w:rPr>
                <w:rFonts w:ascii="Calibri" w:hAnsi="Calibri"/>
                <w:sz w:val="24"/>
                <w:szCs w:val="24"/>
              </w:rPr>
            </w:pPr>
          </w:p>
        </w:tc>
        <w:tc>
          <w:tcPr>
            <w:tcW w:w="1456" w:type="dxa"/>
          </w:tcPr>
          <w:p w14:paraId="19C1BFED" w14:textId="77777777" w:rsidR="002F3ADA" w:rsidRPr="00DD62CA" w:rsidRDefault="002F3ADA">
            <w:pPr>
              <w:rPr>
                <w:rFonts w:ascii="Calibri" w:hAnsi="Calibri"/>
                <w:sz w:val="24"/>
                <w:szCs w:val="24"/>
              </w:rPr>
            </w:pPr>
          </w:p>
        </w:tc>
        <w:tc>
          <w:tcPr>
            <w:tcW w:w="4830" w:type="dxa"/>
            <w:gridSpan w:val="3"/>
            <w:vMerge/>
          </w:tcPr>
          <w:p w14:paraId="38EC93E8" w14:textId="77777777" w:rsidR="002F3ADA" w:rsidRPr="00DD62CA" w:rsidRDefault="002F3ADA">
            <w:pPr>
              <w:rPr>
                <w:rFonts w:ascii="Calibri" w:hAnsi="Calibri"/>
                <w:sz w:val="24"/>
                <w:szCs w:val="24"/>
              </w:rPr>
            </w:pPr>
          </w:p>
        </w:tc>
      </w:tr>
      <w:tr w:rsidR="002F3ADA" w:rsidRPr="00DD62CA" w14:paraId="0947C093" w14:textId="77777777" w:rsidTr="00F92BEF">
        <w:trPr>
          <w:cantSplit/>
        </w:trPr>
        <w:tc>
          <w:tcPr>
            <w:tcW w:w="4123" w:type="dxa"/>
            <w:gridSpan w:val="2"/>
            <w:vMerge/>
          </w:tcPr>
          <w:p w14:paraId="11EAA107" w14:textId="77777777" w:rsidR="002F3ADA" w:rsidRPr="00DD62CA" w:rsidRDefault="002F3ADA">
            <w:pPr>
              <w:rPr>
                <w:rFonts w:ascii="Calibri" w:hAnsi="Calibri"/>
                <w:sz w:val="24"/>
                <w:szCs w:val="24"/>
              </w:rPr>
            </w:pPr>
          </w:p>
        </w:tc>
        <w:tc>
          <w:tcPr>
            <w:tcW w:w="1456" w:type="dxa"/>
          </w:tcPr>
          <w:p w14:paraId="7130366C" w14:textId="77777777" w:rsidR="002F3ADA" w:rsidRPr="00DD62CA" w:rsidRDefault="002F3ADA">
            <w:pPr>
              <w:rPr>
                <w:rFonts w:ascii="Calibri" w:hAnsi="Calibri"/>
                <w:sz w:val="24"/>
                <w:szCs w:val="24"/>
              </w:rPr>
            </w:pPr>
          </w:p>
        </w:tc>
        <w:tc>
          <w:tcPr>
            <w:tcW w:w="4830" w:type="dxa"/>
            <w:gridSpan w:val="3"/>
            <w:vMerge/>
          </w:tcPr>
          <w:p w14:paraId="61A4C5DE" w14:textId="77777777" w:rsidR="002F3ADA" w:rsidRPr="00DD62CA" w:rsidRDefault="002F3ADA">
            <w:pPr>
              <w:rPr>
                <w:rFonts w:ascii="Calibri" w:hAnsi="Calibri"/>
                <w:sz w:val="24"/>
                <w:szCs w:val="24"/>
              </w:rPr>
            </w:pPr>
          </w:p>
        </w:tc>
      </w:tr>
    </w:tbl>
    <w:p w14:paraId="20B38299" w14:textId="2BD7A7F8" w:rsidR="002F3ADA" w:rsidRPr="00DD62CA" w:rsidRDefault="00AB3ECE">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58D5AEE1" w14:textId="77777777" w:rsidTr="003243B5">
        <w:trPr>
          <w:cantSplit/>
          <w:trHeight w:val="512"/>
        </w:trPr>
        <w:tc>
          <w:tcPr>
            <w:tcW w:w="1970" w:type="dxa"/>
            <w:gridSpan w:val="2"/>
          </w:tcPr>
          <w:p w14:paraId="21A5EE17"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75ABBF45" w14:textId="25FD2104" w:rsidR="002F3ADA" w:rsidRPr="00DD62CA" w:rsidRDefault="00A4291C">
            <w:pPr>
              <w:pStyle w:val="TableText"/>
              <w:rPr>
                <w:rFonts w:ascii="Calibri" w:hAnsi="Calibri"/>
                <w:sz w:val="24"/>
                <w:szCs w:val="24"/>
              </w:rPr>
            </w:pPr>
            <w:r>
              <w:rPr>
                <w:rFonts w:ascii="Calibri" w:hAnsi="Calibri"/>
                <w:sz w:val="24"/>
                <w:szCs w:val="24"/>
              </w:rPr>
              <w:t>Proposed agricultural workers dwelling and detached garage.</w:t>
            </w:r>
          </w:p>
        </w:tc>
      </w:tr>
      <w:tr w:rsidR="002F3ADA" w:rsidRPr="00DD62CA" w14:paraId="47B59205" w14:textId="77777777" w:rsidTr="003243B5">
        <w:trPr>
          <w:cantSplit/>
          <w:trHeight w:val="264"/>
        </w:trPr>
        <w:tc>
          <w:tcPr>
            <w:tcW w:w="988" w:type="dxa"/>
          </w:tcPr>
          <w:p w14:paraId="18A2CE79"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38D7BE8A" w14:textId="77777777" w:rsidR="002F3ADA" w:rsidRPr="00DD62CA" w:rsidRDefault="00A4291C">
            <w:pPr>
              <w:pStyle w:val="TableText"/>
              <w:rPr>
                <w:rFonts w:ascii="Calibri" w:hAnsi="Calibri"/>
                <w:sz w:val="24"/>
                <w:szCs w:val="24"/>
              </w:rPr>
            </w:pPr>
            <w:r>
              <w:rPr>
                <w:rFonts w:ascii="Calibri" w:hAnsi="Calibri"/>
                <w:sz w:val="24"/>
                <w:szCs w:val="24"/>
              </w:rPr>
              <w:t>Little Town Farm Chipping Road Thornley PR3 2TB</w:t>
            </w:r>
          </w:p>
        </w:tc>
      </w:tr>
      <w:tr w:rsidR="002F3ADA" w:rsidRPr="00DD62CA" w14:paraId="75F77469" w14:textId="77777777" w:rsidTr="003243B5">
        <w:trPr>
          <w:cantSplit/>
          <w:trHeight w:val="868"/>
        </w:trPr>
        <w:tc>
          <w:tcPr>
            <w:tcW w:w="10353" w:type="dxa"/>
            <w:gridSpan w:val="3"/>
          </w:tcPr>
          <w:p w14:paraId="1BAF9426"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39D33079" w14:textId="77777777" w:rsidR="002F3ADA" w:rsidRPr="00DD62CA" w:rsidRDefault="002F3ADA">
            <w:pPr>
              <w:jc w:val="both"/>
              <w:rPr>
                <w:rFonts w:ascii="Calibri" w:hAnsi="Calibri"/>
                <w:sz w:val="24"/>
                <w:szCs w:val="24"/>
              </w:rPr>
            </w:pPr>
          </w:p>
        </w:tc>
      </w:tr>
      <w:tr w:rsidR="002F3ADA" w:rsidRPr="00DD62CA" w14:paraId="73F0EA33" w14:textId="77777777" w:rsidTr="003243B5">
        <w:trPr>
          <w:cantSplit/>
          <w:trHeight w:val="527"/>
        </w:trPr>
        <w:tc>
          <w:tcPr>
            <w:tcW w:w="988" w:type="dxa"/>
          </w:tcPr>
          <w:p w14:paraId="3139D3E9"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12835D8D" w14:textId="77777777" w:rsidR="00A4291C" w:rsidRDefault="00A4291C">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54A89DC6" w14:textId="77777777" w:rsidR="00A4291C" w:rsidRDefault="00A4291C">
            <w:pPr>
              <w:pStyle w:val="TableText"/>
              <w:rPr>
                <w:rFonts w:ascii="Calibri" w:hAnsi="Calibri"/>
                <w:sz w:val="24"/>
                <w:szCs w:val="24"/>
              </w:rPr>
            </w:pPr>
          </w:p>
          <w:p w14:paraId="63B98D91" w14:textId="77777777" w:rsidR="00A4291C" w:rsidRDefault="00A4291C">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1A81784D" w14:textId="77777777" w:rsidR="002F3ADA" w:rsidRPr="00DD62CA" w:rsidRDefault="002F3ADA">
            <w:pPr>
              <w:pStyle w:val="TableText"/>
              <w:rPr>
                <w:rFonts w:ascii="Calibri" w:hAnsi="Calibri"/>
                <w:sz w:val="24"/>
                <w:szCs w:val="24"/>
              </w:rPr>
            </w:pPr>
          </w:p>
        </w:tc>
      </w:tr>
      <w:tr w:rsidR="00A4291C" w:rsidRPr="00DD62CA" w14:paraId="5C48D5E9" w14:textId="77777777" w:rsidTr="003243B5">
        <w:trPr>
          <w:cantSplit/>
          <w:trHeight w:val="527"/>
        </w:trPr>
        <w:tc>
          <w:tcPr>
            <w:tcW w:w="988" w:type="dxa"/>
          </w:tcPr>
          <w:p w14:paraId="7C55AA9F" w14:textId="77777777" w:rsidR="00A4291C" w:rsidRPr="00DD62CA" w:rsidRDefault="00A4291C">
            <w:pPr>
              <w:pStyle w:val="TableText"/>
              <w:numPr>
                <w:ilvl w:val="0"/>
                <w:numId w:val="3"/>
              </w:numPr>
              <w:rPr>
                <w:rFonts w:ascii="Calibri" w:hAnsi="Calibri"/>
                <w:sz w:val="24"/>
                <w:szCs w:val="24"/>
              </w:rPr>
            </w:pPr>
          </w:p>
        </w:tc>
        <w:tc>
          <w:tcPr>
            <w:tcW w:w="9365" w:type="dxa"/>
            <w:gridSpan w:val="2"/>
          </w:tcPr>
          <w:p w14:paraId="7D7F9EF4" w14:textId="77777777" w:rsidR="00A4291C" w:rsidRDefault="00A4291C">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2401E6F6" w14:textId="77777777" w:rsidR="00A4291C" w:rsidRDefault="00A4291C">
            <w:pPr>
              <w:pStyle w:val="TableText"/>
              <w:rPr>
                <w:rFonts w:ascii="Calibri" w:hAnsi="Calibri"/>
                <w:sz w:val="24"/>
                <w:szCs w:val="24"/>
              </w:rPr>
            </w:pPr>
          </w:p>
          <w:p w14:paraId="780629A1" w14:textId="77777777" w:rsidR="00A4291C" w:rsidRDefault="00A4291C">
            <w:pPr>
              <w:pStyle w:val="TableText"/>
              <w:rPr>
                <w:rFonts w:ascii="Calibri" w:hAnsi="Calibri"/>
                <w:sz w:val="24"/>
                <w:szCs w:val="24"/>
              </w:rPr>
            </w:pPr>
            <w:r>
              <w:rPr>
                <w:rFonts w:ascii="Calibri" w:hAnsi="Calibri"/>
                <w:sz w:val="24"/>
                <w:szCs w:val="24"/>
              </w:rPr>
              <w:t>- Location Plan Dwg no 001</w:t>
            </w:r>
          </w:p>
          <w:p w14:paraId="1F780385" w14:textId="77777777" w:rsidR="00A4291C" w:rsidRDefault="00A4291C">
            <w:pPr>
              <w:pStyle w:val="TableText"/>
              <w:rPr>
                <w:rFonts w:ascii="Calibri" w:hAnsi="Calibri"/>
                <w:sz w:val="24"/>
                <w:szCs w:val="24"/>
              </w:rPr>
            </w:pPr>
            <w:r>
              <w:rPr>
                <w:rFonts w:ascii="Calibri" w:hAnsi="Calibri"/>
                <w:sz w:val="24"/>
                <w:szCs w:val="24"/>
              </w:rPr>
              <w:t>- Proposed Block and Site Plans Dwg no 003 Rev A</w:t>
            </w:r>
          </w:p>
          <w:p w14:paraId="5A2BCCDF" w14:textId="77777777" w:rsidR="00A4291C" w:rsidRDefault="00A4291C">
            <w:pPr>
              <w:pStyle w:val="TableText"/>
              <w:rPr>
                <w:rFonts w:ascii="Calibri" w:hAnsi="Calibri"/>
                <w:sz w:val="24"/>
                <w:szCs w:val="24"/>
              </w:rPr>
            </w:pPr>
            <w:r>
              <w:rPr>
                <w:rFonts w:ascii="Calibri" w:hAnsi="Calibri"/>
                <w:sz w:val="24"/>
                <w:szCs w:val="24"/>
              </w:rPr>
              <w:t>- Floor Plans Dwg no 004 Rev A</w:t>
            </w:r>
          </w:p>
          <w:p w14:paraId="5D5F72C2" w14:textId="77777777" w:rsidR="00A4291C" w:rsidRDefault="00A4291C">
            <w:pPr>
              <w:pStyle w:val="TableText"/>
              <w:rPr>
                <w:rFonts w:ascii="Calibri" w:hAnsi="Calibri"/>
                <w:sz w:val="24"/>
                <w:szCs w:val="24"/>
              </w:rPr>
            </w:pPr>
            <w:r>
              <w:rPr>
                <w:rFonts w:ascii="Calibri" w:hAnsi="Calibri"/>
                <w:sz w:val="24"/>
                <w:szCs w:val="24"/>
              </w:rPr>
              <w:t>- Elevations Dwg no 005 Rev A</w:t>
            </w:r>
          </w:p>
          <w:p w14:paraId="31C25DF6" w14:textId="77777777" w:rsidR="00A4291C" w:rsidRDefault="00A4291C">
            <w:pPr>
              <w:pStyle w:val="TableText"/>
              <w:rPr>
                <w:rFonts w:ascii="Calibri" w:hAnsi="Calibri"/>
                <w:sz w:val="24"/>
                <w:szCs w:val="24"/>
              </w:rPr>
            </w:pPr>
            <w:r>
              <w:rPr>
                <w:rFonts w:ascii="Calibri" w:hAnsi="Calibri"/>
                <w:sz w:val="24"/>
                <w:szCs w:val="24"/>
              </w:rPr>
              <w:t>- Section &amp; Images Dwg no 006 Rev A</w:t>
            </w:r>
          </w:p>
          <w:p w14:paraId="089B65E9" w14:textId="77777777" w:rsidR="00A4291C" w:rsidRDefault="00A4291C">
            <w:pPr>
              <w:pStyle w:val="TableText"/>
              <w:rPr>
                <w:rFonts w:ascii="Calibri" w:hAnsi="Calibri"/>
                <w:sz w:val="24"/>
                <w:szCs w:val="24"/>
              </w:rPr>
            </w:pPr>
            <w:r>
              <w:rPr>
                <w:rFonts w:ascii="Calibri" w:hAnsi="Calibri"/>
                <w:sz w:val="24"/>
                <w:szCs w:val="24"/>
              </w:rPr>
              <w:t>- Garage/Office Dwg no 007 Rev A</w:t>
            </w:r>
          </w:p>
          <w:p w14:paraId="4CA15052" w14:textId="77777777" w:rsidR="00A4291C" w:rsidRDefault="00A4291C">
            <w:pPr>
              <w:pStyle w:val="TableText"/>
              <w:rPr>
                <w:rFonts w:ascii="Calibri" w:hAnsi="Calibri"/>
                <w:sz w:val="24"/>
                <w:szCs w:val="24"/>
              </w:rPr>
            </w:pPr>
            <w:r>
              <w:rPr>
                <w:rFonts w:ascii="Calibri" w:hAnsi="Calibri"/>
                <w:sz w:val="24"/>
                <w:szCs w:val="24"/>
              </w:rPr>
              <w:t>- Detail Wall Section Dwg no 008</w:t>
            </w:r>
          </w:p>
          <w:p w14:paraId="639327DD" w14:textId="77777777" w:rsidR="00A4291C" w:rsidRDefault="00A4291C">
            <w:pPr>
              <w:pStyle w:val="TableText"/>
              <w:rPr>
                <w:rFonts w:ascii="Calibri" w:hAnsi="Calibri"/>
                <w:sz w:val="24"/>
                <w:szCs w:val="24"/>
              </w:rPr>
            </w:pPr>
            <w:r>
              <w:rPr>
                <w:rFonts w:ascii="Calibri" w:hAnsi="Calibri"/>
                <w:sz w:val="24"/>
                <w:szCs w:val="24"/>
              </w:rPr>
              <w:t xml:space="preserve">- Construction Management Plan &amp; Traffic Management Plan as submitted by PGB Architectural Services Ltd </w:t>
            </w:r>
          </w:p>
          <w:p w14:paraId="1F6D2D77" w14:textId="77777777" w:rsidR="00A4291C" w:rsidRDefault="00A4291C">
            <w:pPr>
              <w:pStyle w:val="TableText"/>
              <w:rPr>
                <w:rFonts w:ascii="Calibri" w:hAnsi="Calibri"/>
                <w:sz w:val="24"/>
                <w:szCs w:val="24"/>
              </w:rPr>
            </w:pPr>
          </w:p>
          <w:p w14:paraId="23C14021" w14:textId="77777777" w:rsidR="00A4291C" w:rsidRDefault="00A4291C">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0FE0E24F" w14:textId="77777777" w:rsidR="00AB3ECE" w:rsidRDefault="00AB3ECE">
            <w:pPr>
              <w:pStyle w:val="TableText"/>
              <w:rPr>
                <w:rFonts w:ascii="Calibri" w:hAnsi="Calibri"/>
                <w:sz w:val="24"/>
                <w:szCs w:val="24"/>
              </w:rPr>
            </w:pPr>
          </w:p>
          <w:p w14:paraId="3A760273" w14:textId="10B58754" w:rsidR="00AB3ECE" w:rsidRDefault="00AB3ECE" w:rsidP="00AB3ECE">
            <w:pPr>
              <w:pStyle w:val="TableText"/>
              <w:jc w:val="right"/>
              <w:rPr>
                <w:rFonts w:ascii="Calibri" w:hAnsi="Calibri"/>
                <w:sz w:val="24"/>
                <w:szCs w:val="24"/>
              </w:rPr>
            </w:pPr>
            <w:r>
              <w:rPr>
                <w:rFonts w:ascii="Calibri" w:hAnsi="Calibri"/>
                <w:sz w:val="24"/>
                <w:szCs w:val="24"/>
              </w:rPr>
              <w:t>P.T.O.</w:t>
            </w:r>
          </w:p>
        </w:tc>
      </w:tr>
      <w:tr w:rsidR="00A4291C" w:rsidRPr="00DD62CA" w14:paraId="46E0705A" w14:textId="77777777" w:rsidTr="003243B5">
        <w:trPr>
          <w:cantSplit/>
          <w:trHeight w:val="527"/>
        </w:trPr>
        <w:tc>
          <w:tcPr>
            <w:tcW w:w="988" w:type="dxa"/>
          </w:tcPr>
          <w:p w14:paraId="71432734" w14:textId="77777777" w:rsidR="00A4291C" w:rsidRPr="00DD62CA" w:rsidRDefault="00A4291C">
            <w:pPr>
              <w:pStyle w:val="TableText"/>
              <w:numPr>
                <w:ilvl w:val="0"/>
                <w:numId w:val="3"/>
              </w:numPr>
              <w:rPr>
                <w:rFonts w:ascii="Calibri" w:hAnsi="Calibri"/>
                <w:sz w:val="24"/>
                <w:szCs w:val="24"/>
              </w:rPr>
            </w:pPr>
          </w:p>
        </w:tc>
        <w:tc>
          <w:tcPr>
            <w:tcW w:w="9365" w:type="dxa"/>
            <w:gridSpan w:val="2"/>
          </w:tcPr>
          <w:p w14:paraId="3843F4BF" w14:textId="77777777" w:rsidR="00A4291C" w:rsidRDefault="00A4291C">
            <w:pPr>
              <w:pStyle w:val="TableText"/>
              <w:rPr>
                <w:rFonts w:ascii="Calibri" w:hAnsi="Calibri"/>
                <w:sz w:val="24"/>
                <w:szCs w:val="24"/>
              </w:rPr>
            </w:pPr>
            <w:r>
              <w:rPr>
                <w:rFonts w:ascii="Calibri" w:hAnsi="Calibri"/>
                <w:sz w:val="24"/>
                <w:szCs w:val="24"/>
              </w:rPr>
              <w:t>Notwithstanding the submitted details, precise specifications and samples of:</w:t>
            </w:r>
          </w:p>
          <w:p w14:paraId="22110ACC" w14:textId="77777777" w:rsidR="00A4291C" w:rsidRDefault="00A4291C">
            <w:pPr>
              <w:pStyle w:val="TableText"/>
              <w:rPr>
                <w:rFonts w:ascii="Calibri" w:hAnsi="Calibri"/>
                <w:sz w:val="24"/>
                <w:szCs w:val="24"/>
              </w:rPr>
            </w:pPr>
            <w:r>
              <w:rPr>
                <w:rFonts w:ascii="Calibri" w:hAnsi="Calibri"/>
                <w:sz w:val="24"/>
                <w:szCs w:val="24"/>
              </w:rPr>
              <w:t>- walling and roofing materials</w:t>
            </w:r>
          </w:p>
          <w:p w14:paraId="02D7EB8F" w14:textId="77777777" w:rsidR="00A4291C" w:rsidRDefault="00A4291C">
            <w:pPr>
              <w:pStyle w:val="TableText"/>
              <w:rPr>
                <w:rFonts w:ascii="Calibri" w:hAnsi="Calibri"/>
                <w:sz w:val="24"/>
                <w:szCs w:val="24"/>
              </w:rPr>
            </w:pPr>
            <w:r>
              <w:rPr>
                <w:rFonts w:ascii="Calibri" w:hAnsi="Calibri"/>
                <w:sz w:val="24"/>
                <w:szCs w:val="24"/>
              </w:rPr>
              <w:t xml:space="preserve">- details of all proposed window and door surrounds, jambs, mullions, sills and heads </w:t>
            </w:r>
          </w:p>
          <w:p w14:paraId="30749050" w14:textId="77777777" w:rsidR="00A4291C" w:rsidRDefault="00A4291C">
            <w:pPr>
              <w:pStyle w:val="TableText"/>
              <w:rPr>
                <w:rFonts w:ascii="Calibri" w:hAnsi="Calibri"/>
                <w:sz w:val="24"/>
                <w:szCs w:val="24"/>
              </w:rPr>
            </w:pPr>
          </w:p>
          <w:p w14:paraId="02D10BDC" w14:textId="77777777" w:rsidR="00A4291C" w:rsidRDefault="00A4291C">
            <w:pPr>
              <w:pStyle w:val="TableText"/>
              <w:rPr>
                <w:rFonts w:ascii="Calibri" w:hAnsi="Calibri"/>
                <w:sz w:val="24"/>
                <w:szCs w:val="24"/>
              </w:rPr>
            </w:pPr>
            <w:r>
              <w:rPr>
                <w:rFonts w:ascii="Calibri" w:hAnsi="Calibri"/>
                <w:sz w:val="24"/>
                <w:szCs w:val="24"/>
              </w:rPr>
              <w:t>to be implemented within the development hereby approved shall have been submitted to and approved in writing by the Local Planning Authority before their use in the proposed development.  The development shall be carried out in strict accordance with the approved details.</w:t>
            </w:r>
          </w:p>
          <w:p w14:paraId="28C0A348" w14:textId="77777777" w:rsidR="00A4291C" w:rsidRDefault="00A4291C">
            <w:pPr>
              <w:pStyle w:val="TableText"/>
              <w:rPr>
                <w:rFonts w:ascii="Calibri" w:hAnsi="Calibri"/>
                <w:sz w:val="24"/>
                <w:szCs w:val="24"/>
              </w:rPr>
            </w:pPr>
          </w:p>
          <w:p w14:paraId="0144C905" w14:textId="77777777" w:rsidR="00A4291C" w:rsidRDefault="00A4291C">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 in accordance with Policies DMG1 and EN2 of the Ribble Valley Core Strategy.</w:t>
            </w:r>
          </w:p>
        </w:tc>
      </w:tr>
      <w:tr w:rsidR="00A4291C" w:rsidRPr="00DD62CA" w14:paraId="2AFA4824" w14:textId="77777777" w:rsidTr="003243B5">
        <w:trPr>
          <w:cantSplit/>
          <w:trHeight w:val="527"/>
        </w:trPr>
        <w:tc>
          <w:tcPr>
            <w:tcW w:w="988" w:type="dxa"/>
          </w:tcPr>
          <w:p w14:paraId="2B42F4A1" w14:textId="77777777" w:rsidR="00A4291C" w:rsidRPr="00DD62CA" w:rsidRDefault="00A4291C">
            <w:pPr>
              <w:pStyle w:val="TableText"/>
              <w:numPr>
                <w:ilvl w:val="0"/>
                <w:numId w:val="3"/>
              </w:numPr>
              <w:rPr>
                <w:rFonts w:ascii="Calibri" w:hAnsi="Calibri"/>
                <w:sz w:val="24"/>
                <w:szCs w:val="24"/>
              </w:rPr>
            </w:pPr>
          </w:p>
        </w:tc>
        <w:tc>
          <w:tcPr>
            <w:tcW w:w="9365" w:type="dxa"/>
            <w:gridSpan w:val="2"/>
          </w:tcPr>
          <w:p w14:paraId="42AF91D0" w14:textId="655DA23C" w:rsidR="00A4291C" w:rsidRDefault="00A4291C">
            <w:pPr>
              <w:pStyle w:val="TableText"/>
              <w:rPr>
                <w:rFonts w:ascii="Calibri" w:hAnsi="Calibri"/>
                <w:sz w:val="24"/>
                <w:szCs w:val="24"/>
              </w:rPr>
            </w:pPr>
            <w:r>
              <w:rPr>
                <w:rFonts w:ascii="Calibri" w:hAnsi="Calibri"/>
                <w:sz w:val="24"/>
                <w:szCs w:val="24"/>
              </w:rPr>
              <w:t xml:space="preserve">Prior to the implementation of the approved Construction Management Plan and Traffic Management Plan as submitted by PGB Architectural Services Ltd, further details are to be submitted to and approved in writing by the </w:t>
            </w:r>
            <w:r w:rsidR="002C39D3">
              <w:rPr>
                <w:rFonts w:ascii="Calibri" w:hAnsi="Calibri"/>
                <w:sz w:val="24"/>
                <w:szCs w:val="24"/>
              </w:rPr>
              <w:t>Local Planning Authority</w:t>
            </w:r>
            <w:r>
              <w:rPr>
                <w:rFonts w:ascii="Calibri" w:hAnsi="Calibri"/>
                <w:sz w:val="24"/>
                <w:szCs w:val="24"/>
              </w:rPr>
              <w:t xml:space="preserve"> to show </w:t>
            </w:r>
          </w:p>
          <w:p w14:paraId="6479C3C8" w14:textId="77777777" w:rsidR="00A4291C" w:rsidRDefault="00A4291C">
            <w:pPr>
              <w:pStyle w:val="TableText"/>
              <w:rPr>
                <w:rFonts w:ascii="Calibri" w:hAnsi="Calibri"/>
                <w:sz w:val="24"/>
                <w:szCs w:val="24"/>
              </w:rPr>
            </w:pPr>
          </w:p>
          <w:p w14:paraId="2E58CD16" w14:textId="77777777" w:rsidR="00A4291C" w:rsidRDefault="00A4291C">
            <w:pPr>
              <w:pStyle w:val="TableText"/>
              <w:rPr>
                <w:rFonts w:ascii="Calibri" w:hAnsi="Calibri"/>
                <w:sz w:val="24"/>
                <w:szCs w:val="24"/>
              </w:rPr>
            </w:pPr>
            <w:r>
              <w:rPr>
                <w:rFonts w:ascii="Calibri" w:hAnsi="Calibri"/>
                <w:sz w:val="24"/>
                <w:szCs w:val="24"/>
              </w:rPr>
              <w:t>- signs making users aware of construction construction traffic, located outside of the accesses visiblity splays and at the exit of the car park for the diary</w:t>
            </w:r>
          </w:p>
          <w:p w14:paraId="1FC0A162" w14:textId="77777777" w:rsidR="00A4291C" w:rsidRDefault="00A4291C">
            <w:pPr>
              <w:pStyle w:val="TableText"/>
              <w:rPr>
                <w:rFonts w:ascii="Calibri" w:hAnsi="Calibri"/>
                <w:sz w:val="24"/>
                <w:szCs w:val="24"/>
              </w:rPr>
            </w:pPr>
          </w:p>
          <w:p w14:paraId="3BFBDEA7" w14:textId="2EF2268D" w:rsidR="00A4291C" w:rsidRDefault="00A4291C">
            <w:pPr>
              <w:pStyle w:val="TableText"/>
              <w:rPr>
                <w:rFonts w:ascii="Calibri" w:hAnsi="Calibri"/>
                <w:sz w:val="24"/>
                <w:szCs w:val="24"/>
              </w:rPr>
            </w:pPr>
            <w:r>
              <w:rPr>
                <w:rFonts w:ascii="Calibri" w:hAnsi="Calibri"/>
                <w:sz w:val="24"/>
                <w:szCs w:val="24"/>
              </w:rPr>
              <w:t xml:space="preserve">The Construction Management Plan and Traffic Management Plan is to be adhered to for the full duration </w:t>
            </w:r>
            <w:r w:rsidR="002C39D3">
              <w:rPr>
                <w:rFonts w:ascii="Calibri" w:hAnsi="Calibri"/>
                <w:sz w:val="24"/>
                <w:szCs w:val="24"/>
              </w:rPr>
              <w:t>of</w:t>
            </w:r>
            <w:r>
              <w:rPr>
                <w:rFonts w:ascii="Calibri" w:hAnsi="Calibri"/>
                <w:sz w:val="24"/>
                <w:szCs w:val="24"/>
              </w:rPr>
              <w:t xml:space="preserve"> the construction phase</w:t>
            </w:r>
            <w:r w:rsidR="002C39D3">
              <w:rPr>
                <w:rFonts w:ascii="Calibri" w:hAnsi="Calibri"/>
                <w:sz w:val="24"/>
                <w:szCs w:val="24"/>
              </w:rPr>
              <w:t xml:space="preserve"> of the development</w:t>
            </w:r>
            <w:r>
              <w:rPr>
                <w:rFonts w:ascii="Calibri" w:hAnsi="Calibri"/>
                <w:sz w:val="24"/>
                <w:szCs w:val="24"/>
              </w:rPr>
              <w:t xml:space="preserve">. </w:t>
            </w:r>
          </w:p>
          <w:p w14:paraId="48999365" w14:textId="77777777" w:rsidR="00A4291C" w:rsidRDefault="00A4291C">
            <w:pPr>
              <w:pStyle w:val="TableText"/>
              <w:rPr>
                <w:rFonts w:ascii="Calibri" w:hAnsi="Calibri"/>
                <w:sz w:val="24"/>
                <w:szCs w:val="24"/>
              </w:rPr>
            </w:pPr>
          </w:p>
          <w:p w14:paraId="46B864A7" w14:textId="77777777" w:rsidR="00A4291C" w:rsidRDefault="00A4291C">
            <w:pPr>
              <w:pStyle w:val="TableText"/>
              <w:rPr>
                <w:rFonts w:ascii="Calibri" w:hAnsi="Calibri"/>
                <w:sz w:val="24"/>
                <w:szCs w:val="24"/>
              </w:rPr>
            </w:pPr>
            <w:r>
              <w:rPr>
                <w:rFonts w:ascii="Calibri" w:hAnsi="Calibri"/>
                <w:sz w:val="24"/>
                <w:szCs w:val="24"/>
              </w:rPr>
              <w:t>REASON: To reduce the possibility of deleterious material (mud, stones etc.) being deposited in the highway and becoming a hazard for road users, to ensure that construction traffic does not use unsatisfactory roads and lead to on-street parking problems in the area.</w:t>
            </w:r>
          </w:p>
        </w:tc>
      </w:tr>
      <w:tr w:rsidR="00A4291C" w:rsidRPr="00DD62CA" w14:paraId="7FB27168" w14:textId="77777777" w:rsidTr="003243B5">
        <w:trPr>
          <w:cantSplit/>
          <w:trHeight w:val="527"/>
        </w:trPr>
        <w:tc>
          <w:tcPr>
            <w:tcW w:w="988" w:type="dxa"/>
          </w:tcPr>
          <w:p w14:paraId="5EAE4F03" w14:textId="77777777" w:rsidR="00A4291C" w:rsidRPr="00DD62CA" w:rsidRDefault="00A4291C">
            <w:pPr>
              <w:pStyle w:val="TableText"/>
              <w:numPr>
                <w:ilvl w:val="0"/>
                <w:numId w:val="3"/>
              </w:numPr>
              <w:rPr>
                <w:rFonts w:ascii="Calibri" w:hAnsi="Calibri"/>
                <w:sz w:val="24"/>
                <w:szCs w:val="24"/>
              </w:rPr>
            </w:pPr>
          </w:p>
        </w:tc>
        <w:tc>
          <w:tcPr>
            <w:tcW w:w="9365" w:type="dxa"/>
            <w:gridSpan w:val="2"/>
          </w:tcPr>
          <w:p w14:paraId="601A204C" w14:textId="37A50FFD" w:rsidR="00A4291C" w:rsidRDefault="00A4291C">
            <w:pPr>
              <w:pStyle w:val="TableText"/>
              <w:rPr>
                <w:rFonts w:ascii="Calibri" w:hAnsi="Calibri"/>
                <w:sz w:val="24"/>
                <w:szCs w:val="24"/>
              </w:rPr>
            </w:pPr>
            <w:r>
              <w:rPr>
                <w:rFonts w:ascii="Calibri" w:hAnsi="Calibri"/>
                <w:sz w:val="24"/>
                <w:szCs w:val="24"/>
              </w:rPr>
              <w:t>The development hereby permitted shall not be occupied until such time as the parking and turning facilities have been implemented in accordance with PGB drawing number 003</w:t>
            </w:r>
            <w:r w:rsidR="002C39D3">
              <w:rPr>
                <w:rFonts w:ascii="Calibri" w:hAnsi="Calibri"/>
                <w:sz w:val="24"/>
                <w:szCs w:val="24"/>
              </w:rPr>
              <w:t xml:space="preserve"> Rev A</w:t>
            </w:r>
            <w:r>
              <w:rPr>
                <w:rFonts w:ascii="Calibri" w:hAnsi="Calibri"/>
                <w:sz w:val="24"/>
                <w:szCs w:val="24"/>
              </w:rPr>
              <w:t xml:space="preserve">. Thereafter the onsite parking provision shall be so maintained in perpetuity. </w:t>
            </w:r>
          </w:p>
          <w:p w14:paraId="6555E743" w14:textId="77777777" w:rsidR="00A4291C" w:rsidRDefault="00A4291C">
            <w:pPr>
              <w:pStyle w:val="TableText"/>
              <w:rPr>
                <w:rFonts w:ascii="Calibri" w:hAnsi="Calibri"/>
                <w:sz w:val="24"/>
                <w:szCs w:val="24"/>
              </w:rPr>
            </w:pPr>
          </w:p>
          <w:p w14:paraId="2B95E582" w14:textId="77777777" w:rsidR="00A4291C" w:rsidRDefault="00A4291C">
            <w:pPr>
              <w:pStyle w:val="TableText"/>
              <w:rPr>
                <w:rFonts w:ascii="Calibri" w:hAnsi="Calibri"/>
                <w:sz w:val="24"/>
                <w:szCs w:val="24"/>
              </w:rPr>
            </w:pPr>
            <w:r>
              <w:rPr>
                <w:rFonts w:ascii="Calibri" w:hAnsi="Calibri"/>
                <w:sz w:val="24"/>
                <w:szCs w:val="24"/>
              </w:rPr>
              <w:t>REASON: To ensure that adequate off-street parking provision is made to reduce the possibility of the proposed development leading to on-street parking problems locally and to enable vehicles to enter and leave the site in a forward direction in the interests of highway safety and in accordance with the National Planning Policy Framework (2021).</w:t>
            </w:r>
          </w:p>
          <w:p w14:paraId="309282D8" w14:textId="77777777" w:rsidR="00A4291C" w:rsidRDefault="00A4291C">
            <w:pPr>
              <w:pStyle w:val="TableText"/>
              <w:rPr>
                <w:rFonts w:ascii="Calibri" w:hAnsi="Calibri"/>
                <w:sz w:val="24"/>
                <w:szCs w:val="24"/>
              </w:rPr>
            </w:pPr>
          </w:p>
        </w:tc>
      </w:tr>
      <w:tr w:rsidR="00A4291C" w:rsidRPr="00DD62CA" w14:paraId="724A936E" w14:textId="77777777" w:rsidTr="003243B5">
        <w:trPr>
          <w:cantSplit/>
          <w:trHeight w:val="527"/>
        </w:trPr>
        <w:tc>
          <w:tcPr>
            <w:tcW w:w="988" w:type="dxa"/>
          </w:tcPr>
          <w:p w14:paraId="7BB593EB" w14:textId="77777777" w:rsidR="00A4291C" w:rsidRPr="00DD62CA" w:rsidRDefault="00A4291C">
            <w:pPr>
              <w:pStyle w:val="TableText"/>
              <w:numPr>
                <w:ilvl w:val="0"/>
                <w:numId w:val="3"/>
              </w:numPr>
              <w:rPr>
                <w:rFonts w:ascii="Calibri" w:hAnsi="Calibri"/>
                <w:sz w:val="24"/>
                <w:szCs w:val="24"/>
              </w:rPr>
            </w:pPr>
          </w:p>
        </w:tc>
        <w:tc>
          <w:tcPr>
            <w:tcW w:w="9365" w:type="dxa"/>
            <w:gridSpan w:val="2"/>
          </w:tcPr>
          <w:p w14:paraId="7FF8A95C" w14:textId="77777777" w:rsidR="00A4291C" w:rsidRDefault="00A4291C">
            <w:pPr>
              <w:pStyle w:val="TableText"/>
              <w:rPr>
                <w:rFonts w:ascii="Calibri" w:hAnsi="Calibri"/>
                <w:sz w:val="24"/>
                <w:szCs w:val="24"/>
              </w:rPr>
            </w:pPr>
            <w:r>
              <w:rPr>
                <w:rFonts w:ascii="Calibri" w:hAnsi="Calibri"/>
                <w:sz w:val="24"/>
                <w:szCs w:val="24"/>
              </w:rPr>
              <w:t>Prior to the first occupation of the development hereby approved. Details of the provision of 1no. electric vehicle charging point within the boundary of the site shall have been submitted to and approved in writing by the local planning authority. These shall have been made available for use  prior to the first occupation of the building and thereafter retained as such.</w:t>
            </w:r>
          </w:p>
          <w:p w14:paraId="01862C88" w14:textId="77777777" w:rsidR="00A4291C" w:rsidRDefault="00A4291C">
            <w:pPr>
              <w:pStyle w:val="TableText"/>
              <w:rPr>
                <w:rFonts w:ascii="Calibri" w:hAnsi="Calibri"/>
                <w:sz w:val="24"/>
                <w:szCs w:val="24"/>
              </w:rPr>
            </w:pPr>
          </w:p>
          <w:p w14:paraId="1765395E" w14:textId="77777777" w:rsidR="00A4291C" w:rsidRDefault="00A4291C">
            <w:pPr>
              <w:pStyle w:val="TableText"/>
              <w:rPr>
                <w:rFonts w:ascii="Calibri" w:hAnsi="Calibri"/>
                <w:sz w:val="24"/>
                <w:szCs w:val="24"/>
              </w:rPr>
            </w:pPr>
            <w:r>
              <w:rPr>
                <w:rFonts w:ascii="Calibri" w:hAnsi="Calibri"/>
                <w:sz w:val="24"/>
                <w:szCs w:val="24"/>
              </w:rPr>
              <w:t>Reason: To contribute towards sustainable transport objectives and the reduction of harmful vehicle emissions.</w:t>
            </w:r>
          </w:p>
          <w:p w14:paraId="0D13DF82" w14:textId="77777777" w:rsidR="00AB3ECE" w:rsidRDefault="00AB3ECE">
            <w:pPr>
              <w:pStyle w:val="TableText"/>
              <w:rPr>
                <w:rFonts w:ascii="Calibri" w:hAnsi="Calibri"/>
                <w:sz w:val="24"/>
                <w:szCs w:val="24"/>
              </w:rPr>
            </w:pPr>
          </w:p>
          <w:p w14:paraId="10117F3C" w14:textId="77777777" w:rsidR="00AB3ECE" w:rsidRDefault="00AB3ECE">
            <w:pPr>
              <w:pStyle w:val="TableText"/>
              <w:rPr>
                <w:rFonts w:ascii="Calibri" w:hAnsi="Calibri"/>
                <w:sz w:val="24"/>
                <w:szCs w:val="24"/>
              </w:rPr>
            </w:pPr>
          </w:p>
          <w:p w14:paraId="75D4FB0B" w14:textId="77777777" w:rsidR="00AB3ECE" w:rsidRDefault="00AB3ECE">
            <w:pPr>
              <w:pStyle w:val="TableText"/>
              <w:rPr>
                <w:rFonts w:ascii="Calibri" w:hAnsi="Calibri"/>
                <w:sz w:val="24"/>
                <w:szCs w:val="24"/>
              </w:rPr>
            </w:pPr>
          </w:p>
          <w:p w14:paraId="1367057F" w14:textId="3299AC37" w:rsidR="00AB3ECE" w:rsidRDefault="00AB3ECE" w:rsidP="00AB3ECE">
            <w:pPr>
              <w:pStyle w:val="TableText"/>
              <w:jc w:val="right"/>
              <w:rPr>
                <w:rFonts w:ascii="Calibri" w:hAnsi="Calibri"/>
                <w:sz w:val="24"/>
                <w:szCs w:val="24"/>
              </w:rPr>
            </w:pPr>
            <w:r>
              <w:rPr>
                <w:rFonts w:ascii="Calibri" w:hAnsi="Calibri"/>
                <w:sz w:val="24"/>
                <w:szCs w:val="24"/>
              </w:rPr>
              <w:t>P.T.O.</w:t>
            </w:r>
          </w:p>
        </w:tc>
      </w:tr>
      <w:tr w:rsidR="00A4291C" w:rsidRPr="00DD62CA" w14:paraId="5616D248" w14:textId="77777777" w:rsidTr="003243B5">
        <w:trPr>
          <w:cantSplit/>
          <w:trHeight w:val="527"/>
        </w:trPr>
        <w:tc>
          <w:tcPr>
            <w:tcW w:w="988" w:type="dxa"/>
          </w:tcPr>
          <w:p w14:paraId="3206D471" w14:textId="77777777" w:rsidR="00A4291C" w:rsidRPr="00DD62CA" w:rsidRDefault="00A4291C">
            <w:pPr>
              <w:pStyle w:val="TableText"/>
              <w:numPr>
                <w:ilvl w:val="0"/>
                <w:numId w:val="3"/>
              </w:numPr>
              <w:rPr>
                <w:rFonts w:ascii="Calibri" w:hAnsi="Calibri"/>
                <w:sz w:val="24"/>
                <w:szCs w:val="24"/>
              </w:rPr>
            </w:pPr>
          </w:p>
        </w:tc>
        <w:tc>
          <w:tcPr>
            <w:tcW w:w="9365" w:type="dxa"/>
            <w:gridSpan w:val="2"/>
          </w:tcPr>
          <w:p w14:paraId="4B10BD74" w14:textId="0882D7A9" w:rsidR="00A4291C" w:rsidRDefault="00A4291C">
            <w:pPr>
              <w:pStyle w:val="TableText"/>
              <w:rPr>
                <w:rFonts w:ascii="Calibri" w:hAnsi="Calibri"/>
                <w:sz w:val="24"/>
                <w:szCs w:val="24"/>
              </w:rPr>
            </w:pPr>
            <w:r>
              <w:rPr>
                <w:rFonts w:ascii="Calibri" w:hAnsi="Calibri"/>
                <w:sz w:val="24"/>
                <w:szCs w:val="24"/>
              </w:rPr>
              <w:t xml:space="preserve">The occupation of the dwelling shall </w:t>
            </w:r>
            <w:r w:rsidR="002C39D3">
              <w:rPr>
                <w:rFonts w:ascii="Calibri" w:hAnsi="Calibri"/>
                <w:sz w:val="24"/>
                <w:szCs w:val="24"/>
              </w:rPr>
              <w:t xml:space="preserve">be </w:t>
            </w:r>
            <w:r>
              <w:rPr>
                <w:rFonts w:ascii="Calibri" w:hAnsi="Calibri"/>
                <w:sz w:val="24"/>
                <w:szCs w:val="24"/>
              </w:rPr>
              <w:t xml:space="preserve">limited to a person[s] solely or mainly employed in agriculture operations (as defined in Section 336(1) of the Town and Country Planning Act 1990 or in forestry), or the dependant of such persons living with them, or a widow or widower of such persons. </w:t>
            </w:r>
          </w:p>
          <w:p w14:paraId="5C40F324" w14:textId="77777777" w:rsidR="00A4291C" w:rsidRDefault="00A4291C">
            <w:pPr>
              <w:pStyle w:val="TableText"/>
              <w:rPr>
                <w:rFonts w:ascii="Calibri" w:hAnsi="Calibri"/>
                <w:sz w:val="24"/>
                <w:szCs w:val="24"/>
              </w:rPr>
            </w:pPr>
          </w:p>
          <w:p w14:paraId="42BC8A6A" w14:textId="77777777" w:rsidR="00A4291C" w:rsidRDefault="00A4291C">
            <w:pPr>
              <w:pStyle w:val="TableText"/>
              <w:rPr>
                <w:rFonts w:ascii="Calibri" w:hAnsi="Calibri"/>
                <w:sz w:val="24"/>
                <w:szCs w:val="24"/>
              </w:rPr>
            </w:pPr>
            <w:r>
              <w:rPr>
                <w:rFonts w:ascii="Calibri" w:hAnsi="Calibri"/>
                <w:sz w:val="24"/>
                <w:szCs w:val="24"/>
              </w:rPr>
              <w:t xml:space="preserve">Reason: For the avoidance of doubt as permission has been granted for the dwelling on the basis of its occupation by an essential rural worker in a location where a dwelling for general residential occupation would not normally be permitted. </w:t>
            </w:r>
          </w:p>
        </w:tc>
      </w:tr>
      <w:tr w:rsidR="00A4291C" w:rsidRPr="00DD62CA" w14:paraId="0CFF1577" w14:textId="77777777" w:rsidTr="003243B5">
        <w:trPr>
          <w:cantSplit/>
          <w:trHeight w:val="527"/>
        </w:trPr>
        <w:tc>
          <w:tcPr>
            <w:tcW w:w="988" w:type="dxa"/>
          </w:tcPr>
          <w:p w14:paraId="448E02D3" w14:textId="77777777" w:rsidR="00A4291C" w:rsidRPr="00DD62CA" w:rsidRDefault="00A4291C">
            <w:pPr>
              <w:pStyle w:val="TableText"/>
              <w:numPr>
                <w:ilvl w:val="0"/>
                <w:numId w:val="3"/>
              </w:numPr>
              <w:rPr>
                <w:rFonts w:ascii="Calibri" w:hAnsi="Calibri"/>
                <w:sz w:val="24"/>
                <w:szCs w:val="24"/>
              </w:rPr>
            </w:pPr>
          </w:p>
        </w:tc>
        <w:tc>
          <w:tcPr>
            <w:tcW w:w="9365" w:type="dxa"/>
            <w:gridSpan w:val="2"/>
          </w:tcPr>
          <w:p w14:paraId="170F3D5C" w14:textId="7608D30B" w:rsidR="00A4291C" w:rsidRDefault="00A4291C">
            <w:pPr>
              <w:pStyle w:val="TableText"/>
              <w:rPr>
                <w:rFonts w:ascii="Calibri" w:hAnsi="Calibri"/>
                <w:sz w:val="24"/>
                <w:szCs w:val="24"/>
              </w:rPr>
            </w:pPr>
            <w:r>
              <w:rPr>
                <w:rFonts w:ascii="Calibri" w:hAnsi="Calibri"/>
                <w:sz w:val="24"/>
                <w:szCs w:val="24"/>
              </w:rPr>
              <w:t xml:space="preserve">Notwithstanding the provisions of the Town and Country Planning (General Permitted Development) Order 2015 (as amended) (Schedule 2, Part 1, Classes </w:t>
            </w:r>
            <w:r w:rsidR="002C39D3">
              <w:rPr>
                <w:rFonts w:ascii="Calibri" w:hAnsi="Calibri"/>
                <w:sz w:val="24"/>
                <w:szCs w:val="24"/>
              </w:rPr>
              <w:t>A-E</w:t>
            </w:r>
            <w:r>
              <w:rPr>
                <w:rFonts w:ascii="Calibri" w:hAnsi="Calibri"/>
                <w:sz w:val="24"/>
                <w:szCs w:val="24"/>
              </w:rPr>
              <w:t>) or any subsequent re-enactment thereof no development that falls within the above Classes shall be constructed without express planning permission first being obtained.</w:t>
            </w:r>
          </w:p>
          <w:p w14:paraId="3EB1AAB2" w14:textId="77777777" w:rsidR="00A4291C" w:rsidRDefault="00A4291C">
            <w:pPr>
              <w:pStyle w:val="TableText"/>
              <w:rPr>
                <w:rFonts w:ascii="Calibri" w:hAnsi="Calibri"/>
                <w:sz w:val="24"/>
                <w:szCs w:val="24"/>
              </w:rPr>
            </w:pPr>
          </w:p>
          <w:p w14:paraId="40EE31F3" w14:textId="77777777" w:rsidR="00A4291C" w:rsidRDefault="00A4291C">
            <w:pPr>
              <w:pStyle w:val="TableText"/>
              <w:rPr>
                <w:rFonts w:ascii="Calibri" w:hAnsi="Calibri"/>
                <w:sz w:val="24"/>
                <w:szCs w:val="24"/>
              </w:rPr>
            </w:pPr>
            <w:r>
              <w:rPr>
                <w:rFonts w:ascii="Calibri" w:hAnsi="Calibri"/>
                <w:sz w:val="24"/>
                <w:szCs w:val="24"/>
              </w:rPr>
              <w:t>Reason: To enable the Local Planning Authority to exercise control over development which could materially harm the character and visual amenities of the immediate area.</w:t>
            </w:r>
          </w:p>
        </w:tc>
      </w:tr>
    </w:tbl>
    <w:p w14:paraId="30E73612" w14:textId="77777777" w:rsidR="002F3ADA" w:rsidRPr="00DD62CA" w:rsidRDefault="002F3ADA">
      <w:pPr>
        <w:pStyle w:val="TableText"/>
        <w:rPr>
          <w:rFonts w:ascii="Calibri" w:hAnsi="Calibri"/>
          <w:sz w:val="24"/>
          <w:szCs w:val="24"/>
        </w:rPr>
      </w:pPr>
    </w:p>
    <w:p w14:paraId="31122117"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1F8C2CF3"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3"/>
        <w:gridCol w:w="9387"/>
      </w:tblGrid>
      <w:tr w:rsidR="002F3ADA" w:rsidRPr="00DD62CA" w14:paraId="7FB20467" w14:textId="77777777" w:rsidTr="003243B5">
        <w:tc>
          <w:tcPr>
            <w:tcW w:w="993" w:type="dxa"/>
          </w:tcPr>
          <w:p w14:paraId="5FA52597" w14:textId="77777777" w:rsidR="002F3ADA" w:rsidRPr="00DD62CA" w:rsidRDefault="002F3ADA">
            <w:pPr>
              <w:pStyle w:val="TableText"/>
              <w:numPr>
                <w:ilvl w:val="0"/>
                <w:numId w:val="1"/>
              </w:numPr>
              <w:rPr>
                <w:rFonts w:ascii="Calibri" w:hAnsi="Calibri"/>
                <w:sz w:val="24"/>
                <w:szCs w:val="24"/>
              </w:rPr>
            </w:pPr>
          </w:p>
        </w:tc>
        <w:tc>
          <w:tcPr>
            <w:tcW w:w="9583" w:type="dxa"/>
          </w:tcPr>
          <w:p w14:paraId="5D9FFE5A" w14:textId="77777777" w:rsidR="002F3AD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p w14:paraId="5DED9D22" w14:textId="77777777" w:rsidR="00A4291C" w:rsidRPr="00DD62CA" w:rsidRDefault="00A4291C">
            <w:pPr>
              <w:pStyle w:val="TableText"/>
              <w:rPr>
                <w:rFonts w:ascii="Calibri" w:hAnsi="Calibri"/>
                <w:sz w:val="24"/>
                <w:szCs w:val="24"/>
              </w:rPr>
            </w:pPr>
          </w:p>
        </w:tc>
      </w:tr>
      <w:tr w:rsidR="002F3ADA" w:rsidRPr="00DD62CA" w14:paraId="30E3DCDA" w14:textId="77777777" w:rsidTr="003243B5">
        <w:tc>
          <w:tcPr>
            <w:tcW w:w="993" w:type="dxa"/>
          </w:tcPr>
          <w:p w14:paraId="6B5FE890" w14:textId="77777777" w:rsidR="002F3ADA" w:rsidRPr="00DD62CA" w:rsidRDefault="002F3ADA">
            <w:pPr>
              <w:pStyle w:val="TableText"/>
              <w:numPr>
                <w:ilvl w:val="0"/>
                <w:numId w:val="1"/>
              </w:numPr>
              <w:rPr>
                <w:rFonts w:ascii="Calibri" w:hAnsi="Calibri"/>
                <w:sz w:val="24"/>
                <w:szCs w:val="24"/>
              </w:rPr>
            </w:pPr>
          </w:p>
        </w:tc>
        <w:tc>
          <w:tcPr>
            <w:tcW w:w="9583" w:type="dxa"/>
          </w:tcPr>
          <w:p w14:paraId="5969D3F9" w14:textId="77777777" w:rsidR="002F3AD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p w14:paraId="4BF5D471" w14:textId="77777777" w:rsidR="00A4291C" w:rsidRPr="00DD62CA" w:rsidRDefault="00A4291C">
            <w:pPr>
              <w:pStyle w:val="TableText"/>
              <w:rPr>
                <w:rFonts w:ascii="Calibri" w:hAnsi="Calibri"/>
                <w:sz w:val="24"/>
                <w:szCs w:val="24"/>
              </w:rPr>
            </w:pPr>
          </w:p>
        </w:tc>
      </w:tr>
      <w:tr w:rsidR="0070149C" w:rsidRPr="00DD62CA" w14:paraId="24118283" w14:textId="77777777" w:rsidTr="003243B5">
        <w:tc>
          <w:tcPr>
            <w:tcW w:w="993" w:type="dxa"/>
          </w:tcPr>
          <w:p w14:paraId="309C5CF4" w14:textId="77777777" w:rsidR="0070149C" w:rsidRPr="00DD62CA" w:rsidRDefault="0070149C">
            <w:pPr>
              <w:pStyle w:val="TableText"/>
              <w:numPr>
                <w:ilvl w:val="0"/>
                <w:numId w:val="1"/>
              </w:numPr>
              <w:rPr>
                <w:rFonts w:ascii="Calibri" w:hAnsi="Calibri"/>
                <w:sz w:val="24"/>
                <w:szCs w:val="24"/>
              </w:rPr>
            </w:pPr>
          </w:p>
        </w:tc>
        <w:tc>
          <w:tcPr>
            <w:tcW w:w="9583" w:type="dxa"/>
          </w:tcPr>
          <w:p w14:paraId="79A6DA99" w14:textId="77777777" w:rsidR="0026438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p w14:paraId="111D173F" w14:textId="77777777" w:rsidR="00A4291C" w:rsidRPr="0090365E" w:rsidRDefault="00A4291C">
            <w:pPr>
              <w:pStyle w:val="TableText"/>
              <w:rPr>
                <w:rFonts w:ascii="Calibri" w:hAnsi="Calibri" w:cs="Calibri"/>
                <w:sz w:val="24"/>
                <w:szCs w:val="24"/>
              </w:rPr>
            </w:pPr>
          </w:p>
        </w:tc>
      </w:tr>
      <w:tr w:rsidR="00B91966" w:rsidRPr="00DD62CA" w14:paraId="1020D611" w14:textId="77777777" w:rsidTr="003243B5">
        <w:tc>
          <w:tcPr>
            <w:tcW w:w="993" w:type="dxa"/>
          </w:tcPr>
          <w:p w14:paraId="4EC89F06" w14:textId="77777777" w:rsidR="00B91966" w:rsidRPr="00DD62CA" w:rsidRDefault="00B91966">
            <w:pPr>
              <w:pStyle w:val="TableText"/>
              <w:numPr>
                <w:ilvl w:val="0"/>
                <w:numId w:val="1"/>
              </w:numPr>
              <w:rPr>
                <w:rFonts w:ascii="Calibri" w:hAnsi="Calibri"/>
                <w:sz w:val="24"/>
                <w:szCs w:val="24"/>
              </w:rPr>
            </w:pPr>
          </w:p>
        </w:tc>
        <w:tc>
          <w:tcPr>
            <w:tcW w:w="9583" w:type="dxa"/>
          </w:tcPr>
          <w:p w14:paraId="24572083" w14:textId="2957EFAE" w:rsidR="00A4291C" w:rsidRDefault="00A4291C" w:rsidP="00A4291C">
            <w:pPr>
              <w:pStyle w:val="TableText"/>
              <w:rPr>
                <w:rFonts w:ascii="Calibri" w:hAnsi="Calibri"/>
                <w:sz w:val="24"/>
                <w:szCs w:val="24"/>
              </w:rPr>
            </w:pPr>
            <w:bookmarkStart w:id="1" w:name="InformativeText"/>
            <w:r w:rsidRPr="00A4291C">
              <w:rPr>
                <w:rFonts w:ascii="Calibri" w:hAnsi="Calibri"/>
                <w:sz w:val="24"/>
                <w:szCs w:val="24"/>
              </w:rPr>
              <w:t>The development site is at risk from surface water flooding. The Planning Practice Guidance (PPG) states that the following drainage hierarchy should be investigated by the developer when considering a surface water sustainable drainage system and that surface water runoff should be discharged as high up the following hierarchy of drainage options as reasonably practical, maximising the potential of each level:</w:t>
            </w:r>
          </w:p>
          <w:p w14:paraId="3D86FC42" w14:textId="77777777" w:rsidR="00A4291C" w:rsidRPr="00A4291C" w:rsidRDefault="00A4291C" w:rsidP="00A4291C">
            <w:pPr>
              <w:pStyle w:val="TableText"/>
              <w:rPr>
                <w:rFonts w:ascii="Calibri" w:hAnsi="Calibri"/>
                <w:sz w:val="24"/>
                <w:szCs w:val="24"/>
              </w:rPr>
            </w:pPr>
          </w:p>
          <w:p w14:paraId="7E88526E" w14:textId="77777777" w:rsidR="00A4291C" w:rsidRPr="00A4291C" w:rsidRDefault="00A4291C" w:rsidP="00A4291C">
            <w:pPr>
              <w:pStyle w:val="TableText"/>
              <w:numPr>
                <w:ilvl w:val="0"/>
                <w:numId w:val="7"/>
              </w:numPr>
              <w:rPr>
                <w:rFonts w:ascii="Calibri" w:hAnsi="Calibri"/>
                <w:sz w:val="24"/>
                <w:szCs w:val="24"/>
              </w:rPr>
            </w:pPr>
            <w:r w:rsidRPr="00A4291C">
              <w:rPr>
                <w:rFonts w:ascii="Calibri" w:hAnsi="Calibri"/>
                <w:sz w:val="24"/>
                <w:szCs w:val="24"/>
              </w:rPr>
              <w:t>into the ground (infiltration);</w:t>
            </w:r>
          </w:p>
          <w:p w14:paraId="4ECF39B9" w14:textId="77777777" w:rsidR="00A4291C" w:rsidRPr="00A4291C" w:rsidRDefault="00A4291C" w:rsidP="00A4291C">
            <w:pPr>
              <w:pStyle w:val="TableText"/>
              <w:numPr>
                <w:ilvl w:val="0"/>
                <w:numId w:val="7"/>
              </w:numPr>
              <w:rPr>
                <w:rFonts w:ascii="Calibri" w:hAnsi="Calibri"/>
                <w:sz w:val="24"/>
                <w:szCs w:val="24"/>
              </w:rPr>
            </w:pPr>
            <w:r w:rsidRPr="00A4291C">
              <w:rPr>
                <w:rFonts w:ascii="Calibri" w:hAnsi="Calibri"/>
                <w:sz w:val="24"/>
                <w:szCs w:val="24"/>
              </w:rPr>
              <w:t>to a surface water body;</w:t>
            </w:r>
          </w:p>
          <w:p w14:paraId="7EE66078" w14:textId="77777777" w:rsidR="00A4291C" w:rsidRPr="00A4291C" w:rsidRDefault="00A4291C" w:rsidP="00A4291C">
            <w:pPr>
              <w:pStyle w:val="TableText"/>
              <w:numPr>
                <w:ilvl w:val="0"/>
                <w:numId w:val="7"/>
              </w:numPr>
              <w:rPr>
                <w:rFonts w:ascii="Calibri" w:hAnsi="Calibri"/>
                <w:sz w:val="24"/>
                <w:szCs w:val="24"/>
              </w:rPr>
            </w:pPr>
            <w:r w:rsidRPr="00A4291C">
              <w:rPr>
                <w:rFonts w:ascii="Calibri" w:hAnsi="Calibri"/>
                <w:sz w:val="24"/>
                <w:szCs w:val="24"/>
              </w:rPr>
              <w:t>to a surface water sewer, highway drain, or another drainage system;</w:t>
            </w:r>
          </w:p>
          <w:p w14:paraId="670FDBDE" w14:textId="77777777" w:rsidR="00A4291C" w:rsidRDefault="00A4291C" w:rsidP="00A4291C">
            <w:pPr>
              <w:pStyle w:val="TableText"/>
              <w:numPr>
                <w:ilvl w:val="0"/>
                <w:numId w:val="7"/>
              </w:numPr>
              <w:rPr>
                <w:rFonts w:ascii="Calibri" w:hAnsi="Calibri"/>
                <w:sz w:val="24"/>
                <w:szCs w:val="24"/>
              </w:rPr>
            </w:pPr>
            <w:r w:rsidRPr="00A4291C">
              <w:rPr>
                <w:rFonts w:ascii="Calibri" w:hAnsi="Calibri"/>
                <w:sz w:val="24"/>
                <w:szCs w:val="24"/>
              </w:rPr>
              <w:t>to a combined sewer.</w:t>
            </w:r>
          </w:p>
          <w:p w14:paraId="6672D2A6" w14:textId="77777777" w:rsidR="00A4291C" w:rsidRPr="00A4291C" w:rsidRDefault="00A4291C" w:rsidP="00A4291C">
            <w:pPr>
              <w:pStyle w:val="TableText"/>
              <w:rPr>
                <w:rFonts w:ascii="Calibri" w:hAnsi="Calibri"/>
                <w:sz w:val="24"/>
                <w:szCs w:val="24"/>
              </w:rPr>
            </w:pPr>
          </w:p>
          <w:p w14:paraId="5E0825EF" w14:textId="77777777" w:rsidR="00A4291C" w:rsidRDefault="00A4291C" w:rsidP="00A4291C">
            <w:pPr>
              <w:pStyle w:val="TableText"/>
              <w:rPr>
                <w:rFonts w:ascii="Calibri" w:hAnsi="Calibri"/>
                <w:sz w:val="24"/>
                <w:szCs w:val="24"/>
              </w:rPr>
            </w:pPr>
            <w:r w:rsidRPr="00A4291C">
              <w:rPr>
                <w:rFonts w:ascii="Calibri" w:hAnsi="Calibri"/>
                <w:sz w:val="24"/>
                <w:szCs w:val="24"/>
              </w:rPr>
              <w:t>We recommend the applicant implements the scheme in accordance with the surface water hierarchy of drainage options outlined above.</w:t>
            </w:r>
          </w:p>
          <w:p w14:paraId="79A436C9" w14:textId="77777777" w:rsidR="00A4291C" w:rsidRPr="00A4291C" w:rsidRDefault="00A4291C" w:rsidP="00A4291C">
            <w:pPr>
              <w:pStyle w:val="TableText"/>
              <w:rPr>
                <w:rFonts w:ascii="Calibri" w:hAnsi="Calibri"/>
                <w:sz w:val="24"/>
                <w:szCs w:val="24"/>
              </w:rPr>
            </w:pPr>
          </w:p>
          <w:p w14:paraId="2BD6AB9E" w14:textId="77777777" w:rsidR="00A4291C" w:rsidRDefault="00A4291C" w:rsidP="00A4291C">
            <w:pPr>
              <w:pStyle w:val="TableText"/>
              <w:rPr>
                <w:rFonts w:ascii="Calibri" w:hAnsi="Calibri"/>
                <w:sz w:val="24"/>
                <w:szCs w:val="24"/>
              </w:rPr>
            </w:pPr>
            <w:r w:rsidRPr="00A4291C">
              <w:rPr>
                <w:rFonts w:ascii="Calibri" w:hAnsi="Calibri"/>
                <w:sz w:val="24"/>
                <w:szCs w:val="24"/>
              </w:rPr>
              <w:t>Discharge rates from the site should be contained and must not exceed pre-development run-off rates and volumes.</w:t>
            </w:r>
          </w:p>
          <w:p w14:paraId="658283C5" w14:textId="78EA1DFA" w:rsidR="00A4291C" w:rsidRPr="00A4291C" w:rsidRDefault="00AB3ECE" w:rsidP="00AB3ECE">
            <w:pPr>
              <w:pStyle w:val="TableText"/>
              <w:jc w:val="right"/>
              <w:rPr>
                <w:rFonts w:ascii="Calibri" w:hAnsi="Calibri"/>
                <w:sz w:val="24"/>
                <w:szCs w:val="24"/>
              </w:rPr>
            </w:pPr>
            <w:r>
              <w:rPr>
                <w:rFonts w:ascii="Calibri" w:hAnsi="Calibri"/>
                <w:sz w:val="24"/>
                <w:szCs w:val="24"/>
              </w:rPr>
              <w:t>P.T.O.</w:t>
            </w:r>
          </w:p>
          <w:p w14:paraId="5B05FF52" w14:textId="488CEB44" w:rsidR="00B91966" w:rsidRPr="00DD62CA" w:rsidRDefault="00A4291C" w:rsidP="00A4291C">
            <w:pPr>
              <w:pStyle w:val="TableText"/>
              <w:rPr>
                <w:rFonts w:ascii="Calibri" w:hAnsi="Calibri"/>
                <w:sz w:val="24"/>
                <w:szCs w:val="24"/>
              </w:rPr>
            </w:pPr>
            <w:r w:rsidRPr="00A4291C">
              <w:rPr>
                <w:rFonts w:ascii="Calibri" w:hAnsi="Calibri"/>
                <w:sz w:val="24"/>
                <w:szCs w:val="24"/>
              </w:rPr>
              <w:lastRenderedPageBreak/>
              <w:t>In accordance with the National Planning Policy Framework (NPPF) and the Planning Practice Guidance (PPG), the site should be drained on a separate system with foul water draining to the public sewer and surface water draining in the most sustainable way, in line with the hierarchy of drainage options specified in the Planning Practice Guidance (PPG).</w:t>
            </w:r>
            <w:r w:rsidR="003243B5">
              <w:rPr>
                <w:rFonts w:ascii="Calibri" w:hAnsi="Calibri"/>
                <w:sz w:val="24"/>
                <w:szCs w:val="24"/>
              </w:rPr>
              <w:t xml:space="preserve">    </w:t>
            </w:r>
            <w:bookmarkEnd w:id="1"/>
          </w:p>
        </w:tc>
      </w:tr>
    </w:tbl>
    <w:p w14:paraId="56C10585"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0249EAC9" w14:textId="77777777" w:rsidTr="002C337D">
        <w:trPr>
          <w:cantSplit/>
        </w:trPr>
        <w:tc>
          <w:tcPr>
            <w:tcW w:w="10403" w:type="dxa"/>
          </w:tcPr>
          <w:p w14:paraId="45FD93C3"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2C1A6E84"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0D0E8D28"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61F98908" w14:textId="77777777" w:rsidR="006F03C4" w:rsidRDefault="006F03C4" w:rsidP="00310FDD">
      <w:pPr>
        <w:pStyle w:val="TableText"/>
        <w:rPr>
          <w:rFonts w:ascii="Calibri" w:hAnsi="Calibri" w:cs="Calibri"/>
          <w:b/>
        </w:rPr>
      </w:pPr>
    </w:p>
    <w:p w14:paraId="3D0AEB85"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66FA3192" w14:textId="77777777" w:rsidR="00310FDD" w:rsidRPr="00310FDD" w:rsidRDefault="00310FDD" w:rsidP="00310FDD">
      <w:pPr>
        <w:pStyle w:val="TableText"/>
        <w:rPr>
          <w:rFonts w:ascii="Calibri" w:hAnsi="Calibri" w:cs="Calibri"/>
        </w:rPr>
      </w:pPr>
    </w:p>
    <w:p w14:paraId="274C893B"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3E395215" w14:textId="77777777" w:rsidR="00811162" w:rsidRDefault="00811162" w:rsidP="00811162">
      <w:pPr>
        <w:rPr>
          <w:rFonts w:ascii="Calibri" w:hAnsi="Calibri" w:cs="Calibri"/>
          <w:b/>
          <w:bCs/>
          <w:szCs w:val="22"/>
        </w:rPr>
      </w:pPr>
    </w:p>
    <w:p w14:paraId="380ECB91"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AA44EA5"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7C69E907"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061DB0A0"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3C0DA000" w14:textId="77777777" w:rsidR="00811162" w:rsidRDefault="00811162" w:rsidP="00811162">
      <w:pPr>
        <w:rPr>
          <w:rFonts w:ascii="Calibri" w:hAnsi="Calibri" w:cs="Calibri"/>
          <w:szCs w:val="22"/>
        </w:rPr>
      </w:pPr>
    </w:p>
    <w:p w14:paraId="71BFEA7A"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6A933949" w14:textId="77777777" w:rsidR="00811162" w:rsidRDefault="00811162" w:rsidP="00811162">
      <w:pPr>
        <w:rPr>
          <w:rFonts w:ascii="Calibri" w:hAnsi="Calibri" w:cs="Calibri"/>
          <w:szCs w:val="22"/>
        </w:rPr>
      </w:pPr>
    </w:p>
    <w:p w14:paraId="2D09A62C"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6638BB1A"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96EBB79" w14:textId="77777777" w:rsidR="00310FDD" w:rsidRPr="00310FDD" w:rsidRDefault="00310FDD" w:rsidP="00310FDD">
      <w:pPr>
        <w:pStyle w:val="TableText"/>
        <w:rPr>
          <w:rFonts w:ascii="Calibri" w:hAnsi="Calibri" w:cs="Calibri"/>
        </w:rPr>
      </w:pPr>
    </w:p>
    <w:p w14:paraId="5A4715F2"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4CC0" w14:textId="77777777" w:rsidR="00A4291C" w:rsidRDefault="00A4291C">
      <w:r>
        <w:separator/>
      </w:r>
    </w:p>
  </w:endnote>
  <w:endnote w:type="continuationSeparator" w:id="0">
    <w:p w14:paraId="4348113B" w14:textId="77777777" w:rsidR="00A4291C" w:rsidRDefault="00A4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ECD7"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CEB6" w14:textId="77777777" w:rsidR="00A4291C" w:rsidRDefault="00A4291C">
      <w:r>
        <w:separator/>
      </w:r>
    </w:p>
  </w:footnote>
  <w:footnote w:type="continuationSeparator" w:id="0">
    <w:p w14:paraId="45BCEA32" w14:textId="77777777" w:rsidR="00A4291C" w:rsidRDefault="00A42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F202" w14:textId="77777777" w:rsidR="002F3ADA" w:rsidRPr="0089171B" w:rsidRDefault="002F3ADA">
    <w:pPr>
      <w:rPr>
        <w:rFonts w:ascii="Calibri" w:hAnsi="Calibri" w:cs="Calibri"/>
      </w:rPr>
    </w:pPr>
    <w:r w:rsidRPr="0089171B">
      <w:rPr>
        <w:rFonts w:ascii="Calibri" w:hAnsi="Calibri" w:cs="Calibri"/>
      </w:rPr>
      <w:t>RIBBLE VALLEY BOROUGH COUNCIL</w:t>
    </w:r>
  </w:p>
  <w:p w14:paraId="19141D75"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33BAC61B" w14:textId="77777777" w:rsidR="002F3ADA" w:rsidRPr="0089171B" w:rsidRDefault="002F3ADA">
    <w:pPr>
      <w:pStyle w:val="addresses"/>
      <w:rPr>
        <w:rFonts w:ascii="Calibri" w:hAnsi="Calibri" w:cs="Calibri"/>
      </w:rPr>
    </w:pPr>
  </w:p>
  <w:p w14:paraId="1F4EC0EB" w14:textId="7B975850" w:rsidR="002F3ADA" w:rsidRPr="0089171B" w:rsidRDefault="002F3ADA">
    <w:pPr>
      <w:rPr>
        <w:rFonts w:ascii="Calibri" w:hAnsi="Calibri" w:cs="Calibri"/>
        <w:b/>
        <w:bCs/>
      </w:rPr>
    </w:pPr>
    <w:r w:rsidRPr="0089171B">
      <w:rPr>
        <w:rFonts w:ascii="Calibri" w:hAnsi="Calibri" w:cs="Calibri"/>
        <w:b/>
        <w:bCs/>
      </w:rPr>
      <w:t xml:space="preserve">APPLICATION NO.  </w:t>
    </w:r>
    <w:r w:rsidR="00A4291C">
      <w:rPr>
        <w:rFonts w:ascii="Calibri" w:hAnsi="Calibri" w:cs="Calibri"/>
        <w:b/>
        <w:bCs/>
      </w:rPr>
      <w:t>3/2022/1062</w:t>
    </w:r>
    <w:r w:rsidRPr="0089171B">
      <w:rPr>
        <w:rFonts w:ascii="Calibri" w:hAnsi="Calibri" w:cs="Calibri"/>
        <w:b/>
        <w:bCs/>
      </w:rPr>
      <w:t xml:space="preserve">                                DECISION DATE: </w:t>
    </w:r>
    <w:r w:rsidR="00690161">
      <w:rPr>
        <w:rFonts w:ascii="Calibri" w:hAnsi="Calibri" w:cs="Calibri"/>
        <w:b/>
        <w:bCs/>
      </w:rPr>
      <w:t xml:space="preserve"> </w:t>
    </w:r>
    <w:r w:rsidR="00A4291C">
      <w:rPr>
        <w:rFonts w:ascii="Calibri" w:hAnsi="Calibri" w:cs="Calibri"/>
        <w:b/>
        <w:bCs/>
      </w:rPr>
      <w:t>1</w:t>
    </w:r>
    <w:r w:rsidR="00AB3ECE">
      <w:rPr>
        <w:rFonts w:ascii="Calibri" w:hAnsi="Calibri" w:cs="Calibri"/>
        <w:b/>
        <w:bCs/>
      </w:rPr>
      <w:t xml:space="preserve"> June </w:t>
    </w:r>
    <w:r w:rsidR="00A4291C">
      <w:rPr>
        <w:rFonts w:ascii="Calibri" w:hAnsi="Calibri" w:cs="Calibri"/>
        <w:b/>
        <w:bCs/>
      </w:rPr>
      <w:t>2023</w:t>
    </w:r>
  </w:p>
  <w:p w14:paraId="2B4BB94F" w14:textId="77777777" w:rsidR="002F3ADA" w:rsidRDefault="002F3ADA">
    <w:pPr>
      <w:pBdr>
        <w:bottom w:val="single" w:sz="4" w:space="1" w:color="auto"/>
      </w:pBdr>
    </w:pPr>
  </w:p>
  <w:p w14:paraId="1310DF8C"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9B7CAB"/>
    <w:multiLevelType w:val="hybridMultilevel"/>
    <w:tmpl w:val="6FF0AB8E"/>
    <w:lvl w:ilvl="0" w:tplc="4E7EBA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BE7DC3"/>
    <w:multiLevelType w:val="hybridMultilevel"/>
    <w:tmpl w:val="CBAAE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224863"/>
    <w:multiLevelType w:val="hybridMultilevel"/>
    <w:tmpl w:val="9334B972"/>
    <w:lvl w:ilvl="0" w:tplc="E19826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8246766">
    <w:abstractNumId w:val="6"/>
  </w:num>
  <w:num w:numId="2" w16cid:durableId="818031858">
    <w:abstractNumId w:val="4"/>
  </w:num>
  <w:num w:numId="3" w16cid:durableId="26108192">
    <w:abstractNumId w:val="0"/>
  </w:num>
  <w:num w:numId="4" w16cid:durableId="1321497937">
    <w:abstractNumId w:val="2"/>
  </w:num>
  <w:num w:numId="5" w16cid:durableId="965351567">
    <w:abstractNumId w:val="5"/>
  </w:num>
  <w:num w:numId="6" w16cid:durableId="1383596679">
    <w:abstractNumId w:val="1"/>
  </w:num>
  <w:num w:numId="7" w16cid:durableId="1205484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1C"/>
    <w:rsid w:val="000A2F81"/>
    <w:rsid w:val="00111C12"/>
    <w:rsid w:val="001602C7"/>
    <w:rsid w:val="001613C3"/>
    <w:rsid w:val="00172E52"/>
    <w:rsid w:val="0026438E"/>
    <w:rsid w:val="002860D9"/>
    <w:rsid w:val="002C337D"/>
    <w:rsid w:val="002C39D3"/>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A7F66"/>
    <w:rsid w:val="007C793E"/>
    <w:rsid w:val="00811162"/>
    <w:rsid w:val="0081123F"/>
    <w:rsid w:val="00822630"/>
    <w:rsid w:val="00885E36"/>
    <w:rsid w:val="0089171B"/>
    <w:rsid w:val="0090365E"/>
    <w:rsid w:val="00905666"/>
    <w:rsid w:val="009A509E"/>
    <w:rsid w:val="009F1725"/>
    <w:rsid w:val="00A00F48"/>
    <w:rsid w:val="00A2080A"/>
    <w:rsid w:val="00A4291C"/>
    <w:rsid w:val="00A43996"/>
    <w:rsid w:val="00AA358D"/>
    <w:rsid w:val="00AB3ECE"/>
    <w:rsid w:val="00AD66B2"/>
    <w:rsid w:val="00B27048"/>
    <w:rsid w:val="00B54B2E"/>
    <w:rsid w:val="00B6420A"/>
    <w:rsid w:val="00B739B9"/>
    <w:rsid w:val="00B91966"/>
    <w:rsid w:val="00BE454C"/>
    <w:rsid w:val="00C00AD7"/>
    <w:rsid w:val="00C33734"/>
    <w:rsid w:val="00D156D9"/>
    <w:rsid w:val="00D320A7"/>
    <w:rsid w:val="00DD62CA"/>
    <w:rsid w:val="00E01248"/>
    <w:rsid w:val="00E716AD"/>
    <w:rsid w:val="00E83FE1"/>
    <w:rsid w:val="00EE2FDA"/>
    <w:rsid w:val="00F04A98"/>
    <w:rsid w:val="00F1224E"/>
    <w:rsid w:val="00F13D27"/>
    <w:rsid w:val="00F3527B"/>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D359"/>
  <w15:chartTrackingRefBased/>
  <w15:docId w15:val="{6A237FDA-E2C2-463A-B134-CCE5646A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table" w:styleId="TableGrid">
    <w:name w:val="Table Grid"/>
    <w:basedOn w:val="TableNormal"/>
    <w:uiPriority w:val="59"/>
    <w:rsid w:val="00A4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4</Pages>
  <Words>1703</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10920</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2021-08-06T09:17:00Z</cp:lastPrinted>
  <dcterms:created xsi:type="dcterms:W3CDTF">2023-06-01T13:58:00Z</dcterms:created>
  <dcterms:modified xsi:type="dcterms:W3CDTF">2023-06-01T13:58:00Z</dcterms:modified>
</cp:coreProperties>
</file>