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519"/>
        <w:gridCol w:w="579"/>
        <w:gridCol w:w="1030"/>
        <w:gridCol w:w="1030"/>
        <w:gridCol w:w="1031"/>
      </w:tblGrid>
      <w:tr w:rsidR="004A5EA9" w:rsidRPr="00D2449B" w14:paraId="230E00AF"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CA7A7E">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55D2C783" w:rsidR="00B1590F" w:rsidRPr="00451017" w:rsidRDefault="00890704" w:rsidP="00D2449B">
            <w:pPr>
              <w:jc w:val="center"/>
              <w:rPr>
                <w:rFonts w:ascii="Calibri" w:hAnsi="Calibri"/>
                <w:bCs/>
                <w:szCs w:val="22"/>
              </w:rPr>
            </w:pPr>
            <w:r>
              <w:rPr>
                <w:rFonts w:ascii="Calibri" w:hAnsi="Calibri"/>
                <w:bCs/>
                <w:szCs w:val="22"/>
              </w:rPr>
              <w:t>LH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11B44C93" w:rsidR="00B1590F" w:rsidRPr="00451017" w:rsidRDefault="006131A6" w:rsidP="00D2449B">
            <w:pPr>
              <w:jc w:val="center"/>
              <w:rPr>
                <w:rFonts w:ascii="Calibri" w:hAnsi="Calibri"/>
                <w:bCs/>
                <w:szCs w:val="22"/>
              </w:rPr>
            </w:pPr>
            <w:r>
              <w:rPr>
                <w:rFonts w:ascii="Calibri" w:hAnsi="Calibri"/>
                <w:bCs/>
                <w:szCs w:val="22"/>
              </w:rPr>
              <w:t>19.12</w:t>
            </w:r>
            <w:r w:rsidR="00890704">
              <w:rPr>
                <w:rFonts w:ascii="Calibri" w:hAnsi="Calibri"/>
                <w:bCs/>
                <w:szCs w:val="22"/>
              </w:rPr>
              <w:t>.23</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6DD98C96" w:rsidR="00B1590F" w:rsidRPr="00D2449B" w:rsidRDefault="00694070"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040B990D" w:rsidR="00B1590F" w:rsidRPr="00D2449B" w:rsidRDefault="00694070" w:rsidP="00D2449B">
            <w:pPr>
              <w:jc w:val="center"/>
              <w:rPr>
                <w:rFonts w:ascii="Calibri" w:hAnsi="Calibri"/>
                <w:b/>
                <w:szCs w:val="22"/>
              </w:rPr>
            </w:pPr>
            <w:r>
              <w:rPr>
                <w:rFonts w:ascii="Calibri" w:hAnsi="Calibri"/>
                <w:b/>
                <w:szCs w:val="22"/>
              </w:rPr>
              <w:t>19.12.23</w:t>
            </w:r>
          </w:p>
        </w:tc>
      </w:tr>
      <w:tr w:rsidR="004A5EA9" w:rsidRPr="00D2449B" w14:paraId="2094A164" w14:textId="77777777" w:rsidTr="00CA7A7E">
        <w:trPr>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CA7A7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18AC1DE8" w:rsidR="004A5EA9" w:rsidRPr="00944316" w:rsidRDefault="004A5EA9" w:rsidP="008542DE">
            <w:pPr>
              <w:rPr>
                <w:rFonts w:ascii="Calibri" w:hAnsi="Calibri"/>
                <w:szCs w:val="22"/>
              </w:rPr>
            </w:pPr>
            <w:r w:rsidRPr="00944316">
              <w:rPr>
                <w:rFonts w:ascii="Calibri" w:hAnsi="Calibri"/>
                <w:szCs w:val="22"/>
              </w:rPr>
              <w:t>20</w:t>
            </w:r>
            <w:r w:rsidR="00944316" w:rsidRPr="00944316">
              <w:rPr>
                <w:rFonts w:ascii="Calibri" w:hAnsi="Calibri"/>
                <w:szCs w:val="22"/>
              </w:rPr>
              <w:t>22</w:t>
            </w:r>
            <w:r w:rsidR="00C0704D" w:rsidRPr="00944316">
              <w:rPr>
                <w:rFonts w:ascii="Calibri" w:hAnsi="Calibri"/>
                <w:szCs w:val="22"/>
              </w:rPr>
              <w:t>/</w:t>
            </w:r>
            <w:r w:rsidR="00890704">
              <w:rPr>
                <w:rFonts w:ascii="Calibri" w:hAnsi="Calibri"/>
                <w:szCs w:val="22"/>
              </w:rPr>
              <w:t>10</w:t>
            </w:r>
            <w:r w:rsidR="000C4550">
              <w:rPr>
                <w:rFonts w:ascii="Calibri" w:hAnsi="Calibri"/>
                <w:szCs w:val="22"/>
              </w:rPr>
              <w:t>89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CA7A7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1369B628" w:rsidR="00CA7A7E" w:rsidRPr="00944316" w:rsidRDefault="00944316" w:rsidP="002C6277">
            <w:pPr>
              <w:rPr>
                <w:rFonts w:ascii="Calibri" w:hAnsi="Calibri"/>
                <w:szCs w:val="22"/>
              </w:rPr>
            </w:pPr>
            <w:r w:rsidRPr="00944316">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944316" w:rsidRDefault="00CA7A7E" w:rsidP="002C6277">
            <w:pPr>
              <w:rPr>
                <w:rFonts w:ascii="Calibri" w:hAnsi="Calibri"/>
                <w:b/>
                <w:bCs/>
                <w:szCs w:val="22"/>
              </w:rPr>
            </w:pPr>
            <w:r w:rsidRPr="00944316">
              <w:rPr>
                <w:rFonts w:ascii="Calibri" w:hAnsi="Calibri"/>
                <w:b/>
                <w:bCs/>
                <w:szCs w:val="22"/>
              </w:rPr>
              <w:t>Site Notice:</w:t>
            </w:r>
          </w:p>
        </w:tc>
        <w:tc>
          <w:tcPr>
            <w:tcW w:w="99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BA1F198" w:rsidR="00CA7A7E" w:rsidRPr="00944316" w:rsidRDefault="00944316" w:rsidP="002C6277">
            <w:pPr>
              <w:rPr>
                <w:rFonts w:ascii="Calibri" w:hAnsi="Calibri"/>
                <w:szCs w:val="22"/>
              </w:rPr>
            </w:pPr>
            <w:r w:rsidRPr="00944316">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CA7A7E">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2A09C2F" w:rsidR="004A5EA9" w:rsidRPr="00944316" w:rsidRDefault="00890704" w:rsidP="00811771">
            <w:pPr>
              <w:rPr>
                <w:rFonts w:ascii="Calibri" w:hAnsi="Calibri"/>
                <w:szCs w:val="22"/>
              </w:rPr>
            </w:pPr>
            <w:r>
              <w:rPr>
                <w:rFonts w:ascii="Calibri" w:hAnsi="Calibri"/>
                <w:szCs w:val="22"/>
              </w:rPr>
              <w:t>LH</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CA7A7E">
        <w:trPr>
          <w:jc w:val="center"/>
        </w:trPr>
        <w:tc>
          <w:tcPr>
            <w:tcW w:w="566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41755682" w:rsidR="00890704" w:rsidRPr="002C6277" w:rsidRDefault="000C4550">
            <w:pPr>
              <w:rPr>
                <w:rFonts w:ascii="Calibri" w:hAnsi="Calibri"/>
                <w:szCs w:val="22"/>
              </w:rPr>
            </w:pPr>
            <w:r w:rsidRPr="000C4550">
              <w:rPr>
                <w:rFonts w:ascii="Calibri" w:hAnsi="Calibri"/>
                <w:szCs w:val="22"/>
              </w:rPr>
              <w:t>Non-material amendment application to amend planning permission 3/2020/0057 granted on appeal for the provision of 8 new rooflights and 1 resized window.</w:t>
            </w:r>
          </w:p>
        </w:tc>
      </w:tr>
      <w:tr w:rsidR="002A01CF" w:rsidRPr="00D2449B" w14:paraId="52988241"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4396116" w:rsidR="002A01CF" w:rsidRPr="002C6277" w:rsidRDefault="00890704" w:rsidP="00A42E82">
            <w:pPr>
              <w:rPr>
                <w:rFonts w:ascii="Calibri" w:hAnsi="Calibri"/>
                <w:szCs w:val="22"/>
              </w:rPr>
            </w:pPr>
            <w:r>
              <w:rPr>
                <w:rFonts w:ascii="Calibri" w:hAnsi="Calibri"/>
                <w:szCs w:val="22"/>
              </w:rPr>
              <w:t xml:space="preserve">Oxendale Hall </w:t>
            </w:r>
            <w:proofErr w:type="spellStart"/>
            <w:r>
              <w:rPr>
                <w:rFonts w:ascii="Calibri" w:hAnsi="Calibri"/>
                <w:szCs w:val="22"/>
              </w:rPr>
              <w:t>Osbaldeston</w:t>
            </w:r>
            <w:proofErr w:type="spellEnd"/>
            <w:r>
              <w:rPr>
                <w:rFonts w:ascii="Calibri" w:hAnsi="Calibri"/>
                <w:szCs w:val="22"/>
              </w:rPr>
              <w:t xml:space="preserve"> Lane </w:t>
            </w:r>
            <w:proofErr w:type="spellStart"/>
            <w:r>
              <w:rPr>
                <w:rFonts w:ascii="Calibri" w:hAnsi="Calibri"/>
                <w:szCs w:val="22"/>
              </w:rPr>
              <w:t>Osbaldeston</w:t>
            </w:r>
            <w:proofErr w:type="spellEnd"/>
            <w:r>
              <w:rPr>
                <w:rFonts w:ascii="Calibri" w:hAnsi="Calibri"/>
                <w:szCs w:val="22"/>
              </w:rPr>
              <w:t xml:space="preserve"> BB2 7LZ</w:t>
            </w:r>
          </w:p>
        </w:tc>
      </w:tr>
      <w:tr w:rsidR="00A95D89" w:rsidRPr="00D2449B" w14:paraId="3FB99B2E"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049926BD" w:rsidR="002A01CF" w:rsidRPr="00D2449B" w:rsidRDefault="00944316">
            <w:pPr>
              <w:rPr>
                <w:rFonts w:ascii="Calibri" w:hAnsi="Calibri"/>
                <w:b/>
                <w:szCs w:val="22"/>
              </w:rPr>
            </w:pPr>
            <w:r>
              <w:rPr>
                <w:rFonts w:ascii="Calibri" w:hAnsi="Calibri"/>
                <w:b/>
                <w:szCs w:val="22"/>
              </w:rPr>
              <w:t>N/A</w:t>
            </w:r>
          </w:p>
        </w:tc>
      </w:tr>
      <w:tr w:rsidR="00C618DB" w:rsidRPr="00D2449B" w14:paraId="639E958B"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2460834C" w:rsidR="002A01CF" w:rsidRPr="00D2449B" w:rsidRDefault="00944316">
            <w:pPr>
              <w:rPr>
                <w:rFonts w:ascii="Calibri" w:hAnsi="Calibri"/>
                <w:b/>
                <w:szCs w:val="22"/>
              </w:rPr>
            </w:pPr>
            <w:r>
              <w:rPr>
                <w:rFonts w:ascii="Calibri" w:hAnsi="Calibri"/>
                <w:b/>
                <w:szCs w:val="22"/>
              </w:rPr>
              <w:t>N/A:</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2108E43F" w:rsidR="00C0704D" w:rsidRPr="00C0704D" w:rsidRDefault="00944316" w:rsidP="00D74711">
            <w:pPr>
              <w:rPr>
                <w:rFonts w:ascii="Calibri" w:hAnsi="Calibri"/>
                <w:szCs w:val="22"/>
              </w:rPr>
            </w:pPr>
            <w:r>
              <w:rPr>
                <w:rFonts w:ascii="Calibri" w:hAnsi="Calibri"/>
                <w:szCs w:val="22"/>
              </w:rPr>
              <w:t>N/A</w:t>
            </w:r>
          </w:p>
        </w:tc>
      </w:tr>
      <w:tr w:rsidR="00C0704D" w:rsidRPr="00D2449B" w14:paraId="29EBDA1F" w14:textId="77777777" w:rsidTr="00CA7A7E">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44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2336411B" w:rsidR="00C0704D" w:rsidRPr="00C0704D" w:rsidRDefault="00944316" w:rsidP="00692B60">
            <w:pPr>
              <w:rPr>
                <w:rFonts w:ascii="Calibri" w:hAnsi="Calibri"/>
                <w:szCs w:val="22"/>
              </w:rPr>
            </w:pPr>
            <w:r>
              <w:rPr>
                <w:rFonts w:ascii="Calibri" w:hAnsi="Calibri"/>
                <w:szCs w:val="22"/>
              </w:rPr>
              <w:t>N/A</w:t>
            </w:r>
          </w:p>
        </w:tc>
      </w:tr>
      <w:tr w:rsidR="00C0704D" w:rsidRPr="00D2449B" w14:paraId="1CDFA4C3"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4CF76C47" w14:textId="77777777" w:rsidR="0046548C" w:rsidRPr="00C618DB" w:rsidRDefault="0046548C" w:rsidP="008542DE">
            <w:pPr>
              <w:pStyle w:val="PLANNING"/>
              <w:rPr>
                <w:rFonts w:ascii="Calibri" w:hAnsi="Calibri"/>
                <w:szCs w:val="22"/>
              </w:rPr>
            </w:pPr>
          </w:p>
          <w:p w14:paraId="5A277115" w14:textId="6C7A2233" w:rsidR="002153F8" w:rsidRDefault="002153F8" w:rsidP="002153F8">
            <w:pPr>
              <w:pStyle w:val="PLANNING"/>
              <w:rPr>
                <w:rFonts w:ascii="Calibri" w:hAnsi="Calibri"/>
                <w:szCs w:val="22"/>
              </w:rPr>
            </w:pPr>
            <w:r w:rsidRPr="002153F8">
              <w:rPr>
                <w:rFonts w:ascii="Calibri" w:hAnsi="Calibri"/>
                <w:szCs w:val="22"/>
              </w:rPr>
              <w:t>Key Statement EN5 – Heritage Assets</w:t>
            </w:r>
          </w:p>
          <w:p w14:paraId="247EF13F" w14:textId="77777777" w:rsidR="002153F8" w:rsidRPr="002153F8" w:rsidRDefault="002153F8" w:rsidP="002153F8">
            <w:pPr>
              <w:pStyle w:val="PLANNING"/>
              <w:rPr>
                <w:rFonts w:ascii="Calibri" w:hAnsi="Calibri"/>
                <w:szCs w:val="22"/>
              </w:rPr>
            </w:pPr>
          </w:p>
          <w:p w14:paraId="362A1E60" w14:textId="77777777" w:rsidR="002153F8" w:rsidRPr="002153F8" w:rsidRDefault="002153F8" w:rsidP="002153F8">
            <w:pPr>
              <w:pStyle w:val="PLANNING"/>
              <w:rPr>
                <w:rFonts w:ascii="Calibri" w:hAnsi="Calibri"/>
                <w:szCs w:val="22"/>
              </w:rPr>
            </w:pPr>
            <w:r w:rsidRPr="002153F8">
              <w:rPr>
                <w:rFonts w:ascii="Calibri" w:hAnsi="Calibri"/>
                <w:szCs w:val="22"/>
              </w:rPr>
              <w:t>Policy DMG1 – General Considerations</w:t>
            </w:r>
          </w:p>
          <w:p w14:paraId="08DC2A5C" w14:textId="77777777" w:rsidR="002153F8" w:rsidRPr="002153F8" w:rsidRDefault="002153F8" w:rsidP="002153F8">
            <w:pPr>
              <w:pStyle w:val="PLANNING"/>
              <w:rPr>
                <w:rFonts w:ascii="Calibri" w:hAnsi="Calibri"/>
                <w:szCs w:val="22"/>
              </w:rPr>
            </w:pPr>
            <w:r w:rsidRPr="002153F8">
              <w:rPr>
                <w:rFonts w:ascii="Calibri" w:hAnsi="Calibri"/>
                <w:szCs w:val="22"/>
              </w:rPr>
              <w:t>Policy DMG2 – Strategic Considerations</w:t>
            </w:r>
          </w:p>
          <w:p w14:paraId="0151CAF7" w14:textId="77777777" w:rsidR="002153F8" w:rsidRPr="002153F8" w:rsidRDefault="002153F8" w:rsidP="002153F8">
            <w:pPr>
              <w:pStyle w:val="PLANNING"/>
              <w:rPr>
                <w:rFonts w:ascii="Calibri" w:hAnsi="Calibri"/>
                <w:szCs w:val="22"/>
              </w:rPr>
            </w:pPr>
            <w:r w:rsidRPr="002153F8">
              <w:rPr>
                <w:rFonts w:ascii="Calibri" w:hAnsi="Calibri"/>
                <w:szCs w:val="22"/>
              </w:rPr>
              <w:t>Policy DME4 – Protecting Heritage Assets</w:t>
            </w:r>
          </w:p>
          <w:p w14:paraId="45B32EB3" w14:textId="77777777" w:rsidR="00890704" w:rsidRDefault="00890704" w:rsidP="00C93401">
            <w:pPr>
              <w:rPr>
                <w:rFonts w:ascii="Calibri" w:hAnsi="Calibri"/>
                <w:szCs w:val="22"/>
              </w:rPr>
            </w:pPr>
          </w:p>
          <w:p w14:paraId="378DD339" w14:textId="084E7A36" w:rsidR="00C93401" w:rsidRPr="00C93401" w:rsidRDefault="00C93401" w:rsidP="00C93401">
            <w:pPr>
              <w:rPr>
                <w:rFonts w:ascii="Calibri" w:hAnsi="Calibri"/>
                <w:szCs w:val="22"/>
              </w:rPr>
            </w:pPr>
            <w:r w:rsidRPr="00C93401">
              <w:rPr>
                <w:rFonts w:ascii="Calibri" w:hAnsi="Calibri"/>
                <w:szCs w:val="22"/>
              </w:rPr>
              <w:t>Section 96A Town and Country Planning Act 1990</w:t>
            </w:r>
          </w:p>
          <w:p w14:paraId="4BF040D5" w14:textId="77777777" w:rsidR="008542DE" w:rsidRDefault="00C93401" w:rsidP="00C93401">
            <w:pPr>
              <w:rPr>
                <w:rFonts w:ascii="Calibri" w:hAnsi="Calibri"/>
                <w:szCs w:val="22"/>
              </w:rPr>
            </w:pPr>
            <w:r w:rsidRPr="00C93401">
              <w:rPr>
                <w:rFonts w:ascii="Calibri" w:hAnsi="Calibri"/>
                <w:szCs w:val="22"/>
              </w:rPr>
              <w:t>National Planning Policy Framework (NPPF)</w:t>
            </w:r>
          </w:p>
          <w:p w14:paraId="6C4C318E" w14:textId="5C4E8925" w:rsidR="00C93401" w:rsidRPr="00D2449B" w:rsidRDefault="00C93401" w:rsidP="00C93401">
            <w:pPr>
              <w:rPr>
                <w:rFonts w:ascii="Calibri" w:hAnsi="Calibri"/>
                <w:b/>
                <w:szCs w:val="22"/>
              </w:rPr>
            </w:pPr>
          </w:p>
        </w:tc>
      </w:tr>
      <w:tr w:rsidR="00C0704D" w:rsidRPr="00D2449B" w14:paraId="08181FD6"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22FFB54E" w:rsidR="0046548C" w:rsidRPr="00EC476F" w:rsidRDefault="00EC476F" w:rsidP="00C0704D">
            <w:pPr>
              <w:pStyle w:val="PLANNING"/>
              <w:rPr>
                <w:rFonts w:ascii="Calibri" w:hAnsi="Calibri"/>
                <w:b/>
                <w:bCs/>
                <w:szCs w:val="22"/>
              </w:rPr>
            </w:pPr>
            <w:r w:rsidRPr="00EC476F">
              <w:rPr>
                <w:rFonts w:ascii="Calibri" w:hAnsi="Calibri"/>
                <w:b/>
                <w:bCs/>
                <w:szCs w:val="22"/>
              </w:rPr>
              <w:t>202</w:t>
            </w:r>
            <w:r w:rsidR="00890704">
              <w:rPr>
                <w:rFonts w:ascii="Calibri" w:hAnsi="Calibri"/>
                <w:b/>
                <w:bCs/>
                <w:szCs w:val="22"/>
              </w:rPr>
              <w:t>0</w:t>
            </w:r>
            <w:r w:rsidR="0046548C" w:rsidRPr="00EC476F">
              <w:rPr>
                <w:rFonts w:ascii="Calibri" w:hAnsi="Calibri"/>
                <w:b/>
                <w:bCs/>
                <w:szCs w:val="22"/>
              </w:rPr>
              <w:t>/</w:t>
            </w:r>
            <w:r w:rsidRPr="00EC476F">
              <w:rPr>
                <w:rFonts w:ascii="Calibri" w:hAnsi="Calibri"/>
                <w:b/>
                <w:bCs/>
                <w:szCs w:val="22"/>
              </w:rPr>
              <w:t>0</w:t>
            </w:r>
            <w:r w:rsidR="00890704">
              <w:rPr>
                <w:rFonts w:ascii="Calibri" w:hAnsi="Calibri"/>
                <w:b/>
                <w:bCs/>
                <w:szCs w:val="22"/>
              </w:rPr>
              <w:t>057</w:t>
            </w:r>
          </w:p>
          <w:p w14:paraId="58EDB1D4" w14:textId="66190A4A" w:rsidR="0046548C" w:rsidRDefault="00890704" w:rsidP="00C0704D">
            <w:pPr>
              <w:pStyle w:val="PLANNING"/>
              <w:rPr>
                <w:rFonts w:ascii="Calibri" w:hAnsi="Calibri"/>
                <w:szCs w:val="22"/>
              </w:rPr>
            </w:pPr>
            <w:r w:rsidRPr="00890704">
              <w:rPr>
                <w:rFonts w:ascii="Calibri" w:hAnsi="Calibri"/>
                <w:szCs w:val="22"/>
              </w:rPr>
              <w:t>Demolition and reconfiguration of existing twentieth century extensions and construction of new extensions and new garaging with associated lighting.</w:t>
            </w:r>
            <w:r>
              <w:rPr>
                <w:rFonts w:ascii="Calibri" w:hAnsi="Calibri"/>
                <w:szCs w:val="22"/>
              </w:rPr>
              <w:t xml:space="preserve"> Refused. Allowed at appeal.</w:t>
            </w:r>
          </w:p>
          <w:p w14:paraId="17147D50" w14:textId="3B7A2BC3" w:rsidR="00890704" w:rsidRPr="00D2449B" w:rsidRDefault="00890704" w:rsidP="00C0704D">
            <w:pPr>
              <w:pStyle w:val="PLANNING"/>
              <w:rPr>
                <w:rFonts w:ascii="Calibri" w:hAnsi="Calibri"/>
                <w:b/>
                <w:bCs/>
                <w:szCs w:val="22"/>
              </w:rPr>
            </w:pPr>
          </w:p>
        </w:tc>
      </w:tr>
      <w:tr w:rsidR="00C0704D" w:rsidRPr="00D2449B" w14:paraId="6AAC3B0A" w14:textId="77777777" w:rsidTr="00CA7A7E">
        <w:trPr>
          <w:trHeight w:hRule="exact" w:val="170"/>
          <w:jc w:val="center"/>
        </w:trPr>
        <w:tc>
          <w:tcPr>
            <w:tcW w:w="933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5F3BB00B" w:rsidR="00C0704D" w:rsidRDefault="00890704" w:rsidP="00890704">
            <w:pPr>
              <w:pStyle w:val="Header"/>
              <w:contextualSpacing/>
              <w:jc w:val="both"/>
              <w:rPr>
                <w:rFonts w:ascii="Calibri" w:hAnsi="Calibri"/>
                <w:bCs/>
                <w:szCs w:val="22"/>
              </w:rPr>
            </w:pPr>
            <w:r w:rsidRPr="00890704">
              <w:rPr>
                <w:rFonts w:ascii="Calibri" w:hAnsi="Calibri"/>
                <w:bCs/>
                <w:szCs w:val="22"/>
              </w:rPr>
              <w:t>Oxendale Hall is a Grade II* listed building dating from 1656. Sited close to that is a barn which is also a Grade II* listed building.</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AC5910F" w14:textId="0BFF5210" w:rsidR="00C0704D" w:rsidRDefault="00451017" w:rsidP="005F00B2">
            <w:pPr>
              <w:jc w:val="both"/>
              <w:rPr>
                <w:rFonts w:ascii="Calibri" w:hAnsi="Calibri"/>
                <w:szCs w:val="22"/>
              </w:rPr>
            </w:pPr>
            <w:r>
              <w:rPr>
                <w:rFonts w:ascii="Calibri" w:hAnsi="Calibri"/>
                <w:szCs w:val="22"/>
              </w:rPr>
              <w:t>The application</w:t>
            </w:r>
            <w:r w:rsidR="00890704">
              <w:rPr>
                <w:rFonts w:ascii="Calibri" w:hAnsi="Calibri"/>
                <w:szCs w:val="22"/>
              </w:rPr>
              <w:t xml:space="preserve"> </w:t>
            </w:r>
            <w:r>
              <w:rPr>
                <w:rFonts w:ascii="Calibri" w:hAnsi="Calibri"/>
                <w:szCs w:val="22"/>
              </w:rPr>
              <w:t>seek</w:t>
            </w:r>
            <w:r w:rsidR="00890704">
              <w:rPr>
                <w:rFonts w:ascii="Calibri" w:hAnsi="Calibri"/>
                <w:szCs w:val="22"/>
              </w:rPr>
              <w:t>s</w:t>
            </w:r>
            <w:r>
              <w:rPr>
                <w:rFonts w:ascii="Calibri" w:hAnsi="Calibri"/>
                <w:szCs w:val="22"/>
              </w:rPr>
              <w:t xml:space="preserve"> consent for a non-material amendment to details approved pursuant to consent 3/</w:t>
            </w:r>
            <w:r w:rsidRPr="00451017">
              <w:rPr>
                <w:rFonts w:ascii="Calibri" w:hAnsi="Calibri"/>
                <w:szCs w:val="22"/>
              </w:rPr>
              <w:t>202</w:t>
            </w:r>
            <w:r w:rsidR="00890704">
              <w:rPr>
                <w:rFonts w:ascii="Calibri" w:hAnsi="Calibri"/>
                <w:szCs w:val="22"/>
              </w:rPr>
              <w:t>0</w:t>
            </w:r>
            <w:r w:rsidRPr="00451017">
              <w:rPr>
                <w:rFonts w:ascii="Calibri" w:hAnsi="Calibri"/>
                <w:szCs w:val="22"/>
              </w:rPr>
              <w:t>/0</w:t>
            </w:r>
            <w:r w:rsidR="00890704">
              <w:rPr>
                <w:rFonts w:ascii="Calibri" w:hAnsi="Calibri"/>
                <w:szCs w:val="22"/>
              </w:rPr>
              <w:t>057</w:t>
            </w:r>
            <w:r>
              <w:rPr>
                <w:rFonts w:ascii="Calibri" w:hAnsi="Calibri"/>
                <w:szCs w:val="22"/>
              </w:rPr>
              <w:t xml:space="preserve"> which granted approval for </w:t>
            </w:r>
            <w:r w:rsidR="00B4774E">
              <w:rPr>
                <w:rFonts w:ascii="Calibri" w:hAnsi="Calibri"/>
                <w:szCs w:val="22"/>
              </w:rPr>
              <w:t xml:space="preserve">a sizeable contemporary extension comprising </w:t>
            </w:r>
            <w:r w:rsidR="00890704">
              <w:rPr>
                <w:rFonts w:ascii="Calibri" w:hAnsi="Calibri"/>
                <w:szCs w:val="22"/>
              </w:rPr>
              <w:t xml:space="preserve">two storey and single storey </w:t>
            </w:r>
            <w:r w:rsidR="00B4774E">
              <w:rPr>
                <w:rFonts w:ascii="Calibri" w:hAnsi="Calibri"/>
                <w:szCs w:val="22"/>
              </w:rPr>
              <w:t>additions</w:t>
            </w:r>
            <w:r w:rsidR="00890704">
              <w:rPr>
                <w:rFonts w:ascii="Calibri" w:hAnsi="Calibri"/>
                <w:szCs w:val="22"/>
              </w:rPr>
              <w:t xml:space="preserve"> to the west side </w:t>
            </w:r>
            <w:r w:rsidR="00C739B8">
              <w:rPr>
                <w:rFonts w:ascii="Calibri" w:hAnsi="Calibri"/>
                <w:szCs w:val="22"/>
              </w:rPr>
              <w:t xml:space="preserve">of Oxendale Hall, a domestic property, </w:t>
            </w:r>
            <w:r w:rsidR="00890704">
              <w:rPr>
                <w:rFonts w:ascii="Calibri" w:hAnsi="Calibri"/>
                <w:szCs w:val="22"/>
              </w:rPr>
              <w:t xml:space="preserve">and a single storey wing projecting back to the north. </w:t>
            </w:r>
          </w:p>
          <w:p w14:paraId="73F978E7" w14:textId="44A03E4A" w:rsidR="00451017" w:rsidRDefault="00451017" w:rsidP="005F00B2">
            <w:pPr>
              <w:jc w:val="both"/>
              <w:rPr>
                <w:rFonts w:ascii="Calibri" w:hAnsi="Calibri"/>
                <w:szCs w:val="22"/>
              </w:rPr>
            </w:pPr>
          </w:p>
          <w:p w14:paraId="1B20488F" w14:textId="2AF06146" w:rsidR="00451017" w:rsidRPr="00D54E67" w:rsidRDefault="00451017" w:rsidP="002F2580">
            <w:pPr>
              <w:rPr>
                <w:rFonts w:ascii="Calibri" w:hAnsi="Calibri"/>
                <w:szCs w:val="22"/>
              </w:rPr>
            </w:pPr>
            <w:r>
              <w:rPr>
                <w:rFonts w:ascii="Calibri" w:hAnsi="Calibri"/>
                <w:szCs w:val="22"/>
              </w:rPr>
              <w:t xml:space="preserve">The submitted </w:t>
            </w:r>
            <w:r w:rsidR="003C59FC">
              <w:rPr>
                <w:rFonts w:ascii="Calibri" w:hAnsi="Calibri"/>
                <w:szCs w:val="22"/>
              </w:rPr>
              <w:t>details</w:t>
            </w:r>
            <w:r>
              <w:rPr>
                <w:rFonts w:ascii="Calibri" w:hAnsi="Calibri"/>
                <w:szCs w:val="22"/>
              </w:rPr>
              <w:t xml:space="preserve"> propose </w:t>
            </w:r>
            <w:r w:rsidR="006131A6" w:rsidRPr="006131A6">
              <w:rPr>
                <w:rFonts w:ascii="Calibri" w:hAnsi="Calibri"/>
                <w:szCs w:val="22"/>
              </w:rPr>
              <w:t>to vary the approved scheme with the insertion of new or altered rooflights on the approved elements (mostly on the flat roofs, bar 2 rooflights which are proposed on the rear roof slope of the single storey rear extension), together with reducing the size and altering the configuration of an approved window in the link part of the extension on the north (rear) elevation).  The plans also indicate alterations to a further window on the north elevation with the inclusion of a copper fascia.</w:t>
            </w:r>
          </w:p>
        </w:tc>
      </w:tr>
      <w:tr w:rsidR="008542DE" w:rsidRPr="00D2449B" w14:paraId="31994184"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2D67BDCD"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t xml:space="preserve">Impact upon </w:t>
            </w:r>
            <w:r w:rsidR="00D175E0">
              <w:rPr>
                <w:rFonts w:ascii="Calibri" w:hAnsi="Calibri"/>
                <w:b/>
                <w:szCs w:val="22"/>
              </w:rPr>
              <w:t>Listed Building</w:t>
            </w:r>
            <w:r w:rsidR="00C739B8">
              <w:rPr>
                <w:rFonts w:ascii="Calibri" w:hAnsi="Calibri"/>
                <w:b/>
                <w:szCs w:val="22"/>
              </w:rPr>
              <w:t>(s)</w:t>
            </w:r>
            <w:r>
              <w:rPr>
                <w:rFonts w:ascii="Calibri" w:hAnsi="Calibri"/>
                <w:b/>
                <w:szCs w:val="22"/>
              </w:rPr>
              <w:t>:</w:t>
            </w:r>
          </w:p>
          <w:p w14:paraId="7A48F531" w14:textId="5BF35063" w:rsidR="00D87774" w:rsidRDefault="00D87774" w:rsidP="008542DE">
            <w:pPr>
              <w:pStyle w:val="Header"/>
              <w:tabs>
                <w:tab w:val="clear" w:pos="4153"/>
                <w:tab w:val="clear" w:pos="8306"/>
              </w:tabs>
              <w:contextualSpacing/>
              <w:jc w:val="both"/>
              <w:rPr>
                <w:rFonts w:ascii="Calibri" w:hAnsi="Calibri"/>
                <w:b/>
                <w:szCs w:val="22"/>
              </w:rPr>
            </w:pPr>
          </w:p>
          <w:p w14:paraId="107FC9E5" w14:textId="008825CC" w:rsidR="00F779EB" w:rsidRDefault="00F779EB" w:rsidP="00F779EB">
            <w:pPr>
              <w:pStyle w:val="Header"/>
              <w:contextualSpacing/>
              <w:jc w:val="both"/>
              <w:rPr>
                <w:rFonts w:ascii="Calibri" w:hAnsi="Calibri"/>
                <w:bCs/>
                <w:i/>
                <w:iCs/>
                <w:szCs w:val="22"/>
              </w:rPr>
            </w:pPr>
            <w:r>
              <w:rPr>
                <w:rFonts w:ascii="Calibri" w:hAnsi="Calibri"/>
                <w:bCs/>
                <w:szCs w:val="22"/>
              </w:rPr>
              <w:t xml:space="preserve">In terms of </w:t>
            </w:r>
            <w:r w:rsidR="00C739B8">
              <w:rPr>
                <w:rFonts w:ascii="Calibri" w:hAnsi="Calibri"/>
                <w:bCs/>
                <w:szCs w:val="22"/>
              </w:rPr>
              <w:t xml:space="preserve">the </w:t>
            </w:r>
            <w:r>
              <w:rPr>
                <w:rFonts w:ascii="Calibri" w:hAnsi="Calibri"/>
                <w:bCs/>
                <w:szCs w:val="22"/>
              </w:rPr>
              <w:t>historic</w:t>
            </w:r>
            <w:r w:rsidR="00C739B8">
              <w:rPr>
                <w:rFonts w:ascii="Calibri" w:hAnsi="Calibri"/>
                <w:bCs/>
                <w:szCs w:val="22"/>
              </w:rPr>
              <w:t>al</w:t>
            </w:r>
            <w:r>
              <w:rPr>
                <w:rFonts w:ascii="Calibri" w:hAnsi="Calibri"/>
                <w:bCs/>
                <w:szCs w:val="22"/>
              </w:rPr>
              <w:t xml:space="preserve"> significance</w:t>
            </w:r>
            <w:r w:rsidR="00C739B8">
              <w:rPr>
                <w:rFonts w:ascii="Calibri" w:hAnsi="Calibri"/>
                <w:bCs/>
                <w:szCs w:val="22"/>
              </w:rPr>
              <w:t xml:space="preserve"> of Oxendale Hall</w:t>
            </w:r>
            <w:r>
              <w:rPr>
                <w:rFonts w:ascii="Calibri" w:hAnsi="Calibri"/>
                <w:bCs/>
                <w:szCs w:val="22"/>
              </w:rPr>
              <w:t>, t</w:t>
            </w:r>
            <w:r w:rsidR="00D87774" w:rsidRPr="00D87774">
              <w:rPr>
                <w:rFonts w:ascii="Calibri" w:hAnsi="Calibri"/>
                <w:bCs/>
                <w:szCs w:val="22"/>
              </w:rPr>
              <w:t xml:space="preserve">he </w:t>
            </w:r>
            <w:r w:rsidR="00D175E0">
              <w:rPr>
                <w:rFonts w:ascii="Calibri" w:hAnsi="Calibri"/>
                <w:bCs/>
                <w:szCs w:val="22"/>
              </w:rPr>
              <w:t xml:space="preserve">Inspector noted </w:t>
            </w:r>
            <w:r>
              <w:rPr>
                <w:rFonts w:ascii="Calibri" w:hAnsi="Calibri"/>
                <w:bCs/>
                <w:szCs w:val="22"/>
              </w:rPr>
              <w:t>“</w:t>
            </w:r>
            <w:r w:rsidRPr="00F779EB">
              <w:rPr>
                <w:rFonts w:ascii="Calibri" w:hAnsi="Calibri"/>
                <w:bCs/>
                <w:i/>
                <w:iCs/>
                <w:szCs w:val="22"/>
              </w:rPr>
              <w:t xml:space="preserve">There is </w:t>
            </w:r>
            <w:r>
              <w:rPr>
                <w:rFonts w:ascii="Calibri" w:hAnsi="Calibri"/>
                <w:bCs/>
                <w:i/>
                <w:iCs/>
                <w:szCs w:val="22"/>
              </w:rPr>
              <w:t>[</w:t>
            </w:r>
            <w:r w:rsidRPr="00F779EB">
              <w:rPr>
                <w:rFonts w:ascii="Calibri" w:hAnsi="Calibri"/>
                <w:bCs/>
                <w:i/>
                <w:iCs/>
                <w:szCs w:val="22"/>
              </w:rPr>
              <w:t>also</w:t>
            </w:r>
            <w:r>
              <w:rPr>
                <w:rFonts w:ascii="Calibri" w:hAnsi="Calibri"/>
                <w:bCs/>
                <w:i/>
                <w:iCs/>
                <w:szCs w:val="22"/>
              </w:rPr>
              <w:t>]</w:t>
            </w:r>
            <w:r w:rsidRPr="00F779EB">
              <w:rPr>
                <w:rFonts w:ascii="Calibri" w:hAnsi="Calibri"/>
                <w:bCs/>
                <w:i/>
                <w:iCs/>
                <w:szCs w:val="22"/>
              </w:rPr>
              <w:t xml:space="preserve"> high aesthetic value in the architectural character of the gabled frontage and </w:t>
            </w:r>
            <w:proofErr w:type="gramStart"/>
            <w:r w:rsidRPr="00F779EB">
              <w:rPr>
                <w:rFonts w:ascii="Calibri" w:hAnsi="Calibri"/>
                <w:bCs/>
                <w:i/>
                <w:iCs/>
                <w:szCs w:val="22"/>
              </w:rPr>
              <w:t>the  general</w:t>
            </w:r>
            <w:proofErr w:type="gramEnd"/>
            <w:r w:rsidRPr="00F779EB">
              <w:rPr>
                <w:rFonts w:ascii="Calibri" w:hAnsi="Calibri"/>
                <w:bCs/>
                <w:i/>
                <w:iCs/>
                <w:szCs w:val="22"/>
              </w:rPr>
              <w:t xml:space="preserve"> appearance of the building, particularly from the south. There is no dispute between the parties, or Historic England, that the rear of the building is of lesser significance in heritage terms.”</w:t>
            </w:r>
          </w:p>
          <w:p w14:paraId="560784DF" w14:textId="77777777" w:rsidR="00F779EB" w:rsidRDefault="00F779EB" w:rsidP="00F779EB">
            <w:pPr>
              <w:pStyle w:val="Header"/>
              <w:contextualSpacing/>
              <w:jc w:val="both"/>
              <w:rPr>
                <w:rFonts w:ascii="Calibri" w:hAnsi="Calibri"/>
                <w:bCs/>
                <w:szCs w:val="22"/>
              </w:rPr>
            </w:pPr>
          </w:p>
          <w:p w14:paraId="0932013D" w14:textId="77777777" w:rsidR="006131A6" w:rsidRPr="006131A6" w:rsidRDefault="006131A6" w:rsidP="006131A6">
            <w:pPr>
              <w:pStyle w:val="Header"/>
              <w:contextualSpacing/>
              <w:jc w:val="both"/>
              <w:rPr>
                <w:rFonts w:ascii="Calibri" w:hAnsi="Calibri"/>
                <w:bCs/>
                <w:szCs w:val="22"/>
              </w:rPr>
            </w:pPr>
            <w:proofErr w:type="gramStart"/>
            <w:r w:rsidRPr="006131A6">
              <w:rPr>
                <w:rFonts w:ascii="Calibri" w:hAnsi="Calibri"/>
                <w:bCs/>
                <w:szCs w:val="22"/>
              </w:rPr>
              <w:t>The majority of</w:t>
            </w:r>
            <w:proofErr w:type="gramEnd"/>
            <w:r w:rsidRPr="006131A6">
              <w:rPr>
                <w:rFonts w:ascii="Calibri" w:hAnsi="Calibri"/>
                <w:bCs/>
                <w:szCs w:val="22"/>
              </w:rPr>
              <w:t xml:space="preserve"> the works are hidden bar from the two rooflights on the rear roof slope and window alterations which would only be visible from the rear of the building described of lesser significance. The rooflights are modest in scale in comparison to the cumulative scale and footprint of the extensions allowed.  The altered windows would remain sympathetic with the approved design concept and would not result in any additional harm to the significance of Oxendale Hall over and above the approved scheme, which the Inspector concluded would be limited and outweighed by heritage benefits. The window would be anthracite grey aluminium frame with stone surround to match the approved detail on the wider scheme. The rooflights including lead flashing details would also match the approved detail on the wider scheme.</w:t>
            </w:r>
          </w:p>
          <w:p w14:paraId="5E6626EC" w14:textId="77777777" w:rsidR="006131A6" w:rsidRPr="006131A6" w:rsidRDefault="006131A6" w:rsidP="006131A6">
            <w:pPr>
              <w:pStyle w:val="Header"/>
              <w:contextualSpacing/>
              <w:jc w:val="both"/>
              <w:rPr>
                <w:rFonts w:ascii="Calibri" w:hAnsi="Calibri"/>
                <w:bCs/>
                <w:szCs w:val="22"/>
              </w:rPr>
            </w:pPr>
          </w:p>
          <w:p w14:paraId="4D64DDAE" w14:textId="0FF01A8E" w:rsidR="008542DE" w:rsidRDefault="006131A6" w:rsidP="006131A6">
            <w:pPr>
              <w:contextualSpacing/>
              <w:rPr>
                <w:rFonts w:ascii="Calibri" w:hAnsi="Calibri"/>
                <w:b/>
                <w:szCs w:val="22"/>
              </w:rPr>
            </w:pPr>
            <w:r w:rsidRPr="006131A6">
              <w:rPr>
                <w:rFonts w:ascii="Calibri" w:hAnsi="Calibri"/>
                <w:bCs/>
                <w:szCs w:val="22"/>
              </w:rPr>
              <w:t>There would be no impact upon the nearby barn which is also a Grade II* Listed Building.</w:t>
            </w:r>
          </w:p>
        </w:tc>
      </w:tr>
      <w:tr w:rsidR="00C0704D" w:rsidRPr="00D2449B" w14:paraId="617768FF"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4CCB5F47" w14:textId="3113013C" w:rsidR="00ED00B7" w:rsidRDefault="00D87774" w:rsidP="00C0704D">
            <w:pPr>
              <w:contextualSpacing/>
              <w:rPr>
                <w:rFonts w:ascii="Calibri" w:hAnsi="Calibri"/>
                <w:szCs w:val="22"/>
              </w:rPr>
            </w:pPr>
            <w:r>
              <w:rPr>
                <w:rFonts w:ascii="Calibri" w:hAnsi="Calibri"/>
                <w:szCs w:val="22"/>
              </w:rPr>
              <w:t>No implications.</w:t>
            </w:r>
          </w:p>
          <w:p w14:paraId="0DB485A3" w14:textId="3E228169" w:rsidR="00D87774" w:rsidRPr="00C0704D" w:rsidRDefault="00D87774" w:rsidP="00C0704D">
            <w:pPr>
              <w:contextualSpacing/>
              <w:rPr>
                <w:rFonts w:ascii="Calibri" w:hAnsi="Calibri"/>
                <w:szCs w:val="22"/>
              </w:rPr>
            </w:pPr>
          </w:p>
        </w:tc>
      </w:tr>
      <w:tr w:rsidR="00C0704D" w:rsidRPr="00D2449B" w14:paraId="6754C065"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313CD18" w14:textId="27FE21EF" w:rsidR="00D87774" w:rsidRPr="00D87774" w:rsidRDefault="0046688F" w:rsidP="00D87774">
            <w:pPr>
              <w:pStyle w:val="Header"/>
              <w:tabs>
                <w:tab w:val="clear" w:pos="4153"/>
                <w:tab w:val="clear" w:pos="8306"/>
              </w:tabs>
              <w:contextualSpacing/>
              <w:jc w:val="both"/>
              <w:rPr>
                <w:rFonts w:ascii="Calibri" w:hAnsi="Calibri"/>
                <w:bCs/>
                <w:szCs w:val="22"/>
              </w:rPr>
            </w:pPr>
            <w:r>
              <w:rPr>
                <w:rFonts w:ascii="Calibri" w:hAnsi="Calibri"/>
                <w:bCs/>
                <w:szCs w:val="22"/>
              </w:rPr>
              <w:t>Longer range views can be seen from a public footpath to the north although the alteration</w:t>
            </w:r>
            <w:r w:rsidR="006131A6">
              <w:rPr>
                <w:rFonts w:ascii="Calibri" w:hAnsi="Calibri"/>
                <w:bCs/>
                <w:szCs w:val="22"/>
              </w:rPr>
              <w:t>s</w:t>
            </w:r>
            <w:r>
              <w:rPr>
                <w:rFonts w:ascii="Calibri" w:hAnsi="Calibri"/>
                <w:bCs/>
                <w:szCs w:val="22"/>
              </w:rPr>
              <w:t xml:space="preserve">, being small scale and sympathetic with the approved design, </w:t>
            </w:r>
            <w:proofErr w:type="gramStart"/>
            <w:r w:rsidR="006131A6">
              <w:rPr>
                <w:rFonts w:ascii="Calibri" w:hAnsi="Calibri"/>
                <w:bCs/>
                <w:szCs w:val="22"/>
              </w:rPr>
              <w:t>are</w:t>
            </w:r>
            <w:r w:rsidR="00D87774" w:rsidRPr="00D87774">
              <w:rPr>
                <w:rFonts w:ascii="Calibri" w:hAnsi="Calibri"/>
                <w:bCs/>
                <w:szCs w:val="22"/>
              </w:rPr>
              <w:t xml:space="preserve"> considered to be</w:t>
            </w:r>
            <w:proofErr w:type="gramEnd"/>
            <w:r w:rsidR="00D87774" w:rsidRPr="00D87774">
              <w:rPr>
                <w:rFonts w:ascii="Calibri" w:hAnsi="Calibri"/>
                <w:bCs/>
                <w:szCs w:val="22"/>
              </w:rPr>
              <w:t xml:space="preserve"> minimal in nature and do not give rise to any </w:t>
            </w:r>
            <w:r>
              <w:rPr>
                <w:rFonts w:ascii="Calibri" w:hAnsi="Calibri"/>
                <w:bCs/>
                <w:szCs w:val="22"/>
              </w:rPr>
              <w:t>new</w:t>
            </w:r>
            <w:r w:rsidR="00D87774" w:rsidRPr="00D87774">
              <w:rPr>
                <w:rFonts w:ascii="Calibri" w:hAnsi="Calibri"/>
                <w:bCs/>
                <w:szCs w:val="22"/>
              </w:rPr>
              <w:t xml:space="preserve"> material impacts </w:t>
            </w:r>
            <w:r>
              <w:rPr>
                <w:rFonts w:ascii="Calibri" w:hAnsi="Calibri"/>
                <w:bCs/>
                <w:szCs w:val="22"/>
              </w:rPr>
              <w:t>over and above the approved scheme</w:t>
            </w:r>
            <w:r w:rsidR="00D87774" w:rsidRPr="00D87774">
              <w:rPr>
                <w:rFonts w:ascii="Calibri" w:hAnsi="Calibri"/>
                <w:bCs/>
                <w:szCs w:val="22"/>
              </w:rPr>
              <w:t>.</w:t>
            </w:r>
          </w:p>
          <w:p w14:paraId="10A3648A" w14:textId="276837C9" w:rsidR="00BE6C88" w:rsidRDefault="00BE6C88" w:rsidP="005E1C6C">
            <w:pPr>
              <w:contextualSpacing/>
              <w:rPr>
                <w:rFonts w:ascii="Calibri" w:hAnsi="Calibri"/>
                <w:b/>
                <w:szCs w:val="22"/>
              </w:rPr>
            </w:pPr>
          </w:p>
        </w:tc>
      </w:tr>
      <w:tr w:rsidR="00CA7A7E" w:rsidRPr="00D2449B" w14:paraId="38B546F7"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6D1363B3" w14:textId="77777777" w:rsidR="00CA7A7E" w:rsidRDefault="00CA7A7E" w:rsidP="00EA09F9">
            <w:pPr>
              <w:pStyle w:val="Header"/>
              <w:tabs>
                <w:tab w:val="clear" w:pos="4153"/>
                <w:tab w:val="clear" w:pos="8306"/>
              </w:tabs>
              <w:contextualSpacing/>
              <w:jc w:val="both"/>
              <w:rPr>
                <w:rFonts w:ascii="Calibri" w:hAnsi="Calibri"/>
                <w:b/>
                <w:szCs w:val="22"/>
              </w:rPr>
            </w:pPr>
          </w:p>
          <w:p w14:paraId="3393A6BB" w14:textId="39CA77F1" w:rsidR="00BE6C88" w:rsidRPr="00BE6C88" w:rsidRDefault="00BE6C88" w:rsidP="00EA09F9">
            <w:pPr>
              <w:pStyle w:val="Header"/>
              <w:tabs>
                <w:tab w:val="clear" w:pos="4153"/>
                <w:tab w:val="clear" w:pos="8306"/>
              </w:tabs>
              <w:contextualSpacing/>
              <w:jc w:val="both"/>
              <w:rPr>
                <w:rFonts w:ascii="Calibri" w:hAnsi="Calibri"/>
                <w:bCs/>
                <w:szCs w:val="22"/>
              </w:rPr>
            </w:pPr>
            <w:r w:rsidRPr="00BE6C88">
              <w:rPr>
                <w:rFonts w:ascii="Calibri" w:hAnsi="Calibri"/>
                <w:bCs/>
                <w:szCs w:val="22"/>
              </w:rPr>
              <w:t>No implications.</w:t>
            </w:r>
          </w:p>
          <w:p w14:paraId="1B8E2F32" w14:textId="1BE4CCDB" w:rsidR="00BE6C88" w:rsidRDefault="00BE6C88"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7F000705" w14:textId="77777777" w:rsidR="00C0704D" w:rsidRPr="00BE6C88" w:rsidRDefault="00BE6C88" w:rsidP="00E46243">
            <w:pPr>
              <w:contextualSpacing/>
              <w:rPr>
                <w:rFonts w:ascii="Calibri" w:hAnsi="Calibri"/>
                <w:bCs/>
                <w:szCs w:val="22"/>
              </w:rPr>
            </w:pPr>
            <w:r w:rsidRPr="00BE6C88">
              <w:rPr>
                <w:rFonts w:ascii="Calibri" w:hAnsi="Calibri"/>
                <w:bCs/>
                <w:szCs w:val="22"/>
              </w:rPr>
              <w:t>No implications.</w:t>
            </w:r>
          </w:p>
          <w:p w14:paraId="6337C4D8" w14:textId="2DA71C93" w:rsidR="00BE6C88" w:rsidRDefault="00BE6C88" w:rsidP="00E46243">
            <w:pPr>
              <w:contextualSpacing/>
              <w:rPr>
                <w:rFonts w:ascii="Calibri" w:hAnsi="Calibri"/>
                <w:b/>
                <w:szCs w:val="22"/>
              </w:rPr>
            </w:pPr>
          </w:p>
        </w:tc>
      </w:tr>
      <w:tr w:rsidR="00C0704D" w:rsidRPr="00D2449B" w14:paraId="0A9D02B4" w14:textId="77777777" w:rsidTr="00CA7A7E">
        <w:trPr>
          <w:jc w:val="center"/>
        </w:trPr>
        <w:tc>
          <w:tcPr>
            <w:tcW w:w="933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6C796F9A" w14:textId="38F1F808" w:rsidR="00451017" w:rsidRPr="00D87774" w:rsidRDefault="00451017" w:rsidP="00451017">
            <w:pPr>
              <w:pStyle w:val="Header"/>
              <w:contextualSpacing/>
              <w:jc w:val="both"/>
              <w:rPr>
                <w:rFonts w:ascii="Calibri" w:hAnsi="Calibri"/>
                <w:bCs/>
                <w:szCs w:val="22"/>
              </w:rPr>
            </w:pPr>
            <w:r w:rsidRPr="00D87774">
              <w:rPr>
                <w:rFonts w:ascii="Calibri" w:hAnsi="Calibri"/>
                <w:bCs/>
                <w:szCs w:val="22"/>
              </w:rPr>
              <w:lastRenderedPageBreak/>
              <w:t xml:space="preserve">Taking account of the </w:t>
            </w:r>
            <w:r w:rsidR="00D87774" w:rsidRPr="00D87774">
              <w:rPr>
                <w:rFonts w:ascii="Calibri" w:hAnsi="Calibri"/>
                <w:bCs/>
                <w:szCs w:val="22"/>
              </w:rPr>
              <w:t>proposed amendment</w:t>
            </w:r>
            <w:r w:rsidR="0046688F">
              <w:rPr>
                <w:rFonts w:ascii="Calibri" w:hAnsi="Calibri"/>
                <w:bCs/>
                <w:szCs w:val="22"/>
              </w:rPr>
              <w:t xml:space="preserve"> in the context of the approved scheme</w:t>
            </w:r>
            <w:r w:rsidR="00D87774" w:rsidRPr="00D87774">
              <w:rPr>
                <w:rFonts w:ascii="Calibri" w:hAnsi="Calibri"/>
                <w:bCs/>
                <w:szCs w:val="22"/>
              </w:rPr>
              <w:t xml:space="preserve">, it is not considered </w:t>
            </w:r>
            <w:r w:rsidR="0046688F">
              <w:rPr>
                <w:rFonts w:ascii="Calibri" w:hAnsi="Calibri"/>
                <w:bCs/>
                <w:szCs w:val="22"/>
              </w:rPr>
              <w:t>to be</w:t>
            </w:r>
            <w:r w:rsidR="00D87774" w:rsidRPr="00D87774">
              <w:rPr>
                <w:rFonts w:ascii="Calibri" w:hAnsi="Calibri"/>
                <w:bCs/>
                <w:szCs w:val="22"/>
              </w:rPr>
              <w:t xml:space="preserve"> material in nature nor </w:t>
            </w:r>
            <w:r w:rsidR="0046688F">
              <w:rPr>
                <w:rFonts w:ascii="Calibri" w:hAnsi="Calibri"/>
                <w:bCs/>
                <w:szCs w:val="22"/>
              </w:rPr>
              <w:t>to</w:t>
            </w:r>
            <w:r w:rsidR="00D87774" w:rsidRPr="00D87774">
              <w:rPr>
                <w:rFonts w:ascii="Calibri" w:hAnsi="Calibri"/>
                <w:bCs/>
                <w:szCs w:val="22"/>
              </w:rPr>
              <w:t xml:space="preserve"> result in any additional material impacts upon the </w:t>
            </w:r>
            <w:r w:rsidR="0046688F">
              <w:rPr>
                <w:rFonts w:ascii="Calibri" w:hAnsi="Calibri"/>
                <w:bCs/>
                <w:szCs w:val="22"/>
              </w:rPr>
              <w:t xml:space="preserve">character and significance of the Grade II* Listed Building </w:t>
            </w:r>
            <w:r w:rsidR="00D87774" w:rsidRPr="00D87774">
              <w:rPr>
                <w:rFonts w:ascii="Calibri" w:hAnsi="Calibri"/>
                <w:bCs/>
                <w:szCs w:val="22"/>
              </w:rPr>
              <w:t>or visual amenities of the area.</w:t>
            </w:r>
          </w:p>
          <w:p w14:paraId="3A4BD7A7" w14:textId="5D6DBB1B" w:rsidR="00451017" w:rsidRDefault="00451017" w:rsidP="00D87774">
            <w:pPr>
              <w:pStyle w:val="Header"/>
              <w:tabs>
                <w:tab w:val="clear" w:pos="4153"/>
                <w:tab w:val="clear" w:pos="8306"/>
              </w:tabs>
              <w:contextualSpacing/>
              <w:jc w:val="both"/>
              <w:rPr>
                <w:rFonts w:ascii="Calibri" w:hAnsi="Calibri"/>
                <w:b/>
                <w:szCs w:val="22"/>
              </w:rPr>
            </w:pPr>
          </w:p>
        </w:tc>
      </w:tr>
      <w:tr w:rsidR="00C0704D" w:rsidRPr="00D2449B" w14:paraId="507FC89B" w14:textId="77777777" w:rsidTr="00CA7A7E">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14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8AD59E1" w:rsidR="00C0704D" w:rsidRPr="00D2449B" w:rsidRDefault="0046548C" w:rsidP="00CD2CEF">
            <w:pPr>
              <w:rPr>
                <w:rFonts w:ascii="Calibri" w:hAnsi="Calibri"/>
                <w:bCs/>
                <w:szCs w:val="22"/>
              </w:rPr>
            </w:pPr>
            <w:r w:rsidRPr="0046548C">
              <w:rPr>
                <w:rFonts w:asciiTheme="minorHAnsi" w:hAnsiTheme="minorHAnsi"/>
                <w:bCs/>
                <w:szCs w:val="22"/>
              </w:rPr>
              <w:t xml:space="preserve">That </w:t>
            </w:r>
            <w:r w:rsidR="00691B94">
              <w:rPr>
                <w:rFonts w:asciiTheme="minorHAnsi" w:hAnsiTheme="minorHAnsi"/>
                <w:bCs/>
                <w:szCs w:val="22"/>
              </w:rPr>
              <w:t>the non-material amendment be approved.</w:t>
            </w:r>
          </w:p>
        </w:tc>
      </w:tr>
    </w:tbl>
    <w:p w14:paraId="513FB541" w14:textId="77777777" w:rsidR="006131A6" w:rsidRPr="00D2449B" w:rsidRDefault="006131A6">
      <w:pPr>
        <w:rPr>
          <w:rFonts w:ascii="Calibri" w:hAnsi="Calibri"/>
          <w:szCs w:val="22"/>
        </w:rPr>
      </w:pPr>
    </w:p>
    <w:sectPr w:rsidR="006131A6"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4550"/>
    <w:rsid w:val="00130035"/>
    <w:rsid w:val="001C6BB7"/>
    <w:rsid w:val="001D4F7A"/>
    <w:rsid w:val="002153F8"/>
    <w:rsid w:val="00250879"/>
    <w:rsid w:val="00253FBF"/>
    <w:rsid w:val="0029334A"/>
    <w:rsid w:val="002A01CF"/>
    <w:rsid w:val="002C6277"/>
    <w:rsid w:val="002D52B4"/>
    <w:rsid w:val="002F2580"/>
    <w:rsid w:val="00321B6E"/>
    <w:rsid w:val="003C59FC"/>
    <w:rsid w:val="00440CB6"/>
    <w:rsid w:val="00451017"/>
    <w:rsid w:val="0046548C"/>
    <w:rsid w:val="0046688F"/>
    <w:rsid w:val="004947BB"/>
    <w:rsid w:val="004A5EA9"/>
    <w:rsid w:val="004C0310"/>
    <w:rsid w:val="004C2434"/>
    <w:rsid w:val="004F0649"/>
    <w:rsid w:val="005052A2"/>
    <w:rsid w:val="00510FA2"/>
    <w:rsid w:val="00555BBC"/>
    <w:rsid w:val="00556ECD"/>
    <w:rsid w:val="005E1C6C"/>
    <w:rsid w:val="005E65DF"/>
    <w:rsid w:val="005F00B2"/>
    <w:rsid w:val="006131A6"/>
    <w:rsid w:val="00691B94"/>
    <w:rsid w:val="00692B60"/>
    <w:rsid w:val="00694070"/>
    <w:rsid w:val="006A71AD"/>
    <w:rsid w:val="006C2BFA"/>
    <w:rsid w:val="006F6849"/>
    <w:rsid w:val="0070054B"/>
    <w:rsid w:val="00776AE2"/>
    <w:rsid w:val="007C791C"/>
    <w:rsid w:val="007D7DF4"/>
    <w:rsid w:val="007E0D23"/>
    <w:rsid w:val="007F16D6"/>
    <w:rsid w:val="00811771"/>
    <w:rsid w:val="008542DE"/>
    <w:rsid w:val="00890704"/>
    <w:rsid w:val="008A28C8"/>
    <w:rsid w:val="00944316"/>
    <w:rsid w:val="00A42E82"/>
    <w:rsid w:val="00A579BB"/>
    <w:rsid w:val="00A63D55"/>
    <w:rsid w:val="00A95D89"/>
    <w:rsid w:val="00B1590F"/>
    <w:rsid w:val="00B4774E"/>
    <w:rsid w:val="00B93EB5"/>
    <w:rsid w:val="00BD3F03"/>
    <w:rsid w:val="00BE6C88"/>
    <w:rsid w:val="00C0704D"/>
    <w:rsid w:val="00C25722"/>
    <w:rsid w:val="00C618DB"/>
    <w:rsid w:val="00C739B8"/>
    <w:rsid w:val="00C93401"/>
    <w:rsid w:val="00CA7A7E"/>
    <w:rsid w:val="00D11007"/>
    <w:rsid w:val="00D175E0"/>
    <w:rsid w:val="00D17EB1"/>
    <w:rsid w:val="00D2449B"/>
    <w:rsid w:val="00D54E67"/>
    <w:rsid w:val="00D80FCA"/>
    <w:rsid w:val="00D87774"/>
    <w:rsid w:val="00DD62F6"/>
    <w:rsid w:val="00E46243"/>
    <w:rsid w:val="00E66534"/>
    <w:rsid w:val="00E72F6C"/>
    <w:rsid w:val="00EA09F9"/>
    <w:rsid w:val="00EC23C7"/>
    <w:rsid w:val="00EC476F"/>
    <w:rsid w:val="00ED00B7"/>
    <w:rsid w:val="00EF44E6"/>
    <w:rsid w:val="00F779EB"/>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2023-12-20T16:22:00Z</cp:lastPrinted>
  <dcterms:created xsi:type="dcterms:W3CDTF">2023-12-20T16:22:00Z</dcterms:created>
  <dcterms:modified xsi:type="dcterms:W3CDTF">2023-12-20T16:22:00Z</dcterms:modified>
</cp:coreProperties>
</file>