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6"/>
        <w:gridCol w:w="184"/>
        <w:gridCol w:w="1030"/>
        <w:gridCol w:w="139"/>
        <w:gridCol w:w="36"/>
        <w:gridCol w:w="662"/>
        <w:gridCol w:w="197"/>
        <w:gridCol w:w="431"/>
        <w:gridCol w:w="723"/>
        <w:gridCol w:w="696"/>
        <w:gridCol w:w="602"/>
        <w:gridCol w:w="519"/>
        <w:gridCol w:w="579"/>
        <w:gridCol w:w="1030"/>
        <w:gridCol w:w="1030"/>
        <w:gridCol w:w="1031"/>
      </w:tblGrid>
      <w:tr w:rsidR="004A5EA9" w:rsidRPr="00D2449B" w14:paraId="230E00AF" w14:textId="77777777" w:rsidTr="00D6009B">
        <w:trPr>
          <w:jc w:val="center"/>
        </w:trPr>
        <w:tc>
          <w:tcPr>
            <w:tcW w:w="9467"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D6009B">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131A1EDB" w:rsidR="00837F4F" w:rsidRPr="00D2449B" w:rsidRDefault="006533AB" w:rsidP="00D2449B">
            <w:pPr>
              <w:jc w:val="center"/>
              <w:rPr>
                <w:rFonts w:ascii="Calibri" w:hAnsi="Calibri"/>
                <w:b/>
                <w:szCs w:val="22"/>
              </w:rPr>
            </w:pPr>
            <w:r>
              <w:rPr>
                <w:rFonts w:ascii="Calibri" w:hAnsi="Calibri"/>
                <w:b/>
                <w:szCs w:val="22"/>
              </w:rPr>
              <w:t>EP</w:t>
            </w:r>
          </w:p>
        </w:tc>
        <w:tc>
          <w:tcPr>
            <w:tcW w:w="115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27F41A1B" w:rsidR="00837F4F" w:rsidRPr="00D2449B" w:rsidRDefault="00B87327" w:rsidP="00D2449B">
            <w:pPr>
              <w:jc w:val="center"/>
              <w:rPr>
                <w:rFonts w:ascii="Calibri" w:hAnsi="Calibri"/>
                <w:b/>
                <w:szCs w:val="22"/>
              </w:rPr>
            </w:pPr>
            <w:r>
              <w:rPr>
                <w:rFonts w:ascii="Calibri" w:hAnsi="Calibri"/>
                <w:b/>
                <w:szCs w:val="22"/>
              </w:rPr>
              <w:t>0</w:t>
            </w:r>
            <w:r w:rsidR="00115388">
              <w:rPr>
                <w:rFonts w:ascii="Calibri" w:hAnsi="Calibri"/>
                <w:b/>
                <w:szCs w:val="22"/>
              </w:rPr>
              <w:t>6</w:t>
            </w:r>
            <w:r>
              <w:rPr>
                <w:rFonts w:ascii="Calibri" w:hAnsi="Calibri"/>
                <w:b/>
                <w:szCs w:val="22"/>
              </w:rPr>
              <w:t>/02/2023</w:t>
            </w: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330C78DA" w:rsidR="00837F4F" w:rsidRPr="00D2449B" w:rsidRDefault="00CD186D" w:rsidP="00D2449B">
            <w:pPr>
              <w:jc w:val="center"/>
              <w:rPr>
                <w:rFonts w:ascii="Calibri" w:hAnsi="Calibri"/>
                <w:b/>
                <w:szCs w:val="22"/>
              </w:rPr>
            </w:pPr>
            <w:r>
              <w:rPr>
                <w:rFonts w:ascii="Calibri" w:hAnsi="Calibri"/>
                <w:b/>
                <w:szCs w:val="22"/>
              </w:rPr>
              <w:t>SK</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2E8B5044" w:rsidR="00837F4F" w:rsidRPr="00D2449B" w:rsidRDefault="00CD186D" w:rsidP="00D2449B">
            <w:pPr>
              <w:jc w:val="center"/>
              <w:rPr>
                <w:rFonts w:ascii="Calibri" w:hAnsi="Calibri"/>
                <w:b/>
                <w:szCs w:val="22"/>
              </w:rPr>
            </w:pPr>
            <w:r>
              <w:rPr>
                <w:rFonts w:ascii="Calibri" w:hAnsi="Calibri"/>
                <w:b/>
                <w:szCs w:val="22"/>
              </w:rPr>
              <w:t>10.02.23</w:t>
            </w:r>
          </w:p>
        </w:tc>
      </w:tr>
      <w:tr w:rsidR="004A5EA9" w:rsidRPr="00D2449B" w14:paraId="2094A164" w14:textId="77777777" w:rsidTr="00D6009B">
        <w:trPr>
          <w:jc w:val="center"/>
        </w:trPr>
        <w:tc>
          <w:tcPr>
            <w:tcW w:w="9467"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D6009B">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56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0FC49D84" w:rsidR="004A5EA9" w:rsidRPr="00250879" w:rsidRDefault="00951A05" w:rsidP="008542DE">
            <w:pPr>
              <w:rPr>
                <w:rFonts w:ascii="Calibri" w:hAnsi="Calibri"/>
                <w:color w:val="548DD4" w:themeColor="text2" w:themeTint="99"/>
                <w:szCs w:val="22"/>
              </w:rPr>
            </w:pPr>
            <w:r>
              <w:rPr>
                <w:rFonts w:ascii="Calibri" w:hAnsi="Calibri"/>
                <w:szCs w:val="22"/>
              </w:rPr>
              <w:t>3/</w:t>
            </w:r>
            <w:r w:rsidR="004A5EA9" w:rsidRPr="002C6277">
              <w:rPr>
                <w:rFonts w:ascii="Calibri" w:hAnsi="Calibri"/>
                <w:szCs w:val="22"/>
              </w:rPr>
              <w:t>20</w:t>
            </w:r>
            <w:r w:rsidR="001C1FE6">
              <w:rPr>
                <w:rFonts w:ascii="Calibri" w:hAnsi="Calibri"/>
                <w:szCs w:val="22"/>
              </w:rPr>
              <w:t>22</w:t>
            </w:r>
            <w:r w:rsidR="00C0704D">
              <w:rPr>
                <w:rFonts w:ascii="Calibri" w:hAnsi="Calibri"/>
                <w:szCs w:val="22"/>
              </w:rPr>
              <w:t>/</w:t>
            </w:r>
            <w:r w:rsidR="001C1FE6">
              <w:rPr>
                <w:rFonts w:ascii="Calibri" w:hAnsi="Calibri"/>
                <w:szCs w:val="22"/>
              </w:rPr>
              <w:t>1096</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D6009B">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29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4D4A0577" w:rsidR="00824DB6" w:rsidRPr="00C0704D" w:rsidRDefault="00BA13D8" w:rsidP="002C6277">
            <w:pPr>
              <w:rPr>
                <w:rFonts w:ascii="Calibri" w:hAnsi="Calibri"/>
                <w:szCs w:val="22"/>
              </w:rPr>
            </w:pPr>
            <w:r>
              <w:rPr>
                <w:rFonts w:ascii="Calibri" w:hAnsi="Calibri"/>
                <w:szCs w:val="22"/>
              </w:rPr>
              <w:t>30/01/2023</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99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6A735EA8" w:rsidR="00824DB6" w:rsidRPr="00C0704D" w:rsidRDefault="001C1FE6" w:rsidP="002C6277">
            <w:pPr>
              <w:rPr>
                <w:rFonts w:ascii="Calibri" w:hAnsi="Calibri"/>
                <w:szCs w:val="22"/>
              </w:rPr>
            </w:pPr>
            <w:r>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D6009B">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56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0F7A7B1D" w:rsidR="004A5EA9" w:rsidRPr="00250879" w:rsidRDefault="001C1FE6" w:rsidP="00811771">
            <w:pPr>
              <w:rPr>
                <w:rFonts w:ascii="Calibri" w:hAnsi="Calibri"/>
                <w:color w:val="548DD4" w:themeColor="text2" w:themeTint="99"/>
                <w:szCs w:val="22"/>
              </w:rPr>
            </w:pPr>
            <w:r w:rsidRPr="00CD186D">
              <w:rPr>
                <w:rFonts w:ascii="Calibri" w:hAnsi="Calibri"/>
                <w:szCs w:val="22"/>
              </w:rPr>
              <w:t>EP</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D6009B">
        <w:trPr>
          <w:jc w:val="center"/>
        </w:trPr>
        <w:tc>
          <w:tcPr>
            <w:tcW w:w="5797"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2BBF07A" w:rsidR="004A5EA9" w:rsidRPr="00D2449B" w:rsidRDefault="009F4443" w:rsidP="002A01CF">
            <w:pPr>
              <w:jc w:val="center"/>
              <w:rPr>
                <w:rFonts w:ascii="Calibri" w:hAnsi="Calibri"/>
                <w:b/>
                <w:szCs w:val="22"/>
              </w:rPr>
            </w:pPr>
            <w:r>
              <w:rPr>
                <w:rFonts w:ascii="Calibri" w:hAnsi="Calibri"/>
                <w:b/>
                <w:szCs w:val="22"/>
              </w:rPr>
              <w:t>REFUSAL</w:t>
            </w:r>
          </w:p>
        </w:tc>
      </w:tr>
      <w:tr w:rsidR="004A5EA9" w:rsidRPr="00D2449B" w14:paraId="7813B96A" w14:textId="77777777" w:rsidTr="00D6009B">
        <w:trPr>
          <w:trHeight w:hRule="exact" w:val="170"/>
          <w:jc w:val="center"/>
        </w:trPr>
        <w:tc>
          <w:tcPr>
            <w:tcW w:w="9467"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D6009B">
        <w:trPr>
          <w:jc w:val="center"/>
        </w:trPr>
        <w:tc>
          <w:tcPr>
            <w:tcW w:w="289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57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2AE4D66A" w:rsidR="004A5EA9" w:rsidRPr="002C6277" w:rsidRDefault="001C1FE6">
            <w:pPr>
              <w:rPr>
                <w:rFonts w:ascii="Calibri" w:hAnsi="Calibri"/>
                <w:szCs w:val="22"/>
              </w:rPr>
            </w:pPr>
            <w:r>
              <w:rPr>
                <w:rFonts w:ascii="Calibri" w:hAnsi="Calibri"/>
                <w:szCs w:val="22"/>
              </w:rPr>
              <w:t xml:space="preserve">Removal of existing rear structure and erection of a two storey and single storey rear extension and associated alterations. </w:t>
            </w:r>
          </w:p>
        </w:tc>
      </w:tr>
      <w:tr w:rsidR="002A01CF" w:rsidRPr="00D2449B" w14:paraId="52988241" w14:textId="77777777" w:rsidTr="00D6009B">
        <w:trPr>
          <w:jc w:val="center"/>
        </w:trPr>
        <w:tc>
          <w:tcPr>
            <w:tcW w:w="289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57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34311D94" w:rsidR="002A01CF" w:rsidRPr="002C6277" w:rsidRDefault="001C1FE6" w:rsidP="00A42E82">
            <w:pPr>
              <w:rPr>
                <w:rFonts w:ascii="Calibri" w:hAnsi="Calibri"/>
                <w:szCs w:val="22"/>
              </w:rPr>
            </w:pPr>
            <w:r>
              <w:rPr>
                <w:rFonts w:ascii="Calibri" w:hAnsi="Calibri"/>
                <w:szCs w:val="22"/>
              </w:rPr>
              <w:t>3 The Barn Clerk Hill Road Sabden BB7 9FR</w:t>
            </w:r>
          </w:p>
        </w:tc>
      </w:tr>
      <w:tr w:rsidR="00A95D89" w:rsidRPr="00D2449B" w14:paraId="3FB99B2E" w14:textId="77777777" w:rsidTr="00D6009B">
        <w:trPr>
          <w:trHeight w:hRule="exact" w:val="170"/>
          <w:jc w:val="center"/>
        </w:trPr>
        <w:tc>
          <w:tcPr>
            <w:tcW w:w="9467"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D6009B">
        <w:trPr>
          <w:jc w:val="center"/>
        </w:trPr>
        <w:tc>
          <w:tcPr>
            <w:tcW w:w="289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57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D6009B">
        <w:trPr>
          <w:jc w:val="center"/>
        </w:trPr>
        <w:tc>
          <w:tcPr>
            <w:tcW w:w="9467"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42C0EC60" w:rsidR="002A01CF" w:rsidRPr="005146C6" w:rsidRDefault="00F51EDE">
            <w:pPr>
              <w:rPr>
                <w:rFonts w:ascii="Calibri" w:hAnsi="Calibri"/>
                <w:bCs/>
                <w:szCs w:val="22"/>
              </w:rPr>
            </w:pPr>
            <w:r>
              <w:rPr>
                <w:rFonts w:ascii="Calibri" w:hAnsi="Calibri"/>
                <w:bCs/>
                <w:szCs w:val="22"/>
              </w:rPr>
              <w:t xml:space="preserve">Sabden Parish have raised no objection but have raised a comment in regards to public rights of way and access for neighbours being maintained. </w:t>
            </w:r>
          </w:p>
        </w:tc>
      </w:tr>
      <w:tr w:rsidR="00C618DB" w:rsidRPr="00D2449B" w14:paraId="639E958B" w14:textId="77777777" w:rsidTr="00D6009B">
        <w:trPr>
          <w:trHeight w:hRule="exact" w:val="170"/>
          <w:jc w:val="center"/>
        </w:trPr>
        <w:tc>
          <w:tcPr>
            <w:tcW w:w="9467"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D6009B">
        <w:trPr>
          <w:jc w:val="center"/>
        </w:trPr>
        <w:tc>
          <w:tcPr>
            <w:tcW w:w="289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57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D6009B">
        <w:trPr>
          <w:jc w:val="center"/>
        </w:trPr>
        <w:tc>
          <w:tcPr>
            <w:tcW w:w="289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57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09B92A20" w:rsidR="002A01CF" w:rsidRPr="005204FC" w:rsidRDefault="00D6009B">
            <w:pPr>
              <w:rPr>
                <w:rFonts w:ascii="Calibri" w:hAnsi="Calibri"/>
                <w:bCs/>
                <w:szCs w:val="22"/>
              </w:rPr>
            </w:pPr>
            <w:r w:rsidRPr="005204FC">
              <w:rPr>
                <w:rFonts w:ascii="Calibri" w:hAnsi="Calibri"/>
                <w:bCs/>
                <w:szCs w:val="22"/>
              </w:rPr>
              <w:t>No Objection</w:t>
            </w:r>
            <w:r w:rsidR="008100B0">
              <w:rPr>
                <w:rFonts w:ascii="Calibri" w:hAnsi="Calibri"/>
                <w:bCs/>
                <w:szCs w:val="22"/>
              </w:rPr>
              <w:t xml:space="preserve">. </w:t>
            </w:r>
          </w:p>
        </w:tc>
      </w:tr>
      <w:tr w:rsidR="00C0704D" w:rsidRPr="00D2449B" w14:paraId="62663AAF" w14:textId="77777777" w:rsidTr="00D6009B">
        <w:trPr>
          <w:jc w:val="center"/>
        </w:trPr>
        <w:tc>
          <w:tcPr>
            <w:tcW w:w="9467"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699451B4" w:rsidR="00C0704D" w:rsidRPr="00C0704D" w:rsidRDefault="005146C6" w:rsidP="00D74711">
            <w:pPr>
              <w:rPr>
                <w:rFonts w:ascii="Calibri" w:hAnsi="Calibri"/>
                <w:szCs w:val="22"/>
              </w:rPr>
            </w:pPr>
            <w:r>
              <w:rPr>
                <w:rFonts w:ascii="Calibri" w:hAnsi="Calibri"/>
                <w:szCs w:val="22"/>
              </w:rPr>
              <w:t xml:space="preserve">RBVC Countryside have raised concerns </w:t>
            </w:r>
            <w:r w:rsidR="001514D7">
              <w:rPr>
                <w:rFonts w:ascii="Calibri" w:hAnsi="Calibri"/>
                <w:szCs w:val="22"/>
              </w:rPr>
              <w:t>in regard to</w:t>
            </w:r>
            <w:r>
              <w:rPr>
                <w:rFonts w:ascii="Calibri" w:hAnsi="Calibri"/>
                <w:szCs w:val="22"/>
              </w:rPr>
              <w:t xml:space="preserve"> the quality of the </w:t>
            </w:r>
            <w:r w:rsidR="005204FC">
              <w:rPr>
                <w:rFonts w:ascii="Calibri" w:hAnsi="Calibri"/>
                <w:szCs w:val="22"/>
              </w:rPr>
              <w:t xml:space="preserve">bat </w:t>
            </w:r>
            <w:r>
              <w:rPr>
                <w:rFonts w:ascii="Calibri" w:hAnsi="Calibri"/>
                <w:szCs w:val="22"/>
              </w:rPr>
              <w:t>survey provided.</w:t>
            </w:r>
          </w:p>
        </w:tc>
      </w:tr>
      <w:tr w:rsidR="00C0704D" w:rsidRPr="00D2449B" w14:paraId="29EBDA1F" w14:textId="77777777" w:rsidTr="00D6009B">
        <w:trPr>
          <w:jc w:val="center"/>
        </w:trPr>
        <w:tc>
          <w:tcPr>
            <w:tcW w:w="2897"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57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D6009B">
        <w:trPr>
          <w:jc w:val="center"/>
        </w:trPr>
        <w:tc>
          <w:tcPr>
            <w:tcW w:w="9467"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430E63CE" w:rsidR="00C0704D" w:rsidRPr="00C0704D" w:rsidRDefault="00D70B10" w:rsidP="00692B60">
            <w:pPr>
              <w:rPr>
                <w:rFonts w:ascii="Calibri" w:hAnsi="Calibri"/>
                <w:szCs w:val="22"/>
              </w:rPr>
            </w:pPr>
            <w:r>
              <w:rPr>
                <w:rFonts w:ascii="Calibri" w:hAnsi="Calibri"/>
                <w:szCs w:val="22"/>
              </w:rPr>
              <w:t xml:space="preserve">One comment has been received in reference to the extension and </w:t>
            </w:r>
            <w:r w:rsidR="005146C6">
              <w:rPr>
                <w:rFonts w:ascii="Calibri" w:hAnsi="Calibri"/>
                <w:szCs w:val="22"/>
              </w:rPr>
              <w:t xml:space="preserve">how </w:t>
            </w:r>
            <w:r>
              <w:rPr>
                <w:rFonts w:ascii="Calibri" w:hAnsi="Calibri"/>
                <w:szCs w:val="22"/>
              </w:rPr>
              <w:t xml:space="preserve">the materials used </w:t>
            </w:r>
            <w:r w:rsidR="00097984">
              <w:rPr>
                <w:rFonts w:ascii="Calibri" w:hAnsi="Calibri"/>
                <w:szCs w:val="22"/>
              </w:rPr>
              <w:t>should reflect the</w:t>
            </w:r>
            <w:r w:rsidR="005146C6">
              <w:rPr>
                <w:rFonts w:ascii="Calibri" w:hAnsi="Calibri"/>
                <w:szCs w:val="22"/>
              </w:rPr>
              <w:t xml:space="preserve"> </w:t>
            </w:r>
            <w:r w:rsidR="00097984">
              <w:rPr>
                <w:rFonts w:ascii="Calibri" w:hAnsi="Calibri"/>
                <w:szCs w:val="22"/>
              </w:rPr>
              <w:t xml:space="preserve">setting within the AONB. </w:t>
            </w:r>
          </w:p>
        </w:tc>
      </w:tr>
      <w:tr w:rsidR="00C0704D" w:rsidRPr="00D2449B" w14:paraId="1CDFA4C3" w14:textId="77777777" w:rsidTr="00D6009B">
        <w:trPr>
          <w:trHeight w:hRule="exact" w:val="170"/>
          <w:jc w:val="center"/>
        </w:trPr>
        <w:tc>
          <w:tcPr>
            <w:tcW w:w="9467"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D6009B">
        <w:trPr>
          <w:jc w:val="center"/>
        </w:trPr>
        <w:tc>
          <w:tcPr>
            <w:tcW w:w="9467"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D6009B">
        <w:trPr>
          <w:jc w:val="center"/>
        </w:trPr>
        <w:tc>
          <w:tcPr>
            <w:tcW w:w="9467"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63DD9EED" w14:textId="77777777" w:rsidR="008542DE" w:rsidRPr="00C618DB" w:rsidRDefault="008542DE" w:rsidP="008542DE">
            <w:pPr>
              <w:pStyle w:val="PLANNING"/>
              <w:rPr>
                <w:rFonts w:ascii="Calibri" w:hAnsi="Calibri"/>
                <w:szCs w:val="22"/>
              </w:rPr>
            </w:pPr>
            <w:r w:rsidRPr="00C618DB">
              <w:rPr>
                <w:rFonts w:ascii="Calibri" w:hAnsi="Calibri"/>
                <w:szCs w:val="22"/>
              </w:rPr>
              <w:t>Key Statement DS2 – Sustainable Development</w:t>
            </w:r>
          </w:p>
          <w:p w14:paraId="4CF76C47" w14:textId="77777777" w:rsidR="0046548C" w:rsidRPr="00C618DB" w:rsidRDefault="0046548C" w:rsidP="008542DE">
            <w:pPr>
              <w:pStyle w:val="PLANNING"/>
              <w:rPr>
                <w:rFonts w:ascii="Calibri" w:hAnsi="Calibri"/>
                <w:szCs w:val="22"/>
              </w:rPr>
            </w:pP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54E7D563" w14:textId="77777777" w:rsidR="008542DE" w:rsidRPr="00C618DB" w:rsidRDefault="008542DE" w:rsidP="008542DE">
            <w:pPr>
              <w:pStyle w:val="PLANNING"/>
              <w:rPr>
                <w:rFonts w:ascii="Calibri" w:hAnsi="Calibri"/>
                <w:szCs w:val="22"/>
              </w:rPr>
            </w:pPr>
            <w:r w:rsidRPr="00C618DB">
              <w:rPr>
                <w:rFonts w:ascii="Calibri" w:hAnsi="Calibri"/>
                <w:szCs w:val="22"/>
              </w:rPr>
              <w:t>Policy DMG2 – Strategic Considerations</w:t>
            </w:r>
          </w:p>
          <w:p w14:paraId="6C78A4E2" w14:textId="029E3F4A" w:rsidR="008542DE" w:rsidRDefault="008542DE" w:rsidP="008542DE">
            <w:pPr>
              <w:pStyle w:val="PLANNING"/>
              <w:rPr>
                <w:rFonts w:ascii="Calibri" w:hAnsi="Calibri"/>
                <w:szCs w:val="22"/>
              </w:rPr>
            </w:pPr>
            <w:r w:rsidRPr="00C618DB">
              <w:rPr>
                <w:rFonts w:ascii="Calibri" w:hAnsi="Calibri"/>
                <w:szCs w:val="22"/>
              </w:rPr>
              <w:t>Policy EN2 – Landscape Protection</w:t>
            </w:r>
          </w:p>
          <w:p w14:paraId="0EE05DD0" w14:textId="2CE6E419" w:rsidR="00C563DB" w:rsidRPr="00C618DB" w:rsidRDefault="00C563DB" w:rsidP="008542DE">
            <w:pPr>
              <w:pStyle w:val="PLANNING"/>
              <w:rPr>
                <w:rFonts w:ascii="Calibri" w:hAnsi="Calibri"/>
                <w:szCs w:val="22"/>
              </w:rPr>
            </w:pPr>
            <w:r>
              <w:rPr>
                <w:rFonts w:ascii="Calibri" w:hAnsi="Calibri"/>
                <w:szCs w:val="22"/>
              </w:rPr>
              <w:t>DME3 – Species Protection</w:t>
            </w:r>
          </w:p>
          <w:p w14:paraId="1360EE56" w14:textId="5FCB82FC" w:rsidR="008542DE" w:rsidRDefault="00805211" w:rsidP="008542DE">
            <w:pPr>
              <w:pStyle w:val="PLANNING"/>
              <w:rPr>
                <w:rFonts w:ascii="Calibri" w:hAnsi="Calibri"/>
                <w:szCs w:val="22"/>
              </w:rPr>
            </w:pPr>
            <w:r>
              <w:rPr>
                <w:rFonts w:ascii="Calibri" w:hAnsi="Calibri"/>
                <w:szCs w:val="22"/>
              </w:rPr>
              <w:t>DMH5 -- Residential and Curtilage Extensions.</w:t>
            </w:r>
          </w:p>
          <w:p w14:paraId="020DF1DE" w14:textId="77777777" w:rsidR="00805211" w:rsidRDefault="00805211" w:rsidP="008542DE">
            <w:pPr>
              <w:pStyle w:val="PLANNING"/>
              <w:rPr>
                <w:rFonts w:ascii="Calibri" w:hAnsi="Calibri"/>
                <w:szCs w:val="22"/>
              </w:rPr>
            </w:pP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D6009B">
        <w:trPr>
          <w:jc w:val="center"/>
        </w:trPr>
        <w:tc>
          <w:tcPr>
            <w:tcW w:w="9467"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0E12E4A3" w14:textId="3AD6AAAF" w:rsidR="0046548C" w:rsidRDefault="00721521" w:rsidP="00C0704D">
            <w:pPr>
              <w:pStyle w:val="PLANNING"/>
              <w:rPr>
                <w:rFonts w:ascii="Calibri" w:hAnsi="Calibri"/>
                <w:b/>
                <w:bCs/>
                <w:szCs w:val="22"/>
              </w:rPr>
            </w:pPr>
            <w:r w:rsidRPr="00721521">
              <w:rPr>
                <w:rFonts w:ascii="Calibri" w:hAnsi="Calibri"/>
                <w:b/>
                <w:bCs/>
                <w:szCs w:val="22"/>
              </w:rPr>
              <w:t>1992/0420:</w:t>
            </w:r>
            <w:r>
              <w:rPr>
                <w:rFonts w:ascii="Calibri" w:hAnsi="Calibri"/>
                <w:b/>
                <w:bCs/>
                <w:szCs w:val="22"/>
              </w:rPr>
              <w:t xml:space="preserve"> Barn converted to 3 dwellings</w:t>
            </w:r>
            <w:r w:rsidR="00A16B6A">
              <w:rPr>
                <w:rFonts w:ascii="Calibri" w:hAnsi="Calibri"/>
                <w:b/>
                <w:bCs/>
                <w:szCs w:val="22"/>
              </w:rPr>
              <w:t>. (</w:t>
            </w:r>
            <w:proofErr w:type="gramStart"/>
            <w:r w:rsidR="00A16B6A">
              <w:rPr>
                <w:rFonts w:ascii="Calibri" w:hAnsi="Calibri"/>
                <w:b/>
                <w:bCs/>
                <w:szCs w:val="22"/>
              </w:rPr>
              <w:t>approved</w:t>
            </w:r>
            <w:proofErr w:type="gramEnd"/>
            <w:r w:rsidR="00A16B6A">
              <w:rPr>
                <w:rFonts w:ascii="Calibri" w:hAnsi="Calibri"/>
                <w:b/>
                <w:bCs/>
                <w:szCs w:val="22"/>
              </w:rPr>
              <w:t xml:space="preserve"> with conditions,</w:t>
            </w:r>
            <w:r>
              <w:rPr>
                <w:rFonts w:ascii="Calibri" w:hAnsi="Calibri"/>
                <w:b/>
                <w:bCs/>
                <w:szCs w:val="22"/>
              </w:rPr>
              <w:t xml:space="preserve"> PD rights removed</w:t>
            </w:r>
            <w:r w:rsidR="00A16B6A">
              <w:rPr>
                <w:rFonts w:ascii="Calibri" w:hAnsi="Calibri"/>
                <w:b/>
                <w:bCs/>
                <w:szCs w:val="22"/>
              </w:rPr>
              <w:t>)</w:t>
            </w:r>
          </w:p>
          <w:p w14:paraId="78BBE270" w14:textId="5AEAEDFA" w:rsidR="00721521" w:rsidRDefault="00721521" w:rsidP="00C0704D">
            <w:pPr>
              <w:pStyle w:val="PLANNING"/>
              <w:rPr>
                <w:rFonts w:ascii="Calibri" w:hAnsi="Calibri"/>
                <w:b/>
                <w:bCs/>
                <w:szCs w:val="22"/>
              </w:rPr>
            </w:pPr>
          </w:p>
          <w:p w14:paraId="01B88370" w14:textId="7E79E8BD" w:rsidR="00721521" w:rsidRPr="00721521" w:rsidRDefault="00721521" w:rsidP="00C0704D">
            <w:pPr>
              <w:pStyle w:val="PLANNING"/>
              <w:rPr>
                <w:rFonts w:ascii="Calibri" w:hAnsi="Calibri"/>
                <w:b/>
                <w:bCs/>
                <w:szCs w:val="22"/>
              </w:rPr>
            </w:pPr>
            <w:r>
              <w:rPr>
                <w:rFonts w:ascii="Calibri" w:hAnsi="Calibri"/>
                <w:b/>
                <w:bCs/>
                <w:szCs w:val="22"/>
              </w:rPr>
              <w:t>1991/0671:</w:t>
            </w:r>
            <w:r w:rsidR="00A16B6A">
              <w:rPr>
                <w:rFonts w:ascii="Calibri" w:hAnsi="Calibri"/>
                <w:b/>
                <w:bCs/>
                <w:szCs w:val="22"/>
              </w:rPr>
              <w:t xml:space="preserve"> Barn conversion. (refused) </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D6009B">
        <w:trPr>
          <w:trHeight w:hRule="exact" w:val="170"/>
          <w:jc w:val="center"/>
        </w:trPr>
        <w:tc>
          <w:tcPr>
            <w:tcW w:w="9467"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D6009B">
        <w:trPr>
          <w:jc w:val="center"/>
        </w:trPr>
        <w:tc>
          <w:tcPr>
            <w:tcW w:w="9467"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D6009B">
        <w:trPr>
          <w:jc w:val="center"/>
        </w:trPr>
        <w:tc>
          <w:tcPr>
            <w:tcW w:w="9467"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449FA4F7" w14:textId="288D5A7F" w:rsidR="00EE7531" w:rsidRDefault="00895AE9"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proposal </w:t>
            </w:r>
            <w:r w:rsidR="00BC768F">
              <w:rPr>
                <w:rFonts w:ascii="Calibri" w:hAnsi="Calibri"/>
                <w:bCs/>
                <w:szCs w:val="22"/>
              </w:rPr>
              <w:t>relates</w:t>
            </w:r>
            <w:r>
              <w:rPr>
                <w:rFonts w:ascii="Calibri" w:hAnsi="Calibri"/>
                <w:bCs/>
                <w:szCs w:val="22"/>
              </w:rPr>
              <w:t xml:space="preserve"> to a two-storey </w:t>
            </w:r>
            <w:r w:rsidR="00BC768F">
              <w:rPr>
                <w:rFonts w:ascii="Calibri" w:hAnsi="Calibri"/>
                <w:bCs/>
                <w:szCs w:val="22"/>
              </w:rPr>
              <w:t>mid barn conversion</w:t>
            </w:r>
            <w:r w:rsidR="00AB797E">
              <w:rPr>
                <w:rFonts w:ascii="Calibri" w:hAnsi="Calibri"/>
                <w:bCs/>
                <w:szCs w:val="22"/>
              </w:rPr>
              <w:t xml:space="preserve"> </w:t>
            </w:r>
            <w:r w:rsidR="00EE7531">
              <w:rPr>
                <w:rFonts w:ascii="Calibri" w:hAnsi="Calibri"/>
                <w:bCs/>
                <w:szCs w:val="22"/>
              </w:rPr>
              <w:t>l</w:t>
            </w:r>
            <w:r>
              <w:rPr>
                <w:rFonts w:ascii="Calibri" w:hAnsi="Calibri"/>
                <w:bCs/>
                <w:szCs w:val="22"/>
              </w:rPr>
              <w:t>ocated off Clerk Hill Road, Sa</w:t>
            </w:r>
            <w:r w:rsidR="00DC65F6">
              <w:rPr>
                <w:rFonts w:ascii="Calibri" w:hAnsi="Calibri"/>
                <w:bCs/>
                <w:szCs w:val="22"/>
              </w:rPr>
              <w:t>b</w:t>
            </w:r>
            <w:r>
              <w:rPr>
                <w:rFonts w:ascii="Calibri" w:hAnsi="Calibri"/>
                <w:bCs/>
                <w:szCs w:val="22"/>
              </w:rPr>
              <w:t xml:space="preserve">den, within </w:t>
            </w:r>
            <w:r w:rsidR="00805211">
              <w:rPr>
                <w:rFonts w:ascii="Calibri" w:hAnsi="Calibri"/>
                <w:bCs/>
                <w:szCs w:val="22"/>
              </w:rPr>
              <w:t>the</w:t>
            </w:r>
            <w:r>
              <w:rPr>
                <w:rFonts w:ascii="Calibri" w:hAnsi="Calibri"/>
                <w:bCs/>
                <w:szCs w:val="22"/>
              </w:rPr>
              <w:t xml:space="preserve"> </w:t>
            </w:r>
            <w:r w:rsidR="00805211">
              <w:rPr>
                <w:rFonts w:ascii="Calibri" w:hAnsi="Calibri"/>
                <w:bCs/>
                <w:szCs w:val="22"/>
              </w:rPr>
              <w:t>Forest of Bowland</w:t>
            </w:r>
            <w:r>
              <w:rPr>
                <w:rFonts w:ascii="Calibri" w:hAnsi="Calibri"/>
                <w:bCs/>
                <w:szCs w:val="22"/>
              </w:rPr>
              <w:t xml:space="preserve"> </w:t>
            </w:r>
            <w:r w:rsidR="00BC768F">
              <w:rPr>
                <w:rFonts w:ascii="Calibri" w:hAnsi="Calibri"/>
                <w:bCs/>
                <w:szCs w:val="22"/>
              </w:rPr>
              <w:t>A</w:t>
            </w:r>
            <w:r>
              <w:rPr>
                <w:rFonts w:ascii="Calibri" w:hAnsi="Calibri"/>
                <w:bCs/>
                <w:szCs w:val="22"/>
              </w:rPr>
              <w:t xml:space="preserve">rea of Outstanding Natural Beauty. </w:t>
            </w:r>
            <w:r w:rsidR="005979F8">
              <w:rPr>
                <w:rFonts w:ascii="Calibri" w:hAnsi="Calibri"/>
                <w:bCs/>
                <w:szCs w:val="22"/>
              </w:rPr>
              <w:t>The original barn was converted into 3 dwellings in the</w:t>
            </w:r>
            <w:r w:rsidR="00DC65F6">
              <w:rPr>
                <w:rFonts w:ascii="Calibri" w:hAnsi="Calibri"/>
                <w:bCs/>
                <w:szCs w:val="22"/>
              </w:rPr>
              <w:t xml:space="preserve"> 1990s</w:t>
            </w:r>
            <w:r w:rsidR="002D4F69">
              <w:rPr>
                <w:rFonts w:ascii="Calibri" w:hAnsi="Calibri"/>
                <w:bCs/>
                <w:szCs w:val="22"/>
              </w:rPr>
              <w:t xml:space="preserve"> and their associated permitted development rights were removed</w:t>
            </w:r>
            <w:r w:rsidR="005979F8">
              <w:rPr>
                <w:rFonts w:ascii="Calibri" w:hAnsi="Calibri"/>
                <w:bCs/>
                <w:szCs w:val="22"/>
              </w:rPr>
              <w:t xml:space="preserve">. </w:t>
            </w:r>
            <w:r w:rsidR="00941382">
              <w:rPr>
                <w:rFonts w:ascii="Calibri" w:hAnsi="Calibri"/>
                <w:bCs/>
                <w:szCs w:val="22"/>
              </w:rPr>
              <w:t xml:space="preserve">The </w:t>
            </w:r>
            <w:r w:rsidR="0061052C">
              <w:rPr>
                <w:rFonts w:ascii="Calibri" w:hAnsi="Calibri"/>
                <w:bCs/>
                <w:szCs w:val="22"/>
              </w:rPr>
              <w:t xml:space="preserve">existing </w:t>
            </w:r>
            <w:r w:rsidR="00941382">
              <w:rPr>
                <w:rFonts w:ascii="Calibri" w:hAnsi="Calibri"/>
                <w:bCs/>
                <w:szCs w:val="22"/>
              </w:rPr>
              <w:t>property consists of natural stonework</w:t>
            </w:r>
            <w:r w:rsidR="0061052C">
              <w:rPr>
                <w:rFonts w:ascii="Calibri" w:hAnsi="Calibri"/>
                <w:bCs/>
                <w:szCs w:val="22"/>
              </w:rPr>
              <w:t xml:space="preserve"> </w:t>
            </w:r>
            <w:r w:rsidR="00941382">
              <w:rPr>
                <w:rFonts w:ascii="Calibri" w:hAnsi="Calibri"/>
                <w:bCs/>
                <w:szCs w:val="22"/>
              </w:rPr>
              <w:t>and</w:t>
            </w:r>
            <w:r w:rsidR="00DC65F6">
              <w:rPr>
                <w:rFonts w:ascii="Calibri" w:hAnsi="Calibri"/>
                <w:bCs/>
                <w:szCs w:val="22"/>
              </w:rPr>
              <w:t xml:space="preserve"> a</w:t>
            </w:r>
            <w:r w:rsidR="00941382">
              <w:rPr>
                <w:rFonts w:ascii="Calibri" w:hAnsi="Calibri"/>
                <w:bCs/>
                <w:szCs w:val="22"/>
              </w:rPr>
              <w:t xml:space="preserve"> slate roof. </w:t>
            </w:r>
            <w:r w:rsidR="00EE7531">
              <w:rPr>
                <w:rFonts w:ascii="Calibri" w:hAnsi="Calibri"/>
                <w:bCs/>
                <w:szCs w:val="22"/>
              </w:rPr>
              <w:t>The surrounding properties comprise a mixture of both agricultural and residential uses</w:t>
            </w:r>
            <w:r w:rsidR="00E043FD">
              <w:rPr>
                <w:rFonts w:ascii="Calibri" w:hAnsi="Calibri"/>
                <w:bCs/>
                <w:szCs w:val="22"/>
              </w:rPr>
              <w:t xml:space="preserve"> and</w:t>
            </w:r>
            <w:r w:rsidR="00896C0B">
              <w:rPr>
                <w:rFonts w:ascii="Calibri" w:hAnsi="Calibri"/>
                <w:bCs/>
                <w:szCs w:val="22"/>
              </w:rPr>
              <w:t xml:space="preserve"> the majority</w:t>
            </w:r>
            <w:r w:rsidR="00805211">
              <w:rPr>
                <w:rFonts w:ascii="Calibri" w:hAnsi="Calibri"/>
                <w:bCs/>
                <w:szCs w:val="22"/>
              </w:rPr>
              <w:t xml:space="preserve"> are consistent in style with the proposal dwelling</w:t>
            </w:r>
            <w:r w:rsidR="00941382">
              <w:rPr>
                <w:rFonts w:ascii="Calibri" w:hAnsi="Calibri"/>
                <w:bCs/>
                <w:szCs w:val="22"/>
              </w:rPr>
              <w:t xml:space="preserve">. </w:t>
            </w:r>
          </w:p>
          <w:p w14:paraId="62370E9F" w14:textId="79837EAD" w:rsidR="00C0704D" w:rsidRPr="006C2BFA" w:rsidRDefault="00EE7531"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 </w:t>
            </w:r>
          </w:p>
        </w:tc>
      </w:tr>
      <w:tr w:rsidR="00C0704D" w:rsidRPr="00D2449B" w14:paraId="408C6380" w14:textId="77777777" w:rsidTr="00D6009B">
        <w:trPr>
          <w:jc w:val="center"/>
        </w:trPr>
        <w:tc>
          <w:tcPr>
            <w:tcW w:w="9467"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8BC070F" w:rsidR="00C0704D" w:rsidRDefault="00C0704D" w:rsidP="00440CB6">
            <w:pPr>
              <w:pStyle w:val="Header"/>
              <w:tabs>
                <w:tab w:val="clear" w:pos="4153"/>
                <w:tab w:val="clear" w:pos="8306"/>
              </w:tabs>
              <w:jc w:val="both"/>
              <w:rPr>
                <w:rFonts w:ascii="Calibri" w:hAnsi="Calibri"/>
                <w:b/>
                <w:szCs w:val="22"/>
              </w:rPr>
            </w:pPr>
          </w:p>
          <w:p w14:paraId="6067C9AD" w14:textId="18D7F7CC" w:rsidR="00721521" w:rsidRPr="00721521" w:rsidRDefault="00721521" w:rsidP="00440CB6">
            <w:pPr>
              <w:pStyle w:val="Header"/>
              <w:tabs>
                <w:tab w:val="clear" w:pos="4153"/>
                <w:tab w:val="clear" w:pos="8306"/>
              </w:tabs>
              <w:jc w:val="both"/>
              <w:rPr>
                <w:rFonts w:ascii="Calibri" w:hAnsi="Calibri"/>
                <w:bCs/>
                <w:szCs w:val="22"/>
              </w:rPr>
            </w:pPr>
            <w:r w:rsidRPr="00721521">
              <w:rPr>
                <w:rFonts w:ascii="Calibri" w:hAnsi="Calibri"/>
                <w:bCs/>
                <w:szCs w:val="22"/>
              </w:rPr>
              <w:t xml:space="preserve">Consent is sought for the demolition of an existing conservatory at the rear of the dwelling </w:t>
            </w:r>
            <w:r>
              <w:rPr>
                <w:rFonts w:ascii="Calibri" w:hAnsi="Calibri"/>
                <w:bCs/>
                <w:szCs w:val="22"/>
              </w:rPr>
              <w:t>and the erection of a two-storey extension in its place</w:t>
            </w:r>
            <w:r w:rsidR="00896C0B">
              <w:rPr>
                <w:rFonts w:ascii="Calibri" w:hAnsi="Calibri"/>
                <w:bCs/>
                <w:szCs w:val="22"/>
              </w:rPr>
              <w:t>,</w:t>
            </w:r>
            <w:r>
              <w:rPr>
                <w:rFonts w:ascii="Calibri" w:hAnsi="Calibri"/>
                <w:bCs/>
                <w:szCs w:val="22"/>
              </w:rPr>
              <w:t xml:space="preserve"> to </w:t>
            </w:r>
            <w:r w:rsidR="00895AE9">
              <w:rPr>
                <w:rFonts w:ascii="Calibri" w:hAnsi="Calibri"/>
                <w:bCs/>
                <w:szCs w:val="22"/>
              </w:rPr>
              <w:t>provide</w:t>
            </w:r>
            <w:r>
              <w:rPr>
                <w:rFonts w:ascii="Calibri" w:hAnsi="Calibri"/>
                <w:bCs/>
                <w:szCs w:val="22"/>
              </w:rPr>
              <w:t xml:space="preserve"> additional living </w:t>
            </w:r>
            <w:r w:rsidR="00895AE9">
              <w:rPr>
                <w:rFonts w:ascii="Calibri" w:hAnsi="Calibri"/>
                <w:bCs/>
                <w:szCs w:val="22"/>
              </w:rPr>
              <w:t>space</w:t>
            </w:r>
            <w:r>
              <w:rPr>
                <w:rFonts w:ascii="Calibri" w:hAnsi="Calibri"/>
                <w:bCs/>
                <w:szCs w:val="22"/>
              </w:rPr>
              <w:t xml:space="preserve"> </w:t>
            </w:r>
            <w:r w:rsidR="00895AE9">
              <w:rPr>
                <w:rFonts w:ascii="Calibri" w:hAnsi="Calibri"/>
                <w:bCs/>
                <w:szCs w:val="22"/>
              </w:rPr>
              <w:t>to</w:t>
            </w:r>
            <w:r>
              <w:rPr>
                <w:rFonts w:ascii="Calibri" w:hAnsi="Calibri"/>
                <w:bCs/>
                <w:szCs w:val="22"/>
              </w:rPr>
              <w:t xml:space="preserve"> the ground floor and a larger</w:t>
            </w:r>
            <w:r w:rsidR="00895AE9">
              <w:rPr>
                <w:rFonts w:ascii="Calibri" w:hAnsi="Calibri"/>
                <w:bCs/>
                <w:szCs w:val="22"/>
              </w:rPr>
              <w:t xml:space="preserve"> third</w:t>
            </w:r>
            <w:r>
              <w:rPr>
                <w:rFonts w:ascii="Calibri" w:hAnsi="Calibri"/>
                <w:bCs/>
                <w:szCs w:val="22"/>
              </w:rPr>
              <w:t xml:space="preserve"> bedroom with home office </w:t>
            </w:r>
            <w:r w:rsidR="00895AE9">
              <w:rPr>
                <w:rFonts w:ascii="Calibri" w:hAnsi="Calibri"/>
                <w:bCs/>
                <w:szCs w:val="22"/>
              </w:rPr>
              <w:t>to</w:t>
            </w:r>
            <w:r>
              <w:rPr>
                <w:rFonts w:ascii="Calibri" w:hAnsi="Calibri"/>
                <w:bCs/>
                <w:szCs w:val="22"/>
              </w:rPr>
              <w:t xml:space="preserve"> the first floor. </w:t>
            </w:r>
            <w:r w:rsidR="003F1935">
              <w:rPr>
                <w:rFonts w:ascii="Calibri" w:hAnsi="Calibri"/>
                <w:bCs/>
                <w:szCs w:val="22"/>
              </w:rPr>
              <w:t>The pro</w:t>
            </w:r>
            <w:r w:rsidR="00BC768F">
              <w:rPr>
                <w:rFonts w:ascii="Calibri" w:hAnsi="Calibri"/>
                <w:bCs/>
                <w:szCs w:val="22"/>
              </w:rPr>
              <w:t>po</w:t>
            </w:r>
            <w:r w:rsidR="003F1935">
              <w:rPr>
                <w:rFonts w:ascii="Calibri" w:hAnsi="Calibri"/>
                <w:bCs/>
                <w:szCs w:val="22"/>
              </w:rPr>
              <w:t xml:space="preserve">sed extension is to </w:t>
            </w:r>
            <w:r w:rsidR="00A16B6A">
              <w:rPr>
                <w:rFonts w:ascii="Calibri" w:hAnsi="Calibri"/>
                <w:bCs/>
                <w:szCs w:val="22"/>
              </w:rPr>
              <w:t>consist</w:t>
            </w:r>
            <w:r w:rsidR="003F1935">
              <w:rPr>
                <w:rFonts w:ascii="Calibri" w:hAnsi="Calibri"/>
                <w:bCs/>
                <w:szCs w:val="22"/>
              </w:rPr>
              <w:t xml:space="preserve"> of Natural Stonework and Vertical Cedar Cladding. It </w:t>
            </w:r>
            <w:r w:rsidR="00A16B6A">
              <w:rPr>
                <w:rFonts w:ascii="Calibri" w:hAnsi="Calibri"/>
                <w:bCs/>
                <w:szCs w:val="22"/>
              </w:rPr>
              <w:t>would</w:t>
            </w:r>
            <w:r w:rsidR="003F1935">
              <w:rPr>
                <w:rFonts w:ascii="Calibri" w:hAnsi="Calibri"/>
                <w:bCs/>
                <w:szCs w:val="22"/>
              </w:rPr>
              <w:t xml:space="preserve"> measure a maximum height of</w:t>
            </w:r>
            <w:r w:rsidR="00A16B6A">
              <w:rPr>
                <w:rFonts w:ascii="Calibri" w:hAnsi="Calibri"/>
                <w:bCs/>
                <w:szCs w:val="22"/>
              </w:rPr>
              <w:t xml:space="preserve"> 5.235m, 5.535m in width and 2.93m in depth. </w:t>
            </w:r>
          </w:p>
          <w:p w14:paraId="1B20488F" w14:textId="77777777" w:rsidR="00C0704D" w:rsidRPr="00D54E67" w:rsidRDefault="00C0704D" w:rsidP="002F2580">
            <w:pPr>
              <w:rPr>
                <w:rFonts w:ascii="Calibri" w:hAnsi="Calibri"/>
                <w:szCs w:val="22"/>
              </w:rPr>
            </w:pPr>
          </w:p>
        </w:tc>
      </w:tr>
      <w:tr w:rsidR="0046548C" w:rsidRPr="00D2449B" w14:paraId="06BBE02F" w14:textId="77777777" w:rsidTr="00D6009B">
        <w:trPr>
          <w:jc w:val="center"/>
        </w:trPr>
        <w:tc>
          <w:tcPr>
            <w:tcW w:w="9467"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6C36314" w:rsidR="0046548C" w:rsidRDefault="0046548C" w:rsidP="008542DE">
            <w:pPr>
              <w:pStyle w:val="Header"/>
              <w:tabs>
                <w:tab w:val="clear" w:pos="4153"/>
                <w:tab w:val="clear" w:pos="8306"/>
              </w:tabs>
              <w:contextualSpacing/>
              <w:jc w:val="both"/>
              <w:rPr>
                <w:rFonts w:ascii="Calibri" w:hAnsi="Calibri"/>
                <w:b/>
                <w:szCs w:val="22"/>
              </w:rPr>
            </w:pPr>
          </w:p>
          <w:p w14:paraId="40BCFC63" w14:textId="019315D7" w:rsidR="00941382" w:rsidRPr="00941382" w:rsidRDefault="00941382" w:rsidP="00941382">
            <w:pPr>
              <w:pStyle w:val="Header"/>
              <w:tabs>
                <w:tab w:val="left" w:pos="720"/>
              </w:tabs>
              <w:jc w:val="both"/>
              <w:rPr>
                <w:rFonts w:ascii="Calibri" w:hAnsi="Calibri"/>
                <w:szCs w:val="22"/>
              </w:rPr>
            </w:pPr>
            <w:r>
              <w:rPr>
                <w:rFonts w:ascii="Calibri" w:hAnsi="Calibri"/>
                <w:szCs w:val="22"/>
              </w:rPr>
              <w:t>The proposal is a domestic extension to a dwelling and is acceptable in principle subject to an assessment of the material planning considerations. The proposal site also lies within the Forest of Bowland Area of Outstanding Natural Beauty therefore additional consideration will be given towards the effect of the proposal on the visual character of the surrounding landscape.</w:t>
            </w:r>
          </w:p>
          <w:p w14:paraId="07A958AF" w14:textId="2F6670FE" w:rsidR="0046548C" w:rsidRDefault="0046548C" w:rsidP="008542DE">
            <w:pPr>
              <w:pStyle w:val="Header"/>
              <w:tabs>
                <w:tab w:val="clear" w:pos="4153"/>
                <w:tab w:val="clear" w:pos="8306"/>
              </w:tabs>
              <w:contextualSpacing/>
              <w:jc w:val="both"/>
              <w:rPr>
                <w:rFonts w:ascii="Calibri" w:hAnsi="Calibri"/>
                <w:b/>
                <w:szCs w:val="22"/>
              </w:rPr>
            </w:pPr>
          </w:p>
        </w:tc>
      </w:tr>
      <w:tr w:rsidR="00C0704D" w:rsidRPr="00D2449B" w14:paraId="617768FF" w14:textId="77777777" w:rsidTr="00D6009B">
        <w:trPr>
          <w:jc w:val="center"/>
        </w:trPr>
        <w:tc>
          <w:tcPr>
            <w:tcW w:w="9467"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4C242850"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056716A0" w:rsidR="00C0704D" w:rsidRDefault="00C0704D" w:rsidP="00EA09F9">
            <w:pPr>
              <w:pStyle w:val="Header"/>
              <w:tabs>
                <w:tab w:val="clear" w:pos="4153"/>
                <w:tab w:val="clear" w:pos="8306"/>
              </w:tabs>
              <w:contextualSpacing/>
              <w:jc w:val="both"/>
              <w:rPr>
                <w:rFonts w:ascii="Calibri" w:hAnsi="Calibri"/>
                <w:b/>
                <w:szCs w:val="22"/>
              </w:rPr>
            </w:pPr>
          </w:p>
          <w:p w14:paraId="1E0F6FBD" w14:textId="4BBA54E0" w:rsidR="00346B2C" w:rsidRDefault="00C52F7D" w:rsidP="00390855">
            <w:pPr>
              <w:pStyle w:val="Header"/>
              <w:tabs>
                <w:tab w:val="clear" w:pos="4153"/>
                <w:tab w:val="clear" w:pos="8306"/>
              </w:tabs>
              <w:contextualSpacing/>
              <w:jc w:val="both"/>
              <w:rPr>
                <w:rFonts w:ascii="Calibri" w:hAnsi="Calibri"/>
                <w:bCs/>
                <w:szCs w:val="22"/>
              </w:rPr>
            </w:pPr>
            <w:r>
              <w:rPr>
                <w:rFonts w:ascii="Calibri" w:hAnsi="Calibri"/>
                <w:bCs/>
                <w:szCs w:val="22"/>
              </w:rPr>
              <w:t xml:space="preserve">The two properties with the potential </w:t>
            </w:r>
            <w:r w:rsidR="00C04D9E">
              <w:rPr>
                <w:rFonts w:ascii="Calibri" w:hAnsi="Calibri"/>
                <w:bCs/>
                <w:szCs w:val="22"/>
              </w:rPr>
              <w:t>to</w:t>
            </w:r>
            <w:r>
              <w:rPr>
                <w:rFonts w:ascii="Calibri" w:hAnsi="Calibri"/>
                <w:bCs/>
                <w:szCs w:val="22"/>
              </w:rPr>
              <w:t xml:space="preserve"> be </w:t>
            </w:r>
            <w:r w:rsidR="00C04D9E">
              <w:rPr>
                <w:rFonts w:ascii="Calibri" w:hAnsi="Calibri"/>
                <w:bCs/>
                <w:szCs w:val="22"/>
              </w:rPr>
              <w:t>most affected</w:t>
            </w:r>
            <w:r w:rsidR="002D2E6E">
              <w:rPr>
                <w:rFonts w:ascii="Calibri" w:hAnsi="Calibri"/>
                <w:bCs/>
                <w:szCs w:val="22"/>
              </w:rPr>
              <w:t xml:space="preserve"> by the proposed extension</w:t>
            </w:r>
            <w:r>
              <w:rPr>
                <w:rFonts w:ascii="Calibri" w:hAnsi="Calibri"/>
                <w:bCs/>
                <w:szCs w:val="22"/>
              </w:rPr>
              <w:t xml:space="preserve"> are</w:t>
            </w:r>
            <w:r w:rsidR="002D2E6E">
              <w:rPr>
                <w:rFonts w:ascii="Calibri" w:hAnsi="Calibri"/>
                <w:bCs/>
                <w:szCs w:val="22"/>
              </w:rPr>
              <w:t xml:space="preserve"> the adjoining Wiswell Moor Farm and Wiswell Moor Barn. The South-Eastern elevation would face Wiswell Moor Barn, as the </w:t>
            </w:r>
            <w:r w:rsidR="003F1935">
              <w:rPr>
                <w:rFonts w:ascii="Calibri" w:hAnsi="Calibri"/>
                <w:bCs/>
                <w:szCs w:val="22"/>
              </w:rPr>
              <w:t>first-floor</w:t>
            </w:r>
            <w:r w:rsidR="002D2E6E">
              <w:rPr>
                <w:rFonts w:ascii="Calibri" w:hAnsi="Calibri"/>
                <w:bCs/>
                <w:szCs w:val="22"/>
              </w:rPr>
              <w:t xml:space="preserve"> element of the proposal is set </w:t>
            </w:r>
            <w:r w:rsidR="00D70B10">
              <w:rPr>
                <w:rFonts w:ascii="Calibri" w:hAnsi="Calibri"/>
                <w:bCs/>
                <w:szCs w:val="22"/>
              </w:rPr>
              <w:t>inwards</w:t>
            </w:r>
            <w:r w:rsidR="002D2E6E">
              <w:rPr>
                <w:rFonts w:ascii="Calibri" w:hAnsi="Calibri"/>
                <w:bCs/>
                <w:szCs w:val="22"/>
              </w:rPr>
              <w:t xml:space="preserve"> </w:t>
            </w:r>
            <w:r w:rsidR="0065707C">
              <w:rPr>
                <w:rFonts w:ascii="Calibri" w:hAnsi="Calibri"/>
                <w:bCs/>
                <w:szCs w:val="22"/>
              </w:rPr>
              <w:t>by approximately 1.39m</w:t>
            </w:r>
            <w:r w:rsidR="002D2E6E">
              <w:rPr>
                <w:rFonts w:ascii="Calibri" w:hAnsi="Calibri"/>
                <w:bCs/>
                <w:szCs w:val="22"/>
              </w:rPr>
              <w:t xml:space="preserve">, and the </w:t>
            </w:r>
            <w:r w:rsidR="00E61B09">
              <w:rPr>
                <w:rFonts w:ascii="Calibri" w:hAnsi="Calibri"/>
                <w:bCs/>
                <w:szCs w:val="22"/>
              </w:rPr>
              <w:t>45-degree</w:t>
            </w:r>
            <w:r w:rsidR="002D2E6E">
              <w:rPr>
                <w:rFonts w:ascii="Calibri" w:hAnsi="Calibri"/>
                <w:bCs/>
                <w:szCs w:val="22"/>
              </w:rPr>
              <w:t xml:space="preserve"> </w:t>
            </w:r>
            <w:r w:rsidR="00362CA4">
              <w:rPr>
                <w:rFonts w:ascii="Calibri" w:hAnsi="Calibri"/>
                <w:bCs/>
                <w:szCs w:val="22"/>
              </w:rPr>
              <w:t xml:space="preserve">angle </w:t>
            </w:r>
            <w:r w:rsidR="002D2E6E">
              <w:rPr>
                <w:rFonts w:ascii="Calibri" w:hAnsi="Calibri"/>
                <w:bCs/>
                <w:szCs w:val="22"/>
              </w:rPr>
              <w:t>criteria is met, the</w:t>
            </w:r>
            <w:r w:rsidR="00F93216">
              <w:rPr>
                <w:rFonts w:ascii="Calibri" w:hAnsi="Calibri"/>
                <w:bCs/>
                <w:szCs w:val="22"/>
              </w:rPr>
              <w:t>re would be no significant loss of light from this side.</w:t>
            </w:r>
          </w:p>
          <w:p w14:paraId="60F9B95C" w14:textId="77777777" w:rsidR="00346B2C" w:rsidRDefault="00346B2C" w:rsidP="00390855">
            <w:pPr>
              <w:pStyle w:val="Header"/>
              <w:tabs>
                <w:tab w:val="clear" w:pos="4153"/>
                <w:tab w:val="clear" w:pos="8306"/>
              </w:tabs>
              <w:contextualSpacing/>
              <w:jc w:val="both"/>
              <w:rPr>
                <w:rFonts w:ascii="Calibri" w:hAnsi="Calibri"/>
                <w:bCs/>
                <w:szCs w:val="22"/>
              </w:rPr>
            </w:pPr>
          </w:p>
          <w:p w14:paraId="37042299" w14:textId="60D4087F" w:rsidR="009C7302" w:rsidRDefault="00E67D07" w:rsidP="00D70B10">
            <w:pPr>
              <w:pStyle w:val="Header"/>
              <w:tabs>
                <w:tab w:val="clear" w:pos="4153"/>
                <w:tab w:val="clear" w:pos="8306"/>
              </w:tabs>
              <w:contextualSpacing/>
              <w:jc w:val="both"/>
              <w:rPr>
                <w:rFonts w:ascii="Calibri" w:hAnsi="Calibri"/>
                <w:bCs/>
                <w:szCs w:val="22"/>
              </w:rPr>
            </w:pPr>
            <w:r>
              <w:rPr>
                <w:rFonts w:ascii="Calibri" w:hAnsi="Calibri"/>
                <w:bCs/>
                <w:szCs w:val="22"/>
              </w:rPr>
              <w:t>Policy DMG1 of the Ribble Valley Core Strategy states that all development must</w:t>
            </w:r>
            <w:r w:rsidR="003F1935">
              <w:rPr>
                <w:rFonts w:ascii="Calibri" w:hAnsi="Calibri"/>
                <w:bCs/>
                <w:szCs w:val="22"/>
              </w:rPr>
              <w:t xml:space="preserve"> </w:t>
            </w:r>
            <w:r>
              <w:rPr>
                <w:rFonts w:ascii="Calibri" w:hAnsi="Calibri"/>
                <w:bCs/>
                <w:i/>
                <w:szCs w:val="22"/>
              </w:rPr>
              <w:t xml:space="preserve">‘not adversely affect the amenities of the surrounding area’. </w:t>
            </w:r>
            <w:r w:rsidR="00A16B6A">
              <w:rPr>
                <w:rFonts w:ascii="Calibri" w:hAnsi="Calibri"/>
                <w:bCs/>
                <w:szCs w:val="22"/>
              </w:rPr>
              <w:t xml:space="preserve">Whilst </w:t>
            </w:r>
            <w:r w:rsidR="00BF68DA">
              <w:rPr>
                <w:rFonts w:ascii="Calibri" w:hAnsi="Calibri"/>
                <w:bCs/>
                <w:szCs w:val="22"/>
              </w:rPr>
              <w:t>it is noted that the proposal forms a smaller footprint tha</w:t>
            </w:r>
            <w:r w:rsidR="00505594">
              <w:rPr>
                <w:rFonts w:ascii="Calibri" w:hAnsi="Calibri"/>
                <w:bCs/>
                <w:szCs w:val="22"/>
              </w:rPr>
              <w:t>n</w:t>
            </w:r>
            <w:r w:rsidR="00BF68DA">
              <w:rPr>
                <w:rFonts w:ascii="Calibri" w:hAnsi="Calibri"/>
                <w:bCs/>
                <w:szCs w:val="22"/>
              </w:rPr>
              <w:t xml:space="preserve"> the existing lean-to extension,</w:t>
            </w:r>
            <w:r w:rsidR="00E914B3">
              <w:rPr>
                <w:rFonts w:ascii="Calibri" w:hAnsi="Calibri"/>
                <w:bCs/>
                <w:szCs w:val="22"/>
              </w:rPr>
              <w:t xml:space="preserve"> t</w:t>
            </w:r>
            <w:r w:rsidR="00A16B6A">
              <w:rPr>
                <w:rFonts w:ascii="Calibri" w:hAnsi="Calibri"/>
                <w:bCs/>
                <w:szCs w:val="22"/>
              </w:rPr>
              <w:t xml:space="preserve">he two-storey nature allows for a far more overbearing position within the rear streetscape. </w:t>
            </w:r>
            <w:r w:rsidR="00A56563">
              <w:rPr>
                <w:rFonts w:ascii="Calibri" w:hAnsi="Calibri"/>
                <w:bCs/>
                <w:szCs w:val="22"/>
              </w:rPr>
              <w:t xml:space="preserve">The North-Western elevation of the proposal faces Wiswell Moor Farm, which is sited opposite Bramble Cottages and its associated out-buildings. </w:t>
            </w:r>
            <w:r w:rsidR="003F1935">
              <w:rPr>
                <w:rFonts w:ascii="Calibri" w:hAnsi="Calibri"/>
                <w:bCs/>
                <w:szCs w:val="22"/>
              </w:rPr>
              <w:t>G</w:t>
            </w:r>
            <w:r w:rsidR="0090422B">
              <w:rPr>
                <w:rFonts w:ascii="Calibri" w:hAnsi="Calibri"/>
                <w:bCs/>
                <w:szCs w:val="22"/>
              </w:rPr>
              <w:t xml:space="preserve">iven that </w:t>
            </w:r>
            <w:r w:rsidR="00246502">
              <w:rPr>
                <w:rFonts w:ascii="Calibri" w:hAnsi="Calibri"/>
                <w:bCs/>
                <w:szCs w:val="22"/>
              </w:rPr>
              <w:t>the rear accessway</w:t>
            </w:r>
            <w:r w:rsidR="003F1935">
              <w:rPr>
                <w:rFonts w:ascii="Calibri" w:hAnsi="Calibri"/>
                <w:bCs/>
                <w:szCs w:val="22"/>
              </w:rPr>
              <w:t xml:space="preserve"> from No.1 The Barn to Wiswell Moor Farm</w:t>
            </w:r>
            <w:r w:rsidR="00246502">
              <w:rPr>
                <w:rFonts w:ascii="Calibri" w:hAnsi="Calibri"/>
                <w:bCs/>
                <w:szCs w:val="22"/>
              </w:rPr>
              <w:t xml:space="preserve"> is narrow and that </w:t>
            </w:r>
            <w:r w:rsidR="0090422B">
              <w:rPr>
                <w:rFonts w:ascii="Calibri" w:hAnsi="Calibri"/>
                <w:bCs/>
                <w:szCs w:val="22"/>
              </w:rPr>
              <w:t>Bramble Cottage</w:t>
            </w:r>
            <w:r w:rsidR="002D2E6E">
              <w:rPr>
                <w:rFonts w:ascii="Calibri" w:hAnsi="Calibri"/>
                <w:bCs/>
                <w:szCs w:val="22"/>
              </w:rPr>
              <w:t>s</w:t>
            </w:r>
            <w:r w:rsidR="0090422B">
              <w:rPr>
                <w:rFonts w:ascii="Calibri" w:hAnsi="Calibri"/>
                <w:bCs/>
                <w:szCs w:val="22"/>
              </w:rPr>
              <w:t xml:space="preserve"> is already close in proximity</w:t>
            </w:r>
            <w:r w:rsidR="00246502">
              <w:rPr>
                <w:rFonts w:ascii="Calibri" w:hAnsi="Calibri"/>
                <w:bCs/>
                <w:szCs w:val="22"/>
              </w:rPr>
              <w:t xml:space="preserve"> to the host dwelling and</w:t>
            </w:r>
            <w:r w:rsidR="00C52F7D">
              <w:rPr>
                <w:rFonts w:ascii="Calibri" w:hAnsi="Calibri"/>
                <w:bCs/>
                <w:szCs w:val="22"/>
              </w:rPr>
              <w:t xml:space="preserve"> </w:t>
            </w:r>
            <w:r w:rsidR="002639B1">
              <w:rPr>
                <w:rFonts w:ascii="Calibri" w:hAnsi="Calibri"/>
                <w:bCs/>
                <w:szCs w:val="22"/>
              </w:rPr>
              <w:t>adjoining</w:t>
            </w:r>
            <w:r w:rsidR="00EE7531">
              <w:rPr>
                <w:rFonts w:ascii="Calibri" w:hAnsi="Calibri"/>
                <w:bCs/>
                <w:szCs w:val="22"/>
              </w:rPr>
              <w:t xml:space="preserve"> properties</w:t>
            </w:r>
            <w:r w:rsidR="0090422B">
              <w:rPr>
                <w:rFonts w:ascii="Calibri" w:hAnsi="Calibri"/>
                <w:bCs/>
                <w:szCs w:val="22"/>
              </w:rPr>
              <w:t>, the proposed two-storey extension would result in a</w:t>
            </w:r>
            <w:r w:rsidR="00F93216">
              <w:rPr>
                <w:rFonts w:ascii="Calibri" w:hAnsi="Calibri"/>
                <w:bCs/>
                <w:szCs w:val="22"/>
              </w:rPr>
              <w:t>n unacceptable</w:t>
            </w:r>
            <w:r w:rsidR="0090422B">
              <w:rPr>
                <w:rFonts w:ascii="Calibri" w:hAnsi="Calibri"/>
                <w:bCs/>
                <w:szCs w:val="22"/>
              </w:rPr>
              <w:t xml:space="preserve"> sense of enclosure </w:t>
            </w:r>
            <w:r w:rsidR="00FD6D76">
              <w:rPr>
                <w:rFonts w:ascii="Calibri" w:hAnsi="Calibri"/>
                <w:bCs/>
                <w:szCs w:val="22"/>
              </w:rPr>
              <w:t>for the occupants of</w:t>
            </w:r>
            <w:r w:rsidR="00D70B10">
              <w:rPr>
                <w:rFonts w:ascii="Calibri" w:hAnsi="Calibri"/>
                <w:bCs/>
                <w:szCs w:val="22"/>
              </w:rPr>
              <w:t xml:space="preserve"> Wiswell Moor Farm. </w:t>
            </w:r>
            <w:r w:rsidR="00E153D8">
              <w:rPr>
                <w:rFonts w:ascii="Calibri" w:hAnsi="Calibri"/>
                <w:bCs/>
                <w:szCs w:val="22"/>
              </w:rPr>
              <w:t xml:space="preserve">As such the proposal </w:t>
            </w:r>
            <w:r w:rsidR="00B00193">
              <w:rPr>
                <w:rFonts w:ascii="Calibri" w:hAnsi="Calibri"/>
                <w:bCs/>
                <w:szCs w:val="22"/>
              </w:rPr>
              <w:t xml:space="preserve">is considered to have an adverse impact on residential amenity. </w:t>
            </w:r>
          </w:p>
          <w:p w14:paraId="0DB485A3" w14:textId="53B738A0" w:rsidR="00D70B10" w:rsidRPr="00C0704D" w:rsidRDefault="00D70B10" w:rsidP="00D70B10">
            <w:pPr>
              <w:pStyle w:val="Header"/>
              <w:tabs>
                <w:tab w:val="clear" w:pos="4153"/>
                <w:tab w:val="clear" w:pos="8306"/>
              </w:tabs>
              <w:contextualSpacing/>
              <w:jc w:val="both"/>
              <w:rPr>
                <w:rFonts w:ascii="Calibri" w:hAnsi="Calibri"/>
                <w:szCs w:val="22"/>
              </w:rPr>
            </w:pPr>
          </w:p>
        </w:tc>
      </w:tr>
      <w:tr w:rsidR="00C0704D" w:rsidRPr="00D2449B" w14:paraId="6754C065" w14:textId="77777777" w:rsidTr="00D6009B">
        <w:trPr>
          <w:jc w:val="center"/>
        </w:trPr>
        <w:tc>
          <w:tcPr>
            <w:tcW w:w="9467"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163BCA">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6C502594" w:rsidR="00C0704D" w:rsidRDefault="00C0704D" w:rsidP="00163BCA">
            <w:pPr>
              <w:pStyle w:val="Header"/>
              <w:tabs>
                <w:tab w:val="clear" w:pos="4153"/>
                <w:tab w:val="clear" w:pos="8306"/>
              </w:tabs>
              <w:contextualSpacing/>
              <w:jc w:val="both"/>
              <w:rPr>
                <w:rFonts w:ascii="Calibri" w:hAnsi="Calibri"/>
                <w:b/>
                <w:szCs w:val="22"/>
              </w:rPr>
            </w:pPr>
          </w:p>
          <w:p w14:paraId="2A81F0C2" w14:textId="2D5B0508" w:rsidR="002F4785" w:rsidRDefault="002F4785" w:rsidP="00163BCA">
            <w:pPr>
              <w:pStyle w:val="Header"/>
              <w:jc w:val="both"/>
              <w:rPr>
                <w:rFonts w:ascii="Calibri" w:hAnsi="Calibri"/>
                <w:bCs/>
                <w:i/>
                <w:iCs/>
                <w:szCs w:val="22"/>
              </w:rPr>
            </w:pPr>
            <w:r>
              <w:rPr>
                <w:rFonts w:ascii="Calibri" w:hAnsi="Calibri"/>
                <w:bCs/>
                <w:szCs w:val="22"/>
              </w:rPr>
              <w:t>With regards to development in the AONB, Key Statement EN2 states that: ‘</w:t>
            </w:r>
            <w:r>
              <w:rPr>
                <w:rFonts w:ascii="Calibri" w:hAnsi="Calibri"/>
                <w:bCs/>
                <w:i/>
                <w:iCs/>
                <w:szCs w:val="22"/>
              </w:rPr>
              <w:t xml:space="preserve">The Council will expect development to be in keeping with the character of the landscape, reflecting local distinctiveness, vernacular style, scale, style features and building </w:t>
            </w:r>
            <w:r w:rsidR="00C563DB">
              <w:rPr>
                <w:rFonts w:ascii="Calibri" w:hAnsi="Calibri"/>
                <w:bCs/>
                <w:i/>
                <w:iCs/>
                <w:szCs w:val="22"/>
              </w:rPr>
              <w:t>materials’</w:t>
            </w:r>
            <w:r>
              <w:rPr>
                <w:rFonts w:ascii="Calibri" w:hAnsi="Calibri"/>
                <w:bCs/>
                <w:i/>
                <w:iCs/>
                <w:szCs w:val="22"/>
              </w:rPr>
              <w:t xml:space="preserve">. </w:t>
            </w:r>
          </w:p>
          <w:p w14:paraId="09E41E29" w14:textId="0F65C27F" w:rsidR="00112B93" w:rsidRDefault="00112B93" w:rsidP="00163BCA">
            <w:pPr>
              <w:pStyle w:val="Header"/>
              <w:jc w:val="both"/>
              <w:rPr>
                <w:rFonts w:ascii="Calibri" w:hAnsi="Calibri"/>
                <w:bCs/>
                <w:i/>
                <w:iCs/>
                <w:szCs w:val="22"/>
              </w:rPr>
            </w:pPr>
          </w:p>
          <w:p w14:paraId="4DE32D12" w14:textId="34CC620D" w:rsidR="00112B93" w:rsidRPr="007A649B" w:rsidRDefault="00112B93" w:rsidP="00163BCA">
            <w:pPr>
              <w:pStyle w:val="Header"/>
              <w:jc w:val="both"/>
              <w:rPr>
                <w:rFonts w:ascii="Calibri" w:hAnsi="Calibri"/>
                <w:bCs/>
                <w:szCs w:val="22"/>
              </w:rPr>
            </w:pPr>
            <w:r>
              <w:rPr>
                <w:rFonts w:ascii="Calibri" w:hAnsi="Calibri"/>
                <w:bCs/>
                <w:szCs w:val="22"/>
              </w:rPr>
              <w:t>Paragraph 130 of the NPPF states:</w:t>
            </w:r>
            <w:r w:rsidR="007A649B">
              <w:rPr>
                <w:rFonts w:ascii="Calibri" w:hAnsi="Calibri"/>
                <w:bCs/>
                <w:szCs w:val="22"/>
              </w:rPr>
              <w:t xml:space="preserve"> </w:t>
            </w:r>
            <w:r>
              <w:rPr>
                <w:rFonts w:ascii="Calibri" w:hAnsi="Calibri"/>
                <w:bCs/>
                <w:i/>
                <w:iCs/>
                <w:szCs w:val="22"/>
              </w:rPr>
              <w:t>‘Planning policies and decisions should ensure that developments are sympathetic to local character and history, including the surrounding built environment and landscape setting’.</w:t>
            </w:r>
          </w:p>
          <w:p w14:paraId="55FE168C" w14:textId="77777777" w:rsidR="002F4785" w:rsidRDefault="002F4785" w:rsidP="00163BCA">
            <w:pPr>
              <w:pStyle w:val="Header"/>
              <w:jc w:val="both"/>
              <w:rPr>
                <w:rFonts w:ascii="Calibri" w:hAnsi="Calibri"/>
                <w:bCs/>
                <w:szCs w:val="22"/>
              </w:rPr>
            </w:pPr>
          </w:p>
          <w:p w14:paraId="5AC2E9CD" w14:textId="26CA7758" w:rsidR="00941382" w:rsidRDefault="002F4785" w:rsidP="00163BCA">
            <w:pPr>
              <w:pStyle w:val="Header"/>
              <w:jc w:val="both"/>
              <w:rPr>
                <w:rFonts w:ascii="Calibri" w:hAnsi="Calibri"/>
                <w:bCs/>
                <w:szCs w:val="22"/>
              </w:rPr>
            </w:pPr>
            <w:r>
              <w:rPr>
                <w:rFonts w:ascii="Calibri" w:hAnsi="Calibri"/>
                <w:bCs/>
                <w:szCs w:val="22"/>
              </w:rPr>
              <w:t xml:space="preserve">The character of the area surrounding the application site is predominantly rural being largely characterised by </w:t>
            </w:r>
            <w:r w:rsidR="00164BD9">
              <w:rPr>
                <w:rFonts w:ascii="Calibri" w:hAnsi="Calibri"/>
                <w:bCs/>
                <w:szCs w:val="22"/>
              </w:rPr>
              <w:t>stone-built</w:t>
            </w:r>
            <w:r w:rsidR="00112B93">
              <w:rPr>
                <w:rFonts w:ascii="Calibri" w:hAnsi="Calibri"/>
                <w:bCs/>
                <w:szCs w:val="22"/>
              </w:rPr>
              <w:t xml:space="preserve"> </w:t>
            </w:r>
            <w:r>
              <w:rPr>
                <w:rFonts w:ascii="Calibri" w:hAnsi="Calibri"/>
                <w:bCs/>
                <w:szCs w:val="22"/>
              </w:rPr>
              <w:t xml:space="preserve">dwellings with slate roof profiles. </w:t>
            </w:r>
            <w:r w:rsidR="00D6009B" w:rsidRPr="00D6009B">
              <w:rPr>
                <w:rFonts w:ascii="Calibri" w:hAnsi="Calibri"/>
                <w:bCs/>
                <w:szCs w:val="22"/>
              </w:rPr>
              <w:t xml:space="preserve">The proposed rear extension is to </w:t>
            </w:r>
            <w:r w:rsidR="00D6009B">
              <w:rPr>
                <w:rFonts w:ascii="Calibri" w:hAnsi="Calibri"/>
                <w:bCs/>
                <w:szCs w:val="22"/>
              </w:rPr>
              <w:t>consist of Natural Stonework and Vertical Cedar Cladding to the exterior. Whilst the natural stonework would be in keeping with the surrounding properties, the</w:t>
            </w:r>
            <w:r w:rsidR="001A206D">
              <w:rPr>
                <w:rFonts w:ascii="Calibri" w:hAnsi="Calibri"/>
                <w:bCs/>
                <w:szCs w:val="22"/>
              </w:rPr>
              <w:t xml:space="preserve"> proposed</w:t>
            </w:r>
            <w:r w:rsidR="00D6009B">
              <w:rPr>
                <w:rFonts w:ascii="Calibri" w:hAnsi="Calibri"/>
                <w:bCs/>
                <w:szCs w:val="22"/>
              </w:rPr>
              <w:t xml:space="preserve"> cedar cladding would </w:t>
            </w:r>
            <w:r w:rsidR="000753BB">
              <w:rPr>
                <w:rFonts w:ascii="Calibri" w:hAnsi="Calibri"/>
                <w:bCs/>
                <w:szCs w:val="22"/>
              </w:rPr>
              <w:t>appear</w:t>
            </w:r>
            <w:r w:rsidR="00C04D9E">
              <w:rPr>
                <w:rFonts w:ascii="Calibri" w:hAnsi="Calibri"/>
                <w:bCs/>
                <w:szCs w:val="22"/>
              </w:rPr>
              <w:t xml:space="preserve"> out of character</w:t>
            </w:r>
            <w:r w:rsidR="000753BB">
              <w:rPr>
                <w:rFonts w:ascii="Calibri" w:hAnsi="Calibri"/>
                <w:bCs/>
                <w:szCs w:val="22"/>
              </w:rPr>
              <w:t xml:space="preserve"> and as such</w:t>
            </w:r>
            <w:r w:rsidR="00D6009B">
              <w:rPr>
                <w:rFonts w:ascii="Calibri" w:hAnsi="Calibri"/>
                <w:bCs/>
                <w:szCs w:val="22"/>
              </w:rPr>
              <w:t xml:space="preserve"> </w:t>
            </w:r>
            <w:r w:rsidR="00D6009B">
              <w:rPr>
                <w:rFonts w:ascii="Calibri" w:hAnsi="Calibri"/>
                <w:bCs/>
                <w:szCs w:val="22"/>
              </w:rPr>
              <w:lastRenderedPageBreak/>
              <w:t>unsympathetic</w:t>
            </w:r>
            <w:r w:rsidR="00667360">
              <w:rPr>
                <w:rFonts w:ascii="Calibri" w:hAnsi="Calibri"/>
                <w:bCs/>
                <w:szCs w:val="22"/>
              </w:rPr>
              <w:t xml:space="preserve"> in </w:t>
            </w:r>
            <w:r w:rsidR="009F7651">
              <w:rPr>
                <w:rFonts w:ascii="Calibri" w:hAnsi="Calibri"/>
                <w:bCs/>
                <w:szCs w:val="22"/>
              </w:rPr>
              <w:t>the</w:t>
            </w:r>
            <w:r w:rsidR="00667360">
              <w:rPr>
                <w:rFonts w:ascii="Calibri" w:hAnsi="Calibri"/>
                <w:bCs/>
                <w:szCs w:val="22"/>
              </w:rPr>
              <w:t xml:space="preserve"> Area of Outstanding Natural Beauty</w:t>
            </w:r>
            <w:r w:rsidR="00D6009B">
              <w:rPr>
                <w:rFonts w:ascii="Calibri" w:hAnsi="Calibri"/>
                <w:bCs/>
                <w:szCs w:val="22"/>
              </w:rPr>
              <w:t xml:space="preserve">. </w:t>
            </w:r>
            <w:r w:rsidR="00454118">
              <w:rPr>
                <w:rFonts w:ascii="Calibri" w:hAnsi="Calibri"/>
                <w:bCs/>
                <w:szCs w:val="22"/>
              </w:rPr>
              <w:t>The proposal is to project, 2.93m rearwards</w:t>
            </w:r>
            <w:r w:rsidR="00112B93">
              <w:rPr>
                <w:rFonts w:ascii="Calibri" w:hAnsi="Calibri"/>
                <w:bCs/>
                <w:szCs w:val="22"/>
              </w:rPr>
              <w:t xml:space="preserve">, will extend </w:t>
            </w:r>
            <w:r w:rsidR="007A649B">
              <w:rPr>
                <w:rFonts w:ascii="Calibri" w:hAnsi="Calibri"/>
                <w:bCs/>
                <w:szCs w:val="22"/>
              </w:rPr>
              <w:t>a</w:t>
            </w:r>
            <w:r w:rsidR="00112B93">
              <w:rPr>
                <w:rFonts w:ascii="Calibri" w:hAnsi="Calibri"/>
                <w:bCs/>
                <w:szCs w:val="22"/>
              </w:rPr>
              <w:t xml:space="preserve"> width of 5.53m</w:t>
            </w:r>
            <w:r w:rsidR="00454118">
              <w:rPr>
                <w:rFonts w:ascii="Calibri" w:hAnsi="Calibri"/>
                <w:bCs/>
                <w:szCs w:val="22"/>
              </w:rPr>
              <w:t xml:space="preserve"> and will have a maximum height of 5.23m almost matching the hight of the existing roof</w:t>
            </w:r>
            <w:r w:rsidR="003F1935">
              <w:rPr>
                <w:rFonts w:ascii="Calibri" w:hAnsi="Calibri"/>
                <w:bCs/>
                <w:szCs w:val="22"/>
              </w:rPr>
              <w:t xml:space="preserve"> pitch</w:t>
            </w:r>
            <w:r w:rsidR="00454118">
              <w:rPr>
                <w:rFonts w:ascii="Calibri" w:hAnsi="Calibri"/>
                <w:bCs/>
                <w:szCs w:val="22"/>
              </w:rPr>
              <w:t>.</w:t>
            </w:r>
            <w:r w:rsidR="00F93216">
              <w:rPr>
                <w:rFonts w:ascii="Calibri" w:hAnsi="Calibri"/>
                <w:bCs/>
                <w:szCs w:val="22"/>
              </w:rPr>
              <w:t xml:space="preserve"> As a result,</w:t>
            </w:r>
            <w:r w:rsidR="00454118">
              <w:rPr>
                <w:rFonts w:ascii="Calibri" w:hAnsi="Calibri"/>
                <w:bCs/>
                <w:szCs w:val="22"/>
              </w:rPr>
              <w:t xml:space="preserve"> </w:t>
            </w:r>
            <w:r w:rsidR="00F93216">
              <w:rPr>
                <w:rFonts w:ascii="Calibri" w:hAnsi="Calibri"/>
                <w:bCs/>
                <w:szCs w:val="22"/>
              </w:rPr>
              <w:t>g</w:t>
            </w:r>
            <w:r w:rsidR="001A206D">
              <w:rPr>
                <w:rFonts w:ascii="Calibri" w:hAnsi="Calibri"/>
                <w:bCs/>
                <w:szCs w:val="22"/>
              </w:rPr>
              <w:t>iven its scale, t</w:t>
            </w:r>
            <w:r w:rsidR="000753BB">
              <w:rPr>
                <w:rFonts w:ascii="Calibri" w:hAnsi="Calibri"/>
                <w:bCs/>
                <w:szCs w:val="22"/>
              </w:rPr>
              <w:t>he proposed extension would appear</w:t>
            </w:r>
            <w:r w:rsidR="00C52F7D">
              <w:rPr>
                <w:rFonts w:ascii="Calibri" w:hAnsi="Calibri"/>
                <w:bCs/>
                <w:szCs w:val="22"/>
              </w:rPr>
              <w:t xml:space="preserve"> over</w:t>
            </w:r>
            <w:r w:rsidR="000753BB">
              <w:rPr>
                <w:rFonts w:ascii="Calibri" w:hAnsi="Calibri"/>
                <w:bCs/>
                <w:szCs w:val="22"/>
              </w:rPr>
              <w:t xml:space="preserve"> dominant in relation to the host dwelling and the properties in the immediate vicinity</w:t>
            </w:r>
            <w:r w:rsidR="00390855">
              <w:rPr>
                <w:rFonts w:ascii="Calibri" w:hAnsi="Calibri"/>
                <w:bCs/>
                <w:szCs w:val="22"/>
              </w:rPr>
              <w:t xml:space="preserve">. </w:t>
            </w:r>
            <w:r w:rsidR="009F7651">
              <w:rPr>
                <w:rFonts w:ascii="Calibri" w:hAnsi="Calibri"/>
                <w:bCs/>
                <w:szCs w:val="22"/>
              </w:rPr>
              <w:t xml:space="preserve">The proposed glazed openings are also disproportionate </w:t>
            </w:r>
            <w:r w:rsidR="00855E83">
              <w:rPr>
                <w:rFonts w:ascii="Calibri" w:hAnsi="Calibri"/>
                <w:bCs/>
                <w:szCs w:val="22"/>
              </w:rPr>
              <w:t>and not coherent with the</w:t>
            </w:r>
            <w:r w:rsidR="009F7651">
              <w:rPr>
                <w:rFonts w:ascii="Calibri" w:hAnsi="Calibri"/>
                <w:bCs/>
                <w:szCs w:val="22"/>
              </w:rPr>
              <w:t xml:space="preserve"> existing windows on the host dwelling and neighbouring dwellings. </w:t>
            </w:r>
            <w:r w:rsidR="00390855">
              <w:rPr>
                <w:rFonts w:ascii="Calibri" w:hAnsi="Calibri"/>
                <w:bCs/>
                <w:szCs w:val="22"/>
              </w:rPr>
              <w:t xml:space="preserve">The </w:t>
            </w:r>
            <w:r w:rsidR="0097146A">
              <w:rPr>
                <w:rFonts w:ascii="Calibri" w:hAnsi="Calibri"/>
                <w:bCs/>
                <w:szCs w:val="22"/>
              </w:rPr>
              <w:t>roof pitch</w:t>
            </w:r>
            <w:r w:rsidR="00390855">
              <w:rPr>
                <w:rFonts w:ascii="Calibri" w:hAnsi="Calibri"/>
                <w:bCs/>
                <w:szCs w:val="22"/>
              </w:rPr>
              <w:t xml:space="preserve"> </w:t>
            </w:r>
            <w:r w:rsidR="00246502">
              <w:rPr>
                <w:rFonts w:ascii="Calibri" w:hAnsi="Calibri"/>
                <w:bCs/>
                <w:szCs w:val="22"/>
              </w:rPr>
              <w:t>of the proposed extension</w:t>
            </w:r>
            <w:r w:rsidR="005204FC">
              <w:rPr>
                <w:rFonts w:ascii="Calibri" w:hAnsi="Calibri"/>
                <w:bCs/>
                <w:szCs w:val="22"/>
              </w:rPr>
              <w:t xml:space="preserve"> features a reverse gable which</w:t>
            </w:r>
            <w:r w:rsidR="00246502">
              <w:rPr>
                <w:rFonts w:ascii="Calibri" w:hAnsi="Calibri"/>
                <w:bCs/>
                <w:szCs w:val="22"/>
              </w:rPr>
              <w:t xml:space="preserve"> </w:t>
            </w:r>
            <w:r w:rsidR="00390855">
              <w:rPr>
                <w:rFonts w:ascii="Calibri" w:hAnsi="Calibri"/>
                <w:bCs/>
                <w:szCs w:val="22"/>
              </w:rPr>
              <w:t xml:space="preserve">is out of character for the area given that the existing roofscape is uniform, forming </w:t>
            </w:r>
            <w:r w:rsidR="001A206D">
              <w:rPr>
                <w:rFonts w:ascii="Calibri" w:hAnsi="Calibri"/>
                <w:bCs/>
                <w:szCs w:val="22"/>
              </w:rPr>
              <w:t>conventional</w:t>
            </w:r>
            <w:r w:rsidR="00390855">
              <w:rPr>
                <w:rFonts w:ascii="Calibri" w:hAnsi="Calibri"/>
                <w:bCs/>
                <w:szCs w:val="22"/>
              </w:rPr>
              <w:t xml:space="preserve"> </w:t>
            </w:r>
            <w:r w:rsidR="001A206D">
              <w:rPr>
                <w:rFonts w:ascii="Calibri" w:hAnsi="Calibri"/>
                <w:bCs/>
                <w:szCs w:val="22"/>
              </w:rPr>
              <w:t xml:space="preserve">roof </w:t>
            </w:r>
            <w:r w:rsidR="00390855">
              <w:rPr>
                <w:rFonts w:ascii="Calibri" w:hAnsi="Calibri"/>
                <w:bCs/>
                <w:szCs w:val="22"/>
              </w:rPr>
              <w:t>slopes</w:t>
            </w:r>
            <w:r w:rsidR="00941382">
              <w:rPr>
                <w:rFonts w:ascii="Calibri" w:hAnsi="Calibri"/>
                <w:bCs/>
                <w:szCs w:val="22"/>
              </w:rPr>
              <w:t xml:space="preserve">. </w:t>
            </w:r>
            <w:r w:rsidR="00E153D8">
              <w:rPr>
                <w:rFonts w:ascii="Calibri" w:hAnsi="Calibri"/>
                <w:bCs/>
                <w:szCs w:val="22"/>
              </w:rPr>
              <w:t>I</w:t>
            </w:r>
            <w:r w:rsidR="00941382">
              <w:rPr>
                <w:rFonts w:ascii="Calibri" w:hAnsi="Calibri"/>
                <w:bCs/>
                <w:szCs w:val="22"/>
              </w:rPr>
              <w:t xml:space="preserve">t is </w:t>
            </w:r>
            <w:r w:rsidR="00E153D8">
              <w:rPr>
                <w:rFonts w:ascii="Calibri" w:hAnsi="Calibri"/>
                <w:bCs/>
                <w:szCs w:val="22"/>
              </w:rPr>
              <w:t xml:space="preserve">therefore </w:t>
            </w:r>
            <w:r w:rsidR="00941382">
              <w:rPr>
                <w:rFonts w:ascii="Calibri" w:hAnsi="Calibri"/>
                <w:bCs/>
                <w:szCs w:val="22"/>
              </w:rPr>
              <w:t>considered that the proposed extension would fail to reflect the local distinctiveness of the area in terms of its use of materials, scale and design which in turn would be contrary to the aims and objectives of Key Statement EN2.</w:t>
            </w:r>
          </w:p>
          <w:p w14:paraId="10A3648A" w14:textId="1A06EA98" w:rsidR="00390855" w:rsidRDefault="00390855" w:rsidP="00163BCA">
            <w:pPr>
              <w:pStyle w:val="Header"/>
              <w:tabs>
                <w:tab w:val="clear" w:pos="4153"/>
                <w:tab w:val="clear" w:pos="8306"/>
              </w:tabs>
              <w:contextualSpacing/>
              <w:jc w:val="both"/>
              <w:rPr>
                <w:rFonts w:ascii="Calibri" w:hAnsi="Calibri"/>
                <w:b/>
                <w:szCs w:val="22"/>
              </w:rPr>
            </w:pPr>
          </w:p>
        </w:tc>
      </w:tr>
      <w:tr w:rsidR="00824DB6" w:rsidRPr="00D2449B" w14:paraId="673C0DDB" w14:textId="77777777" w:rsidTr="00D6009B">
        <w:trPr>
          <w:jc w:val="center"/>
        </w:trPr>
        <w:tc>
          <w:tcPr>
            <w:tcW w:w="9467"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163BCA">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A005BED" w14:textId="22D4DB9A" w:rsidR="00824DB6" w:rsidRDefault="00824DB6" w:rsidP="00163BCA">
            <w:pPr>
              <w:pStyle w:val="Header"/>
              <w:tabs>
                <w:tab w:val="clear" w:pos="4153"/>
                <w:tab w:val="clear" w:pos="8306"/>
              </w:tabs>
              <w:contextualSpacing/>
              <w:jc w:val="both"/>
              <w:rPr>
                <w:rFonts w:ascii="Calibri" w:hAnsi="Calibri"/>
                <w:b/>
                <w:szCs w:val="22"/>
              </w:rPr>
            </w:pPr>
          </w:p>
          <w:p w14:paraId="5AF97058" w14:textId="394794DE" w:rsidR="00D5586D" w:rsidRPr="00F51EDE" w:rsidRDefault="00D5586D" w:rsidP="00163BCA">
            <w:pPr>
              <w:pStyle w:val="Header"/>
              <w:tabs>
                <w:tab w:val="clear" w:pos="4153"/>
                <w:tab w:val="clear" w:pos="8306"/>
              </w:tabs>
              <w:contextualSpacing/>
              <w:jc w:val="both"/>
              <w:rPr>
                <w:rFonts w:asciiTheme="minorHAnsi" w:hAnsiTheme="minorHAnsi" w:cstheme="minorHAnsi"/>
                <w:bCs/>
                <w:szCs w:val="22"/>
              </w:rPr>
            </w:pPr>
            <w:r w:rsidRPr="00D5586D">
              <w:rPr>
                <w:rFonts w:ascii="Calibri" w:hAnsi="Calibri"/>
                <w:bCs/>
                <w:szCs w:val="22"/>
              </w:rPr>
              <w:t>LCC Highways</w:t>
            </w:r>
            <w:r w:rsidR="00D6009B">
              <w:rPr>
                <w:rFonts w:ascii="Calibri" w:hAnsi="Calibri"/>
                <w:bCs/>
                <w:szCs w:val="22"/>
              </w:rPr>
              <w:t xml:space="preserve"> have been consulted and raise no objection</w:t>
            </w:r>
            <w:r w:rsidR="008100B0">
              <w:rPr>
                <w:rFonts w:ascii="Calibri" w:hAnsi="Calibri"/>
                <w:bCs/>
                <w:szCs w:val="22"/>
              </w:rPr>
              <w:t xml:space="preserve">. </w:t>
            </w:r>
            <w:r w:rsidR="00F51EDE">
              <w:rPr>
                <w:rFonts w:ascii="Calibri" w:hAnsi="Calibri"/>
                <w:bCs/>
                <w:szCs w:val="22"/>
              </w:rPr>
              <w:t>However, they have issued an informative note stating that ‘</w:t>
            </w:r>
            <w:r w:rsidR="00F51EDE" w:rsidRPr="00F51EDE">
              <w:rPr>
                <w:rFonts w:ascii="Calibri" w:hAnsi="Calibri"/>
                <w:bCs/>
                <w:i/>
                <w:iCs/>
              </w:rPr>
              <w:t>t</w:t>
            </w:r>
            <w:r w:rsidR="00F51EDE" w:rsidRPr="00F51EDE">
              <w:rPr>
                <w:rFonts w:asciiTheme="minorHAnsi" w:hAnsiTheme="minorHAnsi" w:cstheme="minorHAnsi"/>
                <w:i/>
                <w:iCs/>
              </w:rPr>
              <w:t>he grant of planning permission does not entitle a developer to obstruct a right of way and any proposed temporary or permanent stopping-up or diversion of a right of way should be the subject of an Order under the appropriate Act. The applicant should be advised to contact Lancashire County Council's Public Rights of Way section by email on PROW@lancashire.gov.uk, quoting the location, district and planning application number, to discuss their proposal before any development works begin’</w:t>
            </w:r>
            <w:r w:rsidR="00F51EDE" w:rsidRPr="00F51EDE">
              <w:rPr>
                <w:rFonts w:asciiTheme="minorHAnsi" w:hAnsiTheme="minorHAnsi" w:cstheme="minorHAnsi"/>
              </w:rPr>
              <w:t>.</w:t>
            </w:r>
          </w:p>
          <w:p w14:paraId="337694ED" w14:textId="04BBF706" w:rsidR="00824DB6" w:rsidRDefault="00824DB6" w:rsidP="00163BCA">
            <w:pPr>
              <w:pStyle w:val="Header"/>
              <w:tabs>
                <w:tab w:val="clear" w:pos="4153"/>
                <w:tab w:val="clear" w:pos="8306"/>
              </w:tabs>
              <w:contextualSpacing/>
              <w:jc w:val="both"/>
              <w:rPr>
                <w:rFonts w:ascii="Calibri" w:hAnsi="Calibri"/>
                <w:b/>
                <w:szCs w:val="22"/>
              </w:rPr>
            </w:pPr>
          </w:p>
        </w:tc>
      </w:tr>
      <w:tr w:rsidR="00C0704D" w:rsidRPr="00D2449B" w14:paraId="6D877C31" w14:textId="77777777" w:rsidTr="00D6009B">
        <w:trPr>
          <w:jc w:val="center"/>
        </w:trPr>
        <w:tc>
          <w:tcPr>
            <w:tcW w:w="9467"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163BCA">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20F6C8EB" w:rsidR="00C0704D" w:rsidRDefault="00C0704D" w:rsidP="00163BCA">
            <w:pPr>
              <w:pStyle w:val="Header"/>
              <w:tabs>
                <w:tab w:val="clear" w:pos="4153"/>
                <w:tab w:val="clear" w:pos="8306"/>
              </w:tabs>
              <w:contextualSpacing/>
              <w:jc w:val="both"/>
              <w:rPr>
                <w:rFonts w:ascii="Calibri" w:hAnsi="Calibri"/>
                <w:b/>
                <w:szCs w:val="22"/>
              </w:rPr>
            </w:pPr>
          </w:p>
          <w:p w14:paraId="36869D30" w14:textId="43A19993" w:rsidR="007B526F" w:rsidRDefault="007B526F" w:rsidP="00163BCA">
            <w:pPr>
              <w:pStyle w:val="Header"/>
              <w:tabs>
                <w:tab w:val="clear" w:pos="4153"/>
                <w:tab w:val="clear" w:pos="8306"/>
              </w:tabs>
              <w:contextualSpacing/>
              <w:jc w:val="both"/>
              <w:rPr>
                <w:rFonts w:ascii="Calibri" w:hAnsi="Calibri"/>
                <w:bCs/>
                <w:szCs w:val="22"/>
              </w:rPr>
            </w:pPr>
            <w:r w:rsidRPr="007B526F">
              <w:rPr>
                <w:rFonts w:ascii="Calibri" w:hAnsi="Calibri"/>
                <w:bCs/>
                <w:szCs w:val="22"/>
              </w:rPr>
              <w:t xml:space="preserve">A scoping survey was conducted </w:t>
            </w:r>
            <w:r>
              <w:rPr>
                <w:rFonts w:ascii="Calibri" w:hAnsi="Calibri"/>
                <w:bCs/>
                <w:szCs w:val="22"/>
              </w:rPr>
              <w:t xml:space="preserve">on 03/12/2022 at 1pm and concluded that there was </w:t>
            </w:r>
            <w:r>
              <w:rPr>
                <w:rFonts w:ascii="Calibri" w:hAnsi="Calibri"/>
                <w:bCs/>
                <w:i/>
                <w:iCs/>
                <w:szCs w:val="22"/>
              </w:rPr>
              <w:t xml:space="preserve">a </w:t>
            </w:r>
            <w:r w:rsidR="002639B1">
              <w:rPr>
                <w:rFonts w:ascii="Calibri" w:hAnsi="Calibri"/>
                <w:bCs/>
                <w:i/>
                <w:iCs/>
                <w:szCs w:val="22"/>
              </w:rPr>
              <w:t>‘</w:t>
            </w:r>
            <w:r>
              <w:rPr>
                <w:rFonts w:ascii="Calibri" w:hAnsi="Calibri"/>
                <w:bCs/>
                <w:i/>
                <w:iCs/>
                <w:szCs w:val="22"/>
              </w:rPr>
              <w:t>lack of evidence and potential access points at this property</w:t>
            </w:r>
            <w:r w:rsidR="002639B1">
              <w:rPr>
                <w:rFonts w:ascii="Calibri" w:hAnsi="Calibri"/>
                <w:bCs/>
                <w:i/>
                <w:iCs/>
                <w:szCs w:val="22"/>
              </w:rPr>
              <w:t>’</w:t>
            </w:r>
            <w:r w:rsidRPr="00B87327">
              <w:rPr>
                <w:rFonts w:ascii="Calibri" w:hAnsi="Calibri"/>
                <w:bCs/>
                <w:szCs w:val="22"/>
              </w:rPr>
              <w:t xml:space="preserve">. </w:t>
            </w:r>
            <w:r w:rsidR="00B87327" w:rsidRPr="00B87327">
              <w:rPr>
                <w:rFonts w:ascii="Calibri" w:hAnsi="Calibri"/>
                <w:bCs/>
                <w:szCs w:val="22"/>
              </w:rPr>
              <w:t>It was suggested that t</w:t>
            </w:r>
            <w:r w:rsidRPr="00B87327">
              <w:rPr>
                <w:rFonts w:ascii="Calibri" w:hAnsi="Calibri"/>
                <w:bCs/>
                <w:szCs w:val="22"/>
              </w:rPr>
              <w:t>his paired with the</w:t>
            </w:r>
            <w:r>
              <w:rPr>
                <w:rFonts w:ascii="Calibri" w:hAnsi="Calibri"/>
                <w:bCs/>
                <w:szCs w:val="22"/>
              </w:rPr>
              <w:t xml:space="preserve"> fact </w:t>
            </w:r>
            <w:r w:rsidR="002639B1">
              <w:rPr>
                <w:rFonts w:ascii="Calibri" w:hAnsi="Calibri"/>
                <w:bCs/>
                <w:szCs w:val="22"/>
              </w:rPr>
              <w:t>‘</w:t>
            </w:r>
            <w:r w:rsidR="00A0051D">
              <w:rPr>
                <w:rFonts w:ascii="Calibri" w:hAnsi="Calibri"/>
                <w:bCs/>
                <w:i/>
                <w:iCs/>
                <w:szCs w:val="22"/>
              </w:rPr>
              <w:t xml:space="preserve">recent remedial roof work </w:t>
            </w:r>
            <w:r w:rsidR="00A0051D" w:rsidRPr="00A0051D">
              <w:rPr>
                <w:rFonts w:ascii="Calibri" w:hAnsi="Calibri"/>
                <w:bCs/>
                <w:szCs w:val="22"/>
              </w:rPr>
              <w:t>failed</w:t>
            </w:r>
            <w:r w:rsidR="00A0051D">
              <w:rPr>
                <w:rFonts w:ascii="Calibri" w:hAnsi="Calibri"/>
                <w:bCs/>
                <w:i/>
                <w:iCs/>
                <w:szCs w:val="22"/>
              </w:rPr>
              <w:t xml:space="preserve"> to find any evidence of bat presence indicates that the extension will not impact adversely on any local bat </w:t>
            </w:r>
            <w:r w:rsidR="00BC768F">
              <w:rPr>
                <w:rFonts w:ascii="Calibri" w:hAnsi="Calibri"/>
                <w:bCs/>
                <w:i/>
                <w:iCs/>
                <w:szCs w:val="22"/>
              </w:rPr>
              <w:t>population,</w:t>
            </w:r>
            <w:r w:rsidR="00A0051D">
              <w:rPr>
                <w:rFonts w:ascii="Calibri" w:hAnsi="Calibri"/>
                <w:bCs/>
                <w:i/>
                <w:iCs/>
                <w:szCs w:val="22"/>
              </w:rPr>
              <w:t xml:space="preserve"> nor it is likely any bats will be uncovered or disturbed during the tile removal</w:t>
            </w:r>
            <w:r w:rsidR="002639B1">
              <w:rPr>
                <w:rFonts w:ascii="Calibri" w:hAnsi="Calibri"/>
                <w:bCs/>
                <w:i/>
                <w:iCs/>
                <w:szCs w:val="22"/>
              </w:rPr>
              <w:t>’</w:t>
            </w:r>
            <w:r w:rsidR="00A0051D">
              <w:rPr>
                <w:rFonts w:ascii="Calibri" w:hAnsi="Calibri"/>
                <w:bCs/>
                <w:i/>
                <w:iCs/>
                <w:szCs w:val="22"/>
              </w:rPr>
              <w:t xml:space="preserve">. </w:t>
            </w:r>
            <w:r w:rsidR="00A0051D">
              <w:rPr>
                <w:rFonts w:ascii="Calibri" w:hAnsi="Calibri"/>
                <w:bCs/>
                <w:szCs w:val="22"/>
              </w:rPr>
              <w:t xml:space="preserve">As a result, it was therefore concluded that </w:t>
            </w:r>
            <w:r w:rsidR="00896C0B">
              <w:rPr>
                <w:rFonts w:ascii="Calibri" w:hAnsi="Calibri"/>
                <w:bCs/>
                <w:szCs w:val="22"/>
              </w:rPr>
              <w:t xml:space="preserve">any </w:t>
            </w:r>
            <w:r w:rsidR="00A0051D">
              <w:rPr>
                <w:rFonts w:ascii="Calibri" w:hAnsi="Calibri"/>
                <w:bCs/>
                <w:szCs w:val="22"/>
              </w:rPr>
              <w:t>further emergence survey</w:t>
            </w:r>
            <w:r w:rsidR="00B00193">
              <w:rPr>
                <w:rFonts w:ascii="Calibri" w:hAnsi="Calibri"/>
                <w:bCs/>
                <w:szCs w:val="22"/>
              </w:rPr>
              <w:t xml:space="preserve">s </w:t>
            </w:r>
            <w:r w:rsidR="00505594">
              <w:rPr>
                <w:rFonts w:ascii="Calibri" w:hAnsi="Calibri"/>
                <w:bCs/>
                <w:szCs w:val="22"/>
              </w:rPr>
              <w:t>are</w:t>
            </w:r>
            <w:r w:rsidR="00B00193">
              <w:rPr>
                <w:rFonts w:ascii="Calibri" w:hAnsi="Calibri"/>
                <w:bCs/>
                <w:szCs w:val="22"/>
              </w:rPr>
              <w:t xml:space="preserve"> </w:t>
            </w:r>
            <w:r w:rsidR="00A0051D">
              <w:rPr>
                <w:rFonts w:ascii="Calibri" w:hAnsi="Calibri"/>
                <w:bCs/>
                <w:szCs w:val="22"/>
              </w:rPr>
              <w:t xml:space="preserve">not considered necessary and there is no need </w:t>
            </w:r>
            <w:r w:rsidR="00997A05">
              <w:rPr>
                <w:rFonts w:ascii="Calibri" w:hAnsi="Calibri"/>
                <w:bCs/>
                <w:szCs w:val="22"/>
              </w:rPr>
              <w:t>for a mitigation scheme</w:t>
            </w:r>
            <w:r w:rsidR="00A0051D">
              <w:rPr>
                <w:rFonts w:ascii="Calibri" w:hAnsi="Calibri"/>
                <w:bCs/>
                <w:szCs w:val="22"/>
              </w:rPr>
              <w:t xml:space="preserve">. </w:t>
            </w:r>
            <w:r w:rsidR="00F93216">
              <w:rPr>
                <w:rFonts w:ascii="Calibri" w:hAnsi="Calibri"/>
                <w:bCs/>
                <w:szCs w:val="22"/>
              </w:rPr>
              <w:t>However</w:t>
            </w:r>
            <w:r w:rsidR="00A0051D">
              <w:rPr>
                <w:rFonts w:ascii="Calibri" w:hAnsi="Calibri"/>
                <w:bCs/>
                <w:szCs w:val="22"/>
              </w:rPr>
              <w:t xml:space="preserve">, it was suggested </w:t>
            </w:r>
            <w:r w:rsidR="00896C0B">
              <w:rPr>
                <w:rFonts w:ascii="Calibri" w:hAnsi="Calibri"/>
                <w:bCs/>
                <w:szCs w:val="22"/>
              </w:rPr>
              <w:t xml:space="preserve">that </w:t>
            </w:r>
            <w:r w:rsidR="00A0051D">
              <w:rPr>
                <w:rFonts w:ascii="Calibri" w:hAnsi="Calibri"/>
                <w:bCs/>
                <w:szCs w:val="22"/>
              </w:rPr>
              <w:t xml:space="preserve">the habitat enhancement outlined in the survey be incorporated to boost roost potential in the locality. </w:t>
            </w:r>
          </w:p>
          <w:p w14:paraId="281B5488" w14:textId="0F5A70EC" w:rsidR="0061052C" w:rsidRDefault="0061052C" w:rsidP="00163BCA">
            <w:pPr>
              <w:pStyle w:val="Header"/>
              <w:tabs>
                <w:tab w:val="clear" w:pos="4153"/>
                <w:tab w:val="clear" w:pos="8306"/>
              </w:tabs>
              <w:contextualSpacing/>
              <w:jc w:val="both"/>
              <w:rPr>
                <w:rFonts w:asciiTheme="minorHAnsi" w:hAnsiTheme="minorHAnsi" w:cstheme="minorHAnsi"/>
                <w:bCs/>
                <w:szCs w:val="22"/>
              </w:rPr>
            </w:pPr>
          </w:p>
          <w:p w14:paraId="1BAAC8C8" w14:textId="5C12D623" w:rsidR="00A81541" w:rsidRDefault="00A81541" w:rsidP="00163BCA">
            <w:pPr>
              <w:pStyle w:val="Header"/>
              <w:tabs>
                <w:tab w:val="clear" w:pos="4153"/>
                <w:tab w:val="clear" w:pos="8306"/>
              </w:tabs>
              <w:contextualSpacing/>
              <w:jc w:val="both"/>
              <w:rPr>
                <w:rFonts w:asciiTheme="minorHAnsi" w:hAnsiTheme="minorHAnsi" w:cstheme="minorHAnsi"/>
                <w:bCs/>
                <w:szCs w:val="22"/>
              </w:rPr>
            </w:pPr>
            <w:r>
              <w:rPr>
                <w:rFonts w:ascii="Calibri" w:hAnsi="Calibri"/>
                <w:bCs/>
                <w:szCs w:val="22"/>
              </w:rPr>
              <w:t>In accordance with policy DME3 development proposals that are likely to adversely affect protected species will not be granted planning permission.</w:t>
            </w:r>
          </w:p>
          <w:p w14:paraId="569CE53A" w14:textId="77777777" w:rsidR="00A81541" w:rsidRPr="00F20083" w:rsidRDefault="00A81541" w:rsidP="00163BCA">
            <w:pPr>
              <w:pStyle w:val="Header"/>
              <w:tabs>
                <w:tab w:val="clear" w:pos="4153"/>
                <w:tab w:val="clear" w:pos="8306"/>
              </w:tabs>
              <w:contextualSpacing/>
              <w:jc w:val="both"/>
              <w:rPr>
                <w:rFonts w:asciiTheme="minorHAnsi" w:hAnsiTheme="minorHAnsi" w:cstheme="minorHAnsi"/>
                <w:bCs/>
                <w:szCs w:val="22"/>
              </w:rPr>
            </w:pPr>
          </w:p>
          <w:p w14:paraId="02981B33" w14:textId="79959F0A" w:rsidR="00C0704D" w:rsidRDefault="00A0051D" w:rsidP="00163BCA">
            <w:pPr>
              <w:jc w:val="both"/>
              <w:rPr>
                <w:rFonts w:asciiTheme="minorHAnsi" w:hAnsiTheme="minorHAnsi" w:cstheme="minorHAnsi"/>
                <w:i/>
                <w:iCs/>
              </w:rPr>
            </w:pPr>
            <w:r w:rsidRPr="00F20083">
              <w:rPr>
                <w:rFonts w:asciiTheme="minorHAnsi" w:hAnsiTheme="minorHAnsi" w:cstheme="minorHAnsi"/>
                <w:bCs/>
                <w:szCs w:val="22"/>
              </w:rPr>
              <w:t>RVBC Countryside were consulted in relation to the</w:t>
            </w:r>
            <w:r w:rsidR="0061052C">
              <w:rPr>
                <w:rFonts w:asciiTheme="minorHAnsi" w:hAnsiTheme="minorHAnsi" w:cstheme="minorHAnsi"/>
                <w:bCs/>
                <w:szCs w:val="22"/>
              </w:rPr>
              <w:t xml:space="preserve"> bat survey</w:t>
            </w:r>
            <w:r w:rsidRPr="00F20083">
              <w:rPr>
                <w:rFonts w:asciiTheme="minorHAnsi" w:hAnsiTheme="minorHAnsi" w:cstheme="minorHAnsi"/>
                <w:bCs/>
                <w:szCs w:val="22"/>
              </w:rPr>
              <w:t xml:space="preserve"> </w:t>
            </w:r>
            <w:r w:rsidR="000E281D">
              <w:rPr>
                <w:rFonts w:asciiTheme="minorHAnsi" w:hAnsiTheme="minorHAnsi" w:cstheme="minorHAnsi"/>
                <w:bCs/>
                <w:szCs w:val="22"/>
              </w:rPr>
              <w:t xml:space="preserve">provided </w:t>
            </w:r>
            <w:r w:rsidRPr="00F20083">
              <w:rPr>
                <w:rFonts w:asciiTheme="minorHAnsi" w:hAnsiTheme="minorHAnsi" w:cstheme="minorHAnsi"/>
                <w:bCs/>
                <w:szCs w:val="22"/>
              </w:rPr>
              <w:t xml:space="preserve">and a site visit was conducted on 25/01/2023. </w:t>
            </w:r>
            <w:r w:rsidR="00F20083" w:rsidRPr="00F20083">
              <w:rPr>
                <w:rFonts w:asciiTheme="minorHAnsi" w:hAnsiTheme="minorHAnsi" w:cstheme="minorHAnsi"/>
                <w:bCs/>
              </w:rPr>
              <w:t xml:space="preserve">At </w:t>
            </w:r>
            <w:r w:rsidR="00896C0B">
              <w:rPr>
                <w:rFonts w:asciiTheme="minorHAnsi" w:hAnsiTheme="minorHAnsi" w:cstheme="minorHAnsi"/>
                <w:bCs/>
              </w:rPr>
              <w:t>said site visit</w:t>
            </w:r>
            <w:r w:rsidRPr="00F20083">
              <w:rPr>
                <w:rFonts w:asciiTheme="minorHAnsi" w:hAnsiTheme="minorHAnsi" w:cstheme="minorHAnsi"/>
              </w:rPr>
              <w:t xml:space="preserve"> a few loose and out of place</w:t>
            </w:r>
            <w:r w:rsidR="00F20083" w:rsidRPr="00F20083">
              <w:rPr>
                <w:rFonts w:asciiTheme="minorHAnsi" w:hAnsiTheme="minorHAnsi" w:cstheme="minorHAnsi"/>
              </w:rPr>
              <w:t xml:space="preserve"> slates</w:t>
            </w:r>
            <w:r w:rsidRPr="00F20083">
              <w:rPr>
                <w:rFonts w:asciiTheme="minorHAnsi" w:hAnsiTheme="minorHAnsi" w:cstheme="minorHAnsi"/>
              </w:rPr>
              <w:t xml:space="preserve"> adjacent to the rear of </w:t>
            </w:r>
            <w:r w:rsidR="00F20083" w:rsidRPr="00F20083">
              <w:rPr>
                <w:rFonts w:asciiTheme="minorHAnsi" w:hAnsiTheme="minorHAnsi" w:cstheme="minorHAnsi"/>
              </w:rPr>
              <w:t>the</w:t>
            </w:r>
            <w:r w:rsidRPr="00F20083">
              <w:rPr>
                <w:rFonts w:asciiTheme="minorHAnsi" w:hAnsiTheme="minorHAnsi" w:cstheme="minorHAnsi"/>
              </w:rPr>
              <w:t> property</w:t>
            </w:r>
            <w:r w:rsidR="00F20083" w:rsidRPr="00F20083">
              <w:rPr>
                <w:rFonts w:asciiTheme="minorHAnsi" w:hAnsiTheme="minorHAnsi" w:cstheme="minorHAnsi"/>
              </w:rPr>
              <w:t xml:space="preserve"> were noted</w:t>
            </w:r>
            <w:r w:rsidR="00FD6D76">
              <w:rPr>
                <w:rFonts w:asciiTheme="minorHAnsi" w:hAnsiTheme="minorHAnsi" w:cstheme="minorHAnsi"/>
              </w:rPr>
              <w:t xml:space="preserve"> </w:t>
            </w:r>
            <w:r w:rsidR="0061052C">
              <w:rPr>
                <w:rFonts w:asciiTheme="minorHAnsi" w:hAnsiTheme="minorHAnsi" w:cstheme="minorHAnsi"/>
              </w:rPr>
              <w:t>as</w:t>
            </w:r>
            <w:r w:rsidR="00FD6D76">
              <w:rPr>
                <w:rFonts w:asciiTheme="minorHAnsi" w:hAnsiTheme="minorHAnsi" w:cstheme="minorHAnsi"/>
              </w:rPr>
              <w:t xml:space="preserve"> potential access points</w:t>
            </w:r>
            <w:r w:rsidR="0061052C">
              <w:rPr>
                <w:rFonts w:asciiTheme="minorHAnsi" w:hAnsiTheme="minorHAnsi" w:cstheme="minorHAnsi"/>
              </w:rPr>
              <w:t xml:space="preserve"> for bats</w:t>
            </w:r>
            <w:r w:rsidR="00F20083" w:rsidRPr="00F20083">
              <w:rPr>
                <w:rFonts w:asciiTheme="minorHAnsi" w:hAnsiTheme="minorHAnsi" w:cstheme="minorHAnsi"/>
              </w:rPr>
              <w:t xml:space="preserve">. </w:t>
            </w:r>
            <w:r w:rsidR="0061052C">
              <w:rPr>
                <w:rFonts w:asciiTheme="minorHAnsi" w:hAnsiTheme="minorHAnsi" w:cstheme="minorHAnsi"/>
              </w:rPr>
              <w:t>Following this</w:t>
            </w:r>
            <w:r w:rsidR="00F93216" w:rsidRPr="00F20083">
              <w:rPr>
                <w:rFonts w:asciiTheme="minorHAnsi" w:hAnsiTheme="minorHAnsi" w:cstheme="minorHAnsi"/>
              </w:rPr>
              <w:t>,</w:t>
            </w:r>
            <w:r w:rsidR="00F20083" w:rsidRPr="00F20083">
              <w:rPr>
                <w:rFonts w:asciiTheme="minorHAnsi" w:hAnsiTheme="minorHAnsi" w:cstheme="minorHAnsi"/>
              </w:rPr>
              <w:t xml:space="preserve"> a</w:t>
            </w:r>
            <w:r w:rsidRPr="00F20083">
              <w:rPr>
                <w:rFonts w:asciiTheme="minorHAnsi" w:hAnsiTheme="minorHAnsi" w:cstheme="minorHAnsi"/>
              </w:rPr>
              <w:t xml:space="preserve"> Licensed Council Approved Ecologist </w:t>
            </w:r>
            <w:r w:rsidR="00F20083" w:rsidRPr="00F20083">
              <w:rPr>
                <w:rFonts w:asciiTheme="minorHAnsi" w:hAnsiTheme="minorHAnsi" w:cstheme="minorHAnsi"/>
              </w:rPr>
              <w:t xml:space="preserve">was consulted </w:t>
            </w:r>
            <w:r w:rsidRPr="00F20083">
              <w:rPr>
                <w:rFonts w:asciiTheme="minorHAnsi" w:hAnsiTheme="minorHAnsi" w:cstheme="minorHAnsi"/>
              </w:rPr>
              <w:t xml:space="preserve">who was in agreement with </w:t>
            </w:r>
            <w:r w:rsidR="00F20083" w:rsidRPr="00F20083">
              <w:rPr>
                <w:rFonts w:asciiTheme="minorHAnsi" w:hAnsiTheme="minorHAnsi" w:cstheme="minorHAnsi"/>
              </w:rPr>
              <w:t>the</w:t>
            </w:r>
            <w:r w:rsidRPr="00F20083">
              <w:rPr>
                <w:rFonts w:asciiTheme="minorHAnsi" w:hAnsiTheme="minorHAnsi" w:cstheme="minorHAnsi"/>
              </w:rPr>
              <w:t xml:space="preserve"> findings</w:t>
            </w:r>
            <w:r w:rsidR="00097984">
              <w:rPr>
                <w:rFonts w:asciiTheme="minorHAnsi" w:hAnsiTheme="minorHAnsi" w:cstheme="minorHAnsi"/>
              </w:rPr>
              <w:t xml:space="preserve"> of</w:t>
            </w:r>
            <w:r w:rsidR="00F93216">
              <w:rPr>
                <w:rFonts w:asciiTheme="minorHAnsi" w:hAnsiTheme="minorHAnsi" w:cstheme="minorHAnsi"/>
              </w:rPr>
              <w:t xml:space="preserve"> the</w:t>
            </w:r>
            <w:r w:rsidR="00097984">
              <w:rPr>
                <w:rFonts w:asciiTheme="minorHAnsi" w:hAnsiTheme="minorHAnsi" w:cstheme="minorHAnsi"/>
              </w:rPr>
              <w:t xml:space="preserve"> RBVC countryside officer</w:t>
            </w:r>
            <w:r w:rsidRPr="00F20083">
              <w:rPr>
                <w:rFonts w:asciiTheme="minorHAnsi" w:hAnsiTheme="minorHAnsi" w:cstheme="minorHAnsi"/>
              </w:rPr>
              <w:t xml:space="preserve"> and </w:t>
            </w:r>
            <w:r w:rsidR="0061052C">
              <w:rPr>
                <w:rFonts w:asciiTheme="minorHAnsi" w:hAnsiTheme="minorHAnsi" w:cstheme="minorHAnsi"/>
              </w:rPr>
              <w:t xml:space="preserve">in addition </w:t>
            </w:r>
            <w:r w:rsidRPr="00F20083">
              <w:rPr>
                <w:rFonts w:asciiTheme="minorHAnsi" w:hAnsiTheme="minorHAnsi" w:cstheme="minorHAnsi"/>
              </w:rPr>
              <w:t xml:space="preserve">also observed </w:t>
            </w:r>
            <w:r w:rsidR="00F20083" w:rsidRPr="00F20083">
              <w:rPr>
                <w:rFonts w:asciiTheme="minorHAnsi" w:hAnsiTheme="minorHAnsi" w:cstheme="minorHAnsi"/>
              </w:rPr>
              <w:t>numerous other</w:t>
            </w:r>
            <w:r w:rsidRPr="00F20083">
              <w:rPr>
                <w:rFonts w:asciiTheme="minorHAnsi" w:hAnsiTheme="minorHAnsi" w:cstheme="minorHAnsi"/>
              </w:rPr>
              <w:t xml:space="preserve"> potential access points for </w:t>
            </w:r>
            <w:r w:rsidR="00F20083" w:rsidRPr="00F20083">
              <w:rPr>
                <w:rFonts w:asciiTheme="minorHAnsi" w:hAnsiTheme="minorHAnsi" w:cstheme="minorHAnsi"/>
              </w:rPr>
              <w:t>bats.</w:t>
            </w:r>
            <w:r w:rsidR="00F20083" w:rsidRPr="00F20083">
              <w:rPr>
                <w:rFonts w:asciiTheme="minorHAnsi" w:hAnsiTheme="minorHAnsi" w:cstheme="minorHAnsi"/>
                <w:i/>
                <w:iCs/>
              </w:rPr>
              <w:t xml:space="preserve"> </w:t>
            </w:r>
            <w:r w:rsidR="000E2D13">
              <w:rPr>
                <w:rFonts w:asciiTheme="minorHAnsi" w:hAnsiTheme="minorHAnsi" w:cstheme="minorHAnsi"/>
              </w:rPr>
              <w:t>Taking this into account</w:t>
            </w:r>
            <w:r w:rsidR="00097984">
              <w:rPr>
                <w:rFonts w:asciiTheme="minorHAnsi" w:hAnsiTheme="minorHAnsi" w:cstheme="minorHAnsi"/>
                <w:i/>
                <w:iCs/>
              </w:rPr>
              <w:t xml:space="preserve">, </w:t>
            </w:r>
            <w:r w:rsidR="00097984">
              <w:rPr>
                <w:rFonts w:asciiTheme="minorHAnsi" w:hAnsiTheme="minorHAnsi" w:cstheme="minorHAnsi"/>
              </w:rPr>
              <w:t>it has been concluded that,</w:t>
            </w:r>
            <w:r w:rsidR="00F20083" w:rsidRPr="00F20083">
              <w:rPr>
                <w:rFonts w:asciiTheme="minorHAnsi" w:hAnsiTheme="minorHAnsi" w:cstheme="minorHAnsi"/>
                <w:i/>
                <w:iCs/>
              </w:rPr>
              <w:t xml:space="preserve"> </w:t>
            </w:r>
            <w:r w:rsidR="002639B1">
              <w:rPr>
                <w:rFonts w:asciiTheme="minorHAnsi" w:hAnsiTheme="minorHAnsi" w:cstheme="minorHAnsi"/>
                <w:i/>
                <w:iCs/>
              </w:rPr>
              <w:t>‘</w:t>
            </w:r>
            <w:r w:rsidR="00F20083" w:rsidRPr="00F20083">
              <w:rPr>
                <w:rFonts w:asciiTheme="minorHAnsi" w:hAnsiTheme="minorHAnsi" w:cstheme="minorHAnsi"/>
                <w:i/>
                <w:iCs/>
              </w:rPr>
              <w:t>a licensed ecologist would have made reference to these potential access points and potentially recommend</w:t>
            </w:r>
            <w:r w:rsidR="00997A05">
              <w:rPr>
                <w:rFonts w:asciiTheme="minorHAnsi" w:hAnsiTheme="minorHAnsi" w:cstheme="minorHAnsi"/>
                <w:i/>
                <w:iCs/>
              </w:rPr>
              <w:t>ed</w:t>
            </w:r>
            <w:r w:rsidR="00F20083" w:rsidRPr="00F20083">
              <w:rPr>
                <w:rFonts w:asciiTheme="minorHAnsi" w:hAnsiTheme="minorHAnsi" w:cstheme="minorHAnsi"/>
                <w:i/>
                <w:iCs/>
              </w:rPr>
              <w:t xml:space="preserve"> further surveys would be required to ascertain the level of bat activity within this area. </w:t>
            </w:r>
            <w:r w:rsidRPr="00F20083">
              <w:rPr>
                <w:rFonts w:asciiTheme="minorHAnsi" w:hAnsiTheme="minorHAnsi" w:cstheme="minorHAnsi"/>
                <w:i/>
                <w:iCs/>
              </w:rPr>
              <w:t>Taking all of the information into consideration the Councils Countryside Officer feels the submitted Bat Survey is not adequate to make an informed decision on the proposed developments potential impact to the local bat population which are a protected species.</w:t>
            </w:r>
            <w:r w:rsidR="00B87327">
              <w:rPr>
                <w:rFonts w:asciiTheme="minorHAnsi" w:hAnsiTheme="minorHAnsi" w:cstheme="minorHAnsi"/>
                <w:i/>
                <w:iCs/>
              </w:rPr>
              <w:t>’</w:t>
            </w:r>
          </w:p>
          <w:p w14:paraId="6337C4D8" w14:textId="66A97E2D" w:rsidR="00B87327" w:rsidRDefault="00B87327" w:rsidP="00163BCA">
            <w:pPr>
              <w:pStyle w:val="Header"/>
              <w:tabs>
                <w:tab w:val="clear" w:pos="4153"/>
                <w:tab w:val="clear" w:pos="8306"/>
              </w:tabs>
              <w:contextualSpacing/>
              <w:jc w:val="both"/>
              <w:rPr>
                <w:rFonts w:ascii="Calibri" w:hAnsi="Calibri"/>
                <w:b/>
                <w:szCs w:val="22"/>
              </w:rPr>
            </w:pPr>
          </w:p>
        </w:tc>
      </w:tr>
      <w:tr w:rsidR="00C0704D" w:rsidRPr="00D2449B" w14:paraId="0A9D02B4" w14:textId="77777777" w:rsidTr="00D6009B">
        <w:trPr>
          <w:jc w:val="center"/>
        </w:trPr>
        <w:tc>
          <w:tcPr>
            <w:tcW w:w="9467"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0C2523D5" w:rsidR="00C0704D" w:rsidRPr="00F93216" w:rsidRDefault="00C0704D" w:rsidP="00DD62F6">
            <w:pPr>
              <w:contextualSpacing/>
              <w:rPr>
                <w:rFonts w:ascii="Calibri" w:hAnsi="Calibri"/>
                <w:bCs/>
                <w:szCs w:val="22"/>
              </w:rPr>
            </w:pPr>
          </w:p>
          <w:p w14:paraId="07DC643F" w14:textId="3193A93A" w:rsidR="00F93216" w:rsidRDefault="00112B93" w:rsidP="00DD62F6">
            <w:pPr>
              <w:contextualSpacing/>
              <w:rPr>
                <w:rFonts w:ascii="Calibri" w:hAnsi="Calibri"/>
                <w:bCs/>
                <w:szCs w:val="22"/>
              </w:rPr>
            </w:pPr>
            <w:r>
              <w:rPr>
                <w:rFonts w:ascii="Calibri" w:hAnsi="Calibri"/>
                <w:bCs/>
                <w:szCs w:val="22"/>
              </w:rPr>
              <w:t>In conclusion, t</w:t>
            </w:r>
            <w:r w:rsidR="00F93216">
              <w:rPr>
                <w:rFonts w:ascii="Calibri" w:hAnsi="Calibri"/>
                <w:bCs/>
                <w:szCs w:val="22"/>
              </w:rPr>
              <w:t>he proposal would inflict an unacceptable sense of enclosure on the adjoining property, Wiswell Moor Farm, and as such is considered to have a</w:t>
            </w:r>
            <w:r w:rsidR="00A81541">
              <w:rPr>
                <w:rFonts w:ascii="Calibri" w:hAnsi="Calibri"/>
                <w:bCs/>
                <w:szCs w:val="22"/>
              </w:rPr>
              <w:t>n undue</w:t>
            </w:r>
            <w:r w:rsidR="00F93216">
              <w:rPr>
                <w:rFonts w:ascii="Calibri" w:hAnsi="Calibri"/>
                <w:bCs/>
                <w:szCs w:val="22"/>
              </w:rPr>
              <w:t xml:space="preserve"> negative impact on residential amenity. </w:t>
            </w:r>
          </w:p>
          <w:p w14:paraId="7B3DDA88" w14:textId="44F1EADA" w:rsidR="00F93216" w:rsidRDefault="00F93216" w:rsidP="00DD62F6">
            <w:pPr>
              <w:contextualSpacing/>
              <w:rPr>
                <w:rFonts w:ascii="Calibri" w:hAnsi="Calibri"/>
                <w:bCs/>
                <w:szCs w:val="22"/>
              </w:rPr>
            </w:pPr>
          </w:p>
          <w:p w14:paraId="1504F64C" w14:textId="4B91ACF8" w:rsidR="00C569BC" w:rsidRDefault="00C569BC" w:rsidP="00DD62F6">
            <w:pPr>
              <w:contextualSpacing/>
              <w:rPr>
                <w:rFonts w:ascii="Calibri" w:hAnsi="Calibri"/>
                <w:bCs/>
                <w:szCs w:val="22"/>
              </w:rPr>
            </w:pPr>
            <w:r>
              <w:rPr>
                <w:rFonts w:ascii="Calibri" w:hAnsi="Calibri"/>
                <w:bCs/>
                <w:szCs w:val="22"/>
              </w:rPr>
              <w:t>Taking into consideration the materials, scale and design the propos</w:t>
            </w:r>
            <w:r w:rsidR="005979F8">
              <w:rPr>
                <w:rFonts w:ascii="Calibri" w:hAnsi="Calibri"/>
                <w:bCs/>
                <w:szCs w:val="22"/>
              </w:rPr>
              <w:t xml:space="preserve">ed extension </w:t>
            </w:r>
            <w:r>
              <w:rPr>
                <w:rFonts w:ascii="Calibri" w:hAnsi="Calibri"/>
                <w:bCs/>
                <w:szCs w:val="22"/>
              </w:rPr>
              <w:t>would appear unsympathetic in relation to the host dwelling and properties in the immediate vicinity, as well as the wider AONB</w:t>
            </w:r>
            <w:r w:rsidR="005979F8">
              <w:rPr>
                <w:rFonts w:ascii="Calibri" w:hAnsi="Calibri"/>
                <w:bCs/>
                <w:szCs w:val="22"/>
              </w:rPr>
              <w:t>, and undermines the character of the streetscape</w:t>
            </w:r>
            <w:r>
              <w:rPr>
                <w:rFonts w:ascii="Calibri" w:hAnsi="Calibri"/>
                <w:bCs/>
                <w:szCs w:val="22"/>
              </w:rPr>
              <w:t>.</w:t>
            </w:r>
          </w:p>
          <w:p w14:paraId="4BD132B5" w14:textId="77777777" w:rsidR="00C569BC" w:rsidRDefault="00C569BC" w:rsidP="00DD62F6">
            <w:pPr>
              <w:contextualSpacing/>
              <w:rPr>
                <w:rFonts w:ascii="Calibri" w:hAnsi="Calibri"/>
                <w:bCs/>
                <w:szCs w:val="22"/>
              </w:rPr>
            </w:pPr>
          </w:p>
          <w:p w14:paraId="7DA29F9F" w14:textId="3C1F2E97" w:rsidR="00F93216" w:rsidRDefault="00C569BC" w:rsidP="00B5392C">
            <w:pPr>
              <w:pStyle w:val="Header"/>
              <w:tabs>
                <w:tab w:val="clear" w:pos="4153"/>
                <w:tab w:val="clear" w:pos="8306"/>
              </w:tabs>
              <w:contextualSpacing/>
              <w:jc w:val="both"/>
              <w:rPr>
                <w:rFonts w:ascii="Calibri" w:hAnsi="Calibri"/>
                <w:bCs/>
                <w:szCs w:val="22"/>
              </w:rPr>
            </w:pPr>
            <w:r>
              <w:rPr>
                <w:rFonts w:ascii="Calibri" w:hAnsi="Calibri"/>
                <w:bCs/>
                <w:szCs w:val="22"/>
              </w:rPr>
              <w:lastRenderedPageBreak/>
              <w:t xml:space="preserve">The bat survey provided failed to identify clear potential access points and is therefore considered inadequate to assist in the making of an informed decision on the proposed extensions potential adverse impact on the </w:t>
            </w:r>
            <w:r w:rsidR="00896C0B">
              <w:rPr>
                <w:rFonts w:ascii="Calibri" w:hAnsi="Calibri"/>
                <w:bCs/>
                <w:szCs w:val="22"/>
              </w:rPr>
              <w:t>protected local bat population</w:t>
            </w:r>
            <w:r>
              <w:rPr>
                <w:rFonts w:ascii="Calibri" w:hAnsi="Calibri"/>
                <w:bCs/>
                <w:szCs w:val="22"/>
              </w:rPr>
              <w:t>.</w:t>
            </w:r>
          </w:p>
          <w:p w14:paraId="36D6D835" w14:textId="77777777" w:rsidR="002D7210" w:rsidRPr="00F93216" w:rsidRDefault="002D7210" w:rsidP="00DD62F6">
            <w:pPr>
              <w:contextualSpacing/>
              <w:rPr>
                <w:rFonts w:ascii="Calibri" w:hAnsi="Calibri"/>
                <w:bCs/>
                <w:szCs w:val="22"/>
              </w:rPr>
            </w:pPr>
          </w:p>
          <w:p w14:paraId="5A1F5F94" w14:textId="77777777"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As such, for the above reasons and having regard to all material considerations and matters raised that the application is recommended for refusal.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D6009B">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lastRenderedPageBreak/>
              <w:t>RECOMMENDATION</w:t>
            </w:r>
            <w:r w:rsidRPr="00D2449B">
              <w:rPr>
                <w:rFonts w:ascii="Calibri" w:hAnsi="Calibri"/>
                <w:szCs w:val="22"/>
              </w:rPr>
              <w:t>:</w:t>
            </w:r>
          </w:p>
        </w:tc>
        <w:tc>
          <w:tcPr>
            <w:tcW w:w="7268"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185067B" w:rsidR="00C0704D" w:rsidRPr="00D2449B" w:rsidRDefault="009F4443" w:rsidP="00CD2CEF">
            <w:pPr>
              <w:rPr>
                <w:rFonts w:ascii="Calibri" w:hAnsi="Calibri"/>
                <w:bCs/>
                <w:szCs w:val="22"/>
              </w:rPr>
            </w:pPr>
            <w:r w:rsidRPr="009F4443">
              <w:rPr>
                <w:rFonts w:asciiTheme="minorHAnsi" w:hAnsiTheme="minorHAnsi"/>
                <w:bCs/>
                <w:szCs w:val="22"/>
              </w:rPr>
              <w:t>That planning consent be refused for the following reason(s)</w:t>
            </w:r>
            <w:r>
              <w:rPr>
                <w:rFonts w:asciiTheme="minorHAnsi" w:hAnsiTheme="minorHAnsi"/>
                <w:bCs/>
                <w:szCs w:val="22"/>
              </w:rPr>
              <w:t>.</w:t>
            </w:r>
          </w:p>
        </w:tc>
      </w:tr>
      <w:tr w:rsidR="009F4443" w:rsidRPr="00D2449B" w14:paraId="0E2CEC22" w14:textId="77777777" w:rsidTr="00D6009B">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9E810A" w14:textId="3BE546E0" w:rsidR="009F4443" w:rsidRPr="009F4443" w:rsidRDefault="009F4443" w:rsidP="009F4443">
            <w:pPr>
              <w:jc w:val="center"/>
              <w:rPr>
                <w:rFonts w:asciiTheme="minorHAnsi" w:hAnsiTheme="minorHAnsi"/>
                <w:b/>
                <w:szCs w:val="22"/>
              </w:rPr>
            </w:pPr>
            <w:r w:rsidRPr="009F4443">
              <w:rPr>
                <w:rFonts w:asciiTheme="minorHAnsi" w:hAnsiTheme="minorHAnsi"/>
                <w:b/>
                <w:szCs w:val="22"/>
              </w:rPr>
              <w:t>01:</w:t>
            </w:r>
          </w:p>
        </w:tc>
        <w:tc>
          <w:tcPr>
            <w:tcW w:w="8621"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1A80EA" w14:textId="4AD65D77" w:rsidR="00CD186D" w:rsidRDefault="00CD186D" w:rsidP="00A7355C">
            <w:pPr>
              <w:jc w:val="both"/>
              <w:rPr>
                <w:rFonts w:ascii="Calibri" w:hAnsi="Calibri"/>
                <w:bCs/>
                <w:szCs w:val="22"/>
              </w:rPr>
            </w:pPr>
            <w:r>
              <w:rPr>
                <w:rFonts w:ascii="Calibri" w:hAnsi="Calibri"/>
                <w:bCs/>
                <w:szCs w:val="22"/>
              </w:rPr>
              <w:t xml:space="preserve">The proposal, by virtue of its scale, proposed materials and elevational language would result in </w:t>
            </w:r>
            <w:r w:rsidR="00651677">
              <w:rPr>
                <w:rFonts w:ascii="Calibri" w:hAnsi="Calibri"/>
                <w:bCs/>
                <w:szCs w:val="22"/>
              </w:rPr>
              <w:t>the introduction of an incongruous and anomalous form of development that fails to respond positively to the inherent character of the parent building or that of the character of the immediate and wider Forest of Bowland AONB, being of significant detriment to the character and visual amenities of the area and the character of the property to which the application relates.  As such the proposal is in direct conflict with Policy DMG1 and Key Statement EN2 of the Ribble Valley Core Strategy.</w:t>
            </w:r>
          </w:p>
          <w:p w14:paraId="337E4514" w14:textId="45D7C7D8" w:rsidR="00CD186D" w:rsidRPr="00A7355C" w:rsidRDefault="00CD186D" w:rsidP="00A7355C">
            <w:pPr>
              <w:jc w:val="both"/>
              <w:rPr>
                <w:rFonts w:ascii="Calibri" w:hAnsi="Calibri"/>
                <w:bCs/>
                <w:szCs w:val="22"/>
              </w:rPr>
            </w:pPr>
          </w:p>
        </w:tc>
      </w:tr>
      <w:tr w:rsidR="009F4443" w:rsidRPr="00D2449B" w14:paraId="15027259" w14:textId="77777777" w:rsidTr="00DA4417">
        <w:trPr>
          <w:trHeight w:val="926"/>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8C19535" w14:textId="635B2D49" w:rsidR="009F4443" w:rsidRPr="009F4443" w:rsidRDefault="009F4443" w:rsidP="009F4443">
            <w:pPr>
              <w:jc w:val="center"/>
              <w:rPr>
                <w:rFonts w:asciiTheme="minorHAnsi" w:hAnsiTheme="minorHAnsi"/>
                <w:b/>
                <w:szCs w:val="22"/>
              </w:rPr>
            </w:pPr>
            <w:r w:rsidRPr="009F4443">
              <w:rPr>
                <w:rFonts w:asciiTheme="minorHAnsi" w:hAnsiTheme="minorHAnsi"/>
                <w:b/>
                <w:szCs w:val="22"/>
              </w:rPr>
              <w:t>02:</w:t>
            </w:r>
          </w:p>
        </w:tc>
        <w:tc>
          <w:tcPr>
            <w:tcW w:w="8621"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FEF925" w14:textId="2A18524D" w:rsidR="00CD186D" w:rsidRDefault="00CD186D" w:rsidP="00CD186D">
            <w:pPr>
              <w:jc w:val="both"/>
              <w:rPr>
                <w:rFonts w:asciiTheme="minorHAnsi" w:hAnsiTheme="minorHAnsi"/>
                <w:bCs/>
                <w:szCs w:val="22"/>
              </w:rPr>
            </w:pPr>
            <w:r>
              <w:rPr>
                <w:rFonts w:asciiTheme="minorHAnsi" w:hAnsiTheme="minorHAnsi"/>
                <w:bCs/>
                <w:szCs w:val="22"/>
              </w:rPr>
              <w:t>The proposal is in significant direct conflict with Policy DMG1 of the Ribble Valley Core Strategy insofar that the proposal, by virtue of its overall scale and proximity to nearby/adjacent residential receptors, would result in a</w:t>
            </w:r>
            <w:r w:rsidR="0046519B">
              <w:rPr>
                <w:rFonts w:asciiTheme="minorHAnsi" w:hAnsiTheme="minorHAnsi"/>
                <w:bCs/>
                <w:szCs w:val="22"/>
              </w:rPr>
              <w:t>n</w:t>
            </w:r>
            <w:r>
              <w:rPr>
                <w:rFonts w:asciiTheme="minorHAnsi" w:hAnsiTheme="minorHAnsi"/>
                <w:bCs/>
                <w:szCs w:val="22"/>
              </w:rPr>
              <w:t xml:space="preserve"> overbearing impact and create a detrimental and overt sense of enclosure upon the adjacent residential dwelling to the northwest being of significant detriment to existing residential amenities of neighbouring occupiers.</w:t>
            </w:r>
          </w:p>
          <w:p w14:paraId="510702C7" w14:textId="7DA8B0D7" w:rsidR="00CD186D" w:rsidRPr="009F4443" w:rsidRDefault="00CD186D" w:rsidP="00CD2CEF">
            <w:pPr>
              <w:rPr>
                <w:rFonts w:asciiTheme="minorHAnsi" w:hAnsiTheme="minorHAnsi"/>
                <w:bCs/>
                <w:szCs w:val="22"/>
              </w:rPr>
            </w:pPr>
          </w:p>
        </w:tc>
      </w:tr>
      <w:tr w:rsidR="00DA4417" w:rsidRPr="00D2449B" w14:paraId="003A8E0E" w14:textId="77777777" w:rsidTr="00DA4417">
        <w:trPr>
          <w:trHeight w:val="926"/>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31606AD" w14:textId="50A73AFD" w:rsidR="00DA4417" w:rsidRPr="009F4443" w:rsidRDefault="00DA4417" w:rsidP="009F4443">
            <w:pPr>
              <w:jc w:val="center"/>
              <w:rPr>
                <w:rFonts w:asciiTheme="minorHAnsi" w:hAnsiTheme="minorHAnsi"/>
                <w:b/>
                <w:szCs w:val="22"/>
              </w:rPr>
            </w:pPr>
            <w:r>
              <w:rPr>
                <w:rFonts w:asciiTheme="minorHAnsi" w:hAnsiTheme="minorHAnsi"/>
                <w:b/>
                <w:szCs w:val="22"/>
              </w:rPr>
              <w:t>03:</w:t>
            </w:r>
          </w:p>
        </w:tc>
        <w:tc>
          <w:tcPr>
            <w:tcW w:w="8621"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C36083" w14:textId="37EBCE12" w:rsidR="00163BCA" w:rsidRDefault="00651677" w:rsidP="00163BCA">
            <w:pPr>
              <w:jc w:val="both"/>
              <w:rPr>
                <w:rFonts w:asciiTheme="minorHAnsi" w:hAnsiTheme="minorHAnsi"/>
                <w:bCs/>
                <w:szCs w:val="22"/>
              </w:rPr>
            </w:pPr>
            <w:r>
              <w:rPr>
                <w:rFonts w:asciiTheme="minorHAnsi" w:hAnsiTheme="minorHAnsi"/>
                <w:bCs/>
                <w:szCs w:val="22"/>
              </w:rPr>
              <w:t xml:space="preserve">The submitted Bat Survey fails to adequately assess </w:t>
            </w:r>
            <w:r w:rsidR="00CE294A">
              <w:rPr>
                <w:rFonts w:asciiTheme="minorHAnsi" w:hAnsiTheme="minorHAnsi"/>
                <w:bCs/>
                <w:szCs w:val="22"/>
              </w:rPr>
              <w:t xml:space="preserve">or determine </w:t>
            </w:r>
            <w:r>
              <w:rPr>
                <w:rFonts w:asciiTheme="minorHAnsi" w:hAnsiTheme="minorHAnsi"/>
                <w:bCs/>
                <w:szCs w:val="22"/>
              </w:rPr>
              <w:t xml:space="preserve">the potential impacts upon </w:t>
            </w:r>
            <w:r w:rsidR="00163BCA">
              <w:rPr>
                <w:rFonts w:asciiTheme="minorHAnsi" w:hAnsiTheme="minorHAnsi"/>
                <w:bCs/>
                <w:szCs w:val="22"/>
              </w:rPr>
              <w:t>European</w:t>
            </w:r>
            <w:r w:rsidR="006E24A9">
              <w:rPr>
                <w:rFonts w:asciiTheme="minorHAnsi" w:hAnsiTheme="minorHAnsi"/>
                <w:bCs/>
                <w:szCs w:val="22"/>
              </w:rPr>
              <w:t xml:space="preserve"> Protect</w:t>
            </w:r>
            <w:r w:rsidR="00163BCA">
              <w:rPr>
                <w:rFonts w:asciiTheme="minorHAnsi" w:hAnsiTheme="minorHAnsi"/>
                <w:bCs/>
                <w:szCs w:val="22"/>
              </w:rPr>
              <w:t xml:space="preserve">ed </w:t>
            </w:r>
            <w:r w:rsidR="006E24A9">
              <w:rPr>
                <w:rFonts w:asciiTheme="minorHAnsi" w:hAnsiTheme="minorHAnsi"/>
                <w:bCs/>
                <w:szCs w:val="22"/>
              </w:rPr>
              <w:t xml:space="preserve">Species </w:t>
            </w:r>
            <w:r w:rsidR="00163BCA">
              <w:rPr>
                <w:rFonts w:asciiTheme="minorHAnsi" w:hAnsiTheme="minorHAnsi"/>
                <w:bCs/>
                <w:szCs w:val="22"/>
              </w:rPr>
              <w:t xml:space="preserve">or species of conservation concern in that </w:t>
            </w:r>
            <w:r w:rsidR="00CE294A">
              <w:rPr>
                <w:rFonts w:asciiTheme="minorHAnsi" w:hAnsiTheme="minorHAnsi"/>
                <w:bCs/>
                <w:szCs w:val="22"/>
              </w:rPr>
              <w:t>the survey</w:t>
            </w:r>
            <w:r w:rsidR="00163BCA">
              <w:rPr>
                <w:rFonts w:asciiTheme="minorHAnsi" w:hAnsiTheme="minorHAnsi"/>
                <w:bCs/>
                <w:szCs w:val="22"/>
              </w:rPr>
              <w:t xml:space="preserve"> fails to adequately identify potential bat ‘access points’ on the parent building.  As such the proposal is considered to be in significant and direct conflict with Policy DME3 of the Ribble Valley Core Strategy.</w:t>
            </w:r>
          </w:p>
          <w:p w14:paraId="1F0AE687" w14:textId="2F31AB54" w:rsidR="00651677" w:rsidRDefault="00651677" w:rsidP="00CD2CEF">
            <w:pPr>
              <w:rPr>
                <w:rFonts w:asciiTheme="minorHAnsi" w:hAnsiTheme="minorHAnsi"/>
                <w:bCs/>
                <w:szCs w:val="22"/>
              </w:rPr>
            </w:pPr>
          </w:p>
        </w:tc>
      </w:tr>
    </w:tbl>
    <w:p w14:paraId="513FB541" w14:textId="77777777" w:rsidR="0031197A" w:rsidRPr="00D2449B" w:rsidRDefault="007F0809">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753BB"/>
    <w:rsid w:val="00097984"/>
    <w:rsid w:val="000B5CB5"/>
    <w:rsid w:val="000C27E3"/>
    <w:rsid w:val="000E281D"/>
    <w:rsid w:val="000E2D13"/>
    <w:rsid w:val="00112B93"/>
    <w:rsid w:val="00115388"/>
    <w:rsid w:val="00130035"/>
    <w:rsid w:val="001514D7"/>
    <w:rsid w:val="00163BCA"/>
    <w:rsid w:val="00164BD9"/>
    <w:rsid w:val="001A206D"/>
    <w:rsid w:val="001C1FE6"/>
    <w:rsid w:val="001D2334"/>
    <w:rsid w:val="001D4F7A"/>
    <w:rsid w:val="002072B8"/>
    <w:rsid w:val="00246502"/>
    <w:rsid w:val="00250879"/>
    <w:rsid w:val="002639B1"/>
    <w:rsid w:val="0029334A"/>
    <w:rsid w:val="002A01CF"/>
    <w:rsid w:val="002C6277"/>
    <w:rsid w:val="002D2E6E"/>
    <w:rsid w:val="002D4F69"/>
    <w:rsid w:val="002D7210"/>
    <w:rsid w:val="002F2580"/>
    <w:rsid w:val="002F4785"/>
    <w:rsid w:val="00321B6E"/>
    <w:rsid w:val="00346B2C"/>
    <w:rsid w:val="00362CA4"/>
    <w:rsid w:val="00363EB5"/>
    <w:rsid w:val="00390855"/>
    <w:rsid w:val="003F1935"/>
    <w:rsid w:val="00440CB6"/>
    <w:rsid w:val="00454118"/>
    <w:rsid w:val="0046519B"/>
    <w:rsid w:val="0046548C"/>
    <w:rsid w:val="004947BB"/>
    <w:rsid w:val="004A5EA9"/>
    <w:rsid w:val="004C2434"/>
    <w:rsid w:val="004F0649"/>
    <w:rsid w:val="00505594"/>
    <w:rsid w:val="00510FA2"/>
    <w:rsid w:val="005146C6"/>
    <w:rsid w:val="005204FC"/>
    <w:rsid w:val="00556ECD"/>
    <w:rsid w:val="005979F8"/>
    <w:rsid w:val="005C33B1"/>
    <w:rsid w:val="005E1C6C"/>
    <w:rsid w:val="005E65DF"/>
    <w:rsid w:val="0061052C"/>
    <w:rsid w:val="00651677"/>
    <w:rsid w:val="006533AB"/>
    <w:rsid w:val="0065707C"/>
    <w:rsid w:val="00667360"/>
    <w:rsid w:val="00692B60"/>
    <w:rsid w:val="006A0F1D"/>
    <w:rsid w:val="006A71AD"/>
    <w:rsid w:val="006C2BFA"/>
    <w:rsid w:val="006D2AD0"/>
    <w:rsid w:val="006E24A9"/>
    <w:rsid w:val="006F4A71"/>
    <w:rsid w:val="006F6849"/>
    <w:rsid w:val="0070054B"/>
    <w:rsid w:val="00721521"/>
    <w:rsid w:val="00776AE2"/>
    <w:rsid w:val="007A649B"/>
    <w:rsid w:val="007B526F"/>
    <w:rsid w:val="007C791C"/>
    <w:rsid w:val="007D7DF4"/>
    <w:rsid w:val="007E0D23"/>
    <w:rsid w:val="007F0809"/>
    <w:rsid w:val="007F16D6"/>
    <w:rsid w:val="00805211"/>
    <w:rsid w:val="008100B0"/>
    <w:rsid w:val="00811771"/>
    <w:rsid w:val="00824DB6"/>
    <w:rsid w:val="00837F4F"/>
    <w:rsid w:val="008542DE"/>
    <w:rsid w:val="00855E83"/>
    <w:rsid w:val="008630C6"/>
    <w:rsid w:val="00895AE9"/>
    <w:rsid w:val="00896C0B"/>
    <w:rsid w:val="008A28C8"/>
    <w:rsid w:val="0090422B"/>
    <w:rsid w:val="00922E2D"/>
    <w:rsid w:val="009356D0"/>
    <w:rsid w:val="00941382"/>
    <w:rsid w:val="00951A05"/>
    <w:rsid w:val="0097146A"/>
    <w:rsid w:val="00997A05"/>
    <w:rsid w:val="009C35BB"/>
    <w:rsid w:val="009C7302"/>
    <w:rsid w:val="009F4443"/>
    <w:rsid w:val="009F7651"/>
    <w:rsid w:val="00A0051D"/>
    <w:rsid w:val="00A16B6A"/>
    <w:rsid w:val="00A26F39"/>
    <w:rsid w:val="00A42E82"/>
    <w:rsid w:val="00A56563"/>
    <w:rsid w:val="00A579BB"/>
    <w:rsid w:val="00A63D55"/>
    <w:rsid w:val="00A7355C"/>
    <w:rsid w:val="00A81541"/>
    <w:rsid w:val="00A95D89"/>
    <w:rsid w:val="00AB797E"/>
    <w:rsid w:val="00B00193"/>
    <w:rsid w:val="00B5392C"/>
    <w:rsid w:val="00B87327"/>
    <w:rsid w:val="00B93EB5"/>
    <w:rsid w:val="00BA13D8"/>
    <w:rsid w:val="00BC768F"/>
    <w:rsid w:val="00BD3F03"/>
    <w:rsid w:val="00BF68DA"/>
    <w:rsid w:val="00C04D9E"/>
    <w:rsid w:val="00C0704D"/>
    <w:rsid w:val="00C25722"/>
    <w:rsid w:val="00C32E04"/>
    <w:rsid w:val="00C52F7D"/>
    <w:rsid w:val="00C55915"/>
    <w:rsid w:val="00C563DB"/>
    <w:rsid w:val="00C569BC"/>
    <w:rsid w:val="00C618DB"/>
    <w:rsid w:val="00CD186D"/>
    <w:rsid w:val="00CE294A"/>
    <w:rsid w:val="00D11007"/>
    <w:rsid w:val="00D17EB1"/>
    <w:rsid w:val="00D2449B"/>
    <w:rsid w:val="00D54E67"/>
    <w:rsid w:val="00D5586D"/>
    <w:rsid w:val="00D6009B"/>
    <w:rsid w:val="00D70B10"/>
    <w:rsid w:val="00DA4417"/>
    <w:rsid w:val="00DC65F6"/>
    <w:rsid w:val="00DD62F6"/>
    <w:rsid w:val="00E043FD"/>
    <w:rsid w:val="00E055C3"/>
    <w:rsid w:val="00E153D8"/>
    <w:rsid w:val="00E46243"/>
    <w:rsid w:val="00E61B09"/>
    <w:rsid w:val="00E66534"/>
    <w:rsid w:val="00E67D07"/>
    <w:rsid w:val="00E72F6C"/>
    <w:rsid w:val="00E914B3"/>
    <w:rsid w:val="00EA09F9"/>
    <w:rsid w:val="00EC23C7"/>
    <w:rsid w:val="00ED00B7"/>
    <w:rsid w:val="00EE7531"/>
    <w:rsid w:val="00EF44E6"/>
    <w:rsid w:val="00F20083"/>
    <w:rsid w:val="00F47C78"/>
    <w:rsid w:val="00F51EDE"/>
    <w:rsid w:val="00F61A07"/>
    <w:rsid w:val="00F93216"/>
    <w:rsid w:val="00F93239"/>
    <w:rsid w:val="00FD6AE3"/>
    <w:rsid w:val="00FD6D76"/>
    <w:rsid w:val="00FF6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Revision">
    <w:name w:val="Revision"/>
    <w:hidden/>
    <w:uiPriority w:val="99"/>
    <w:semiHidden/>
    <w:rsid w:val="00CD186D"/>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9438">
      <w:bodyDiv w:val="1"/>
      <w:marLeft w:val="0"/>
      <w:marRight w:val="0"/>
      <w:marTop w:val="0"/>
      <w:marBottom w:val="0"/>
      <w:divBdr>
        <w:top w:val="none" w:sz="0" w:space="0" w:color="auto"/>
        <w:left w:val="none" w:sz="0" w:space="0" w:color="auto"/>
        <w:bottom w:val="none" w:sz="0" w:space="0" w:color="auto"/>
        <w:right w:val="none" w:sz="0" w:space="0" w:color="auto"/>
      </w:divBdr>
    </w:div>
    <w:div w:id="929309934">
      <w:bodyDiv w:val="1"/>
      <w:marLeft w:val="0"/>
      <w:marRight w:val="0"/>
      <w:marTop w:val="0"/>
      <w:marBottom w:val="0"/>
      <w:divBdr>
        <w:top w:val="none" w:sz="0" w:space="0" w:color="auto"/>
        <w:left w:val="none" w:sz="0" w:space="0" w:color="auto"/>
        <w:bottom w:val="none" w:sz="0" w:space="0" w:color="auto"/>
        <w:right w:val="none" w:sz="0" w:space="0" w:color="auto"/>
      </w:divBdr>
    </w:div>
    <w:div w:id="1564680313">
      <w:bodyDiv w:val="1"/>
      <w:marLeft w:val="0"/>
      <w:marRight w:val="0"/>
      <w:marTop w:val="0"/>
      <w:marBottom w:val="0"/>
      <w:divBdr>
        <w:top w:val="none" w:sz="0" w:space="0" w:color="auto"/>
        <w:left w:val="none" w:sz="0" w:space="0" w:color="auto"/>
        <w:bottom w:val="none" w:sz="0" w:space="0" w:color="auto"/>
        <w:right w:val="none" w:sz="0" w:space="0" w:color="auto"/>
      </w:divBdr>
    </w:div>
    <w:div w:id="1576087555">
      <w:bodyDiv w:val="1"/>
      <w:marLeft w:val="0"/>
      <w:marRight w:val="0"/>
      <w:marTop w:val="0"/>
      <w:marBottom w:val="0"/>
      <w:divBdr>
        <w:top w:val="none" w:sz="0" w:space="0" w:color="auto"/>
        <w:left w:val="none" w:sz="0" w:space="0" w:color="auto"/>
        <w:bottom w:val="none" w:sz="0" w:space="0" w:color="auto"/>
        <w:right w:val="none" w:sz="0" w:space="0" w:color="auto"/>
      </w:divBdr>
    </w:div>
    <w:div w:id="1617714943">
      <w:bodyDiv w:val="1"/>
      <w:marLeft w:val="0"/>
      <w:marRight w:val="0"/>
      <w:marTop w:val="0"/>
      <w:marBottom w:val="0"/>
      <w:divBdr>
        <w:top w:val="none" w:sz="0" w:space="0" w:color="auto"/>
        <w:left w:val="none" w:sz="0" w:space="0" w:color="auto"/>
        <w:bottom w:val="none" w:sz="0" w:space="0" w:color="auto"/>
        <w:right w:val="none" w:sz="0" w:space="0" w:color="auto"/>
      </w:divBdr>
    </w:div>
    <w:div w:id="191118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2023-02-10T16:12:00Z</cp:lastPrinted>
  <dcterms:created xsi:type="dcterms:W3CDTF">2023-02-10T16:17:00Z</dcterms:created>
  <dcterms:modified xsi:type="dcterms:W3CDTF">2023-02-10T16:17:00Z</dcterms:modified>
</cp:coreProperties>
</file>