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184"/>
        <w:gridCol w:w="1030"/>
        <w:gridCol w:w="139"/>
        <w:gridCol w:w="36"/>
        <w:gridCol w:w="658"/>
        <w:gridCol w:w="197"/>
        <w:gridCol w:w="307"/>
        <w:gridCol w:w="723"/>
        <w:gridCol w:w="553"/>
        <w:gridCol w:w="477"/>
        <w:gridCol w:w="699"/>
        <w:gridCol w:w="579"/>
        <w:gridCol w:w="1030"/>
        <w:gridCol w:w="1030"/>
        <w:gridCol w:w="1031"/>
      </w:tblGrid>
      <w:tr w:rsidR="004A5EA9" w:rsidRPr="00D2449B" w14:paraId="230E00A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773A66">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3858A5B9" w:rsidR="00837F4F" w:rsidRPr="00276BEC" w:rsidRDefault="00276BEC" w:rsidP="00D2449B">
            <w:pPr>
              <w:jc w:val="center"/>
              <w:rPr>
                <w:rFonts w:ascii="Calibri" w:hAnsi="Calibri"/>
                <w:bCs/>
                <w:szCs w:val="22"/>
              </w:rPr>
            </w:pPr>
            <w:r w:rsidRPr="00276BEC">
              <w:rPr>
                <w:rFonts w:ascii="Calibri" w:hAnsi="Calibri"/>
                <w:bCs/>
                <w:szCs w:val="22"/>
              </w:rPr>
              <w:t>SK</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4C9C10B0" w:rsidR="00837F4F" w:rsidRPr="00276BEC" w:rsidRDefault="00276BEC" w:rsidP="00D2449B">
            <w:pPr>
              <w:jc w:val="center"/>
              <w:rPr>
                <w:rFonts w:ascii="Calibri" w:hAnsi="Calibri"/>
                <w:bCs/>
                <w:szCs w:val="22"/>
              </w:rPr>
            </w:pPr>
            <w:r w:rsidRPr="00276BEC">
              <w:rPr>
                <w:rFonts w:ascii="Calibri" w:hAnsi="Calibri"/>
                <w:bCs/>
                <w:szCs w:val="22"/>
              </w:rPr>
              <w:t>20.2.23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2FCF587B" w:rsidR="00837F4F" w:rsidRPr="00D2449B" w:rsidRDefault="000701FA"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6CEB4283" w:rsidR="00837F4F" w:rsidRPr="00D2449B" w:rsidRDefault="000701FA" w:rsidP="00D2449B">
            <w:pPr>
              <w:jc w:val="center"/>
              <w:rPr>
                <w:rFonts w:ascii="Calibri" w:hAnsi="Calibri"/>
                <w:b/>
                <w:szCs w:val="22"/>
              </w:rPr>
            </w:pPr>
            <w:r>
              <w:rPr>
                <w:rFonts w:ascii="Calibri" w:hAnsi="Calibri"/>
                <w:b/>
                <w:szCs w:val="22"/>
              </w:rPr>
              <w:t>21.2.23</w:t>
            </w:r>
          </w:p>
        </w:tc>
      </w:tr>
      <w:tr w:rsidR="004A5EA9" w:rsidRPr="00D2449B" w14:paraId="2094A164" w14:textId="77777777" w:rsidTr="00773A66">
        <w:trPr>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73A6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245759F0" w:rsidR="004A5EA9" w:rsidRPr="00276BEC" w:rsidRDefault="004A5EA9" w:rsidP="008542DE">
            <w:pPr>
              <w:rPr>
                <w:rFonts w:ascii="Calibri" w:hAnsi="Calibri"/>
                <w:szCs w:val="22"/>
              </w:rPr>
            </w:pPr>
            <w:r w:rsidRPr="00276BEC">
              <w:rPr>
                <w:rFonts w:ascii="Calibri" w:hAnsi="Calibri"/>
                <w:szCs w:val="22"/>
              </w:rPr>
              <w:t>20</w:t>
            </w:r>
            <w:r w:rsidR="00276BEC" w:rsidRPr="00276BEC">
              <w:rPr>
                <w:rFonts w:ascii="Calibri" w:hAnsi="Calibri"/>
                <w:szCs w:val="22"/>
              </w:rPr>
              <w:t>22</w:t>
            </w:r>
            <w:r w:rsidR="00C0704D" w:rsidRPr="00276BEC">
              <w:rPr>
                <w:rFonts w:ascii="Calibri" w:hAnsi="Calibri"/>
                <w:szCs w:val="22"/>
              </w:rPr>
              <w:t>/</w:t>
            </w:r>
            <w:r w:rsidR="00276BEC" w:rsidRPr="00276BEC">
              <w:rPr>
                <w:rFonts w:ascii="Calibri" w:hAnsi="Calibri"/>
                <w:szCs w:val="22"/>
              </w:rPr>
              <w:t>1098</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773A6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76D9A72B" w:rsidR="00824DB6" w:rsidRPr="00276BEC" w:rsidRDefault="00276BEC" w:rsidP="002C6277">
            <w:pPr>
              <w:rPr>
                <w:rFonts w:ascii="Calibri" w:hAnsi="Calibri"/>
                <w:szCs w:val="22"/>
              </w:rPr>
            </w:pPr>
            <w:r w:rsidRPr="00276BEC">
              <w:rPr>
                <w:rFonts w:ascii="Calibri" w:hAnsi="Calibri"/>
                <w:szCs w:val="22"/>
              </w:rPr>
              <w:t>16</w:t>
            </w:r>
            <w:r w:rsidR="00824DB6" w:rsidRPr="00276BEC">
              <w:rPr>
                <w:rFonts w:ascii="Calibri" w:hAnsi="Calibri"/>
                <w:szCs w:val="22"/>
              </w:rPr>
              <w:t>/</w:t>
            </w:r>
            <w:r w:rsidRPr="00276BEC">
              <w:rPr>
                <w:rFonts w:ascii="Calibri" w:hAnsi="Calibri"/>
                <w:szCs w:val="22"/>
              </w:rPr>
              <w:t>01</w:t>
            </w:r>
            <w:r w:rsidR="00824DB6" w:rsidRPr="00276BEC">
              <w:rPr>
                <w:rFonts w:ascii="Calibri" w:hAnsi="Calibri"/>
                <w:szCs w:val="22"/>
              </w:rPr>
              <w:t>/</w:t>
            </w:r>
            <w:r w:rsidRPr="00276BEC">
              <w:rPr>
                <w:rFonts w:ascii="Calibri" w:hAnsi="Calibri"/>
                <w:szCs w:val="22"/>
              </w:rPr>
              <w:t>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276BEC" w:rsidRDefault="00824DB6" w:rsidP="002C6277">
            <w:pPr>
              <w:rPr>
                <w:rFonts w:ascii="Calibri" w:hAnsi="Calibri"/>
                <w:b/>
                <w:bCs/>
                <w:szCs w:val="22"/>
              </w:rPr>
            </w:pPr>
            <w:r w:rsidRPr="00276BEC">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77C9C317" w:rsidR="00824DB6" w:rsidRPr="00276BEC" w:rsidRDefault="00276BEC" w:rsidP="002C6277">
            <w:pPr>
              <w:rPr>
                <w:rFonts w:ascii="Calibri" w:hAnsi="Calibri"/>
                <w:szCs w:val="22"/>
              </w:rPr>
            </w:pPr>
            <w:r w:rsidRPr="00276BEC">
              <w:rPr>
                <w:rFonts w:ascii="Calibri" w:hAnsi="Calibri"/>
                <w:szCs w:val="22"/>
              </w:rPr>
              <w:t>16</w:t>
            </w:r>
            <w:r w:rsidR="00824DB6" w:rsidRPr="00276BEC">
              <w:rPr>
                <w:rFonts w:ascii="Calibri" w:hAnsi="Calibri"/>
                <w:szCs w:val="22"/>
              </w:rPr>
              <w:t>/</w:t>
            </w:r>
            <w:r w:rsidRPr="00276BEC">
              <w:rPr>
                <w:rFonts w:ascii="Calibri" w:hAnsi="Calibri"/>
                <w:szCs w:val="22"/>
              </w:rPr>
              <w:t>01</w:t>
            </w:r>
            <w:r w:rsidR="00824DB6" w:rsidRPr="00276BEC">
              <w:rPr>
                <w:rFonts w:ascii="Calibri" w:hAnsi="Calibri"/>
                <w:szCs w:val="22"/>
              </w:rPr>
              <w:t>/</w:t>
            </w:r>
            <w:r w:rsidRPr="00276BEC">
              <w:rPr>
                <w:rFonts w:ascii="Calibri" w:hAnsi="Calibri"/>
                <w:szCs w:val="22"/>
              </w:rPr>
              <w:t>23</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773A66">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1853A940" w:rsidR="004A5EA9" w:rsidRPr="00276BEC" w:rsidRDefault="00276BEC" w:rsidP="00811771">
            <w:pPr>
              <w:rPr>
                <w:rFonts w:ascii="Calibri" w:hAnsi="Calibri"/>
                <w:szCs w:val="22"/>
              </w:rPr>
            </w:pPr>
            <w:r w:rsidRPr="00276BEC">
              <w:rPr>
                <w:rFonts w:ascii="Calibri" w:hAnsi="Calibri"/>
                <w:szCs w:val="22"/>
              </w:rPr>
              <w:t>SK</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73A66">
        <w:trPr>
          <w:jc w:val="center"/>
        </w:trPr>
        <w:tc>
          <w:tcPr>
            <w:tcW w:w="5849"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2BBF07A" w:rsidR="004A5EA9" w:rsidRPr="00D2449B" w:rsidRDefault="009F4443" w:rsidP="002A01CF">
            <w:pPr>
              <w:jc w:val="center"/>
              <w:rPr>
                <w:rFonts w:ascii="Calibri" w:hAnsi="Calibri"/>
                <w:b/>
                <w:szCs w:val="22"/>
              </w:rPr>
            </w:pPr>
            <w:r>
              <w:rPr>
                <w:rFonts w:ascii="Calibri" w:hAnsi="Calibri"/>
                <w:b/>
                <w:szCs w:val="22"/>
              </w:rPr>
              <w:t>REFUSAL</w:t>
            </w:r>
          </w:p>
        </w:tc>
      </w:tr>
      <w:tr w:rsidR="004A5EA9" w:rsidRPr="00D2449B" w14:paraId="7813B96A"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0C7B7282" w:rsidR="004A5EA9" w:rsidRPr="002C6277" w:rsidRDefault="00276BEC">
            <w:pPr>
              <w:rPr>
                <w:rFonts w:ascii="Calibri" w:hAnsi="Calibri"/>
                <w:szCs w:val="22"/>
              </w:rPr>
            </w:pPr>
            <w:r w:rsidRPr="00276BEC">
              <w:rPr>
                <w:rFonts w:ascii="Calibri" w:hAnsi="Calibri"/>
                <w:szCs w:val="22"/>
              </w:rPr>
              <w:t>Erection of proposed dwelling and creation of vehicle access.</w:t>
            </w:r>
          </w:p>
        </w:tc>
      </w:tr>
      <w:tr w:rsidR="002A01CF" w:rsidRPr="00D2449B" w14:paraId="52988241"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18DB14C0" w:rsidR="002A01CF" w:rsidRPr="002C6277" w:rsidRDefault="00276BEC" w:rsidP="00A42E82">
            <w:pPr>
              <w:rPr>
                <w:rFonts w:ascii="Calibri" w:hAnsi="Calibri"/>
                <w:szCs w:val="22"/>
              </w:rPr>
            </w:pPr>
            <w:r w:rsidRPr="00276BEC">
              <w:rPr>
                <w:rFonts w:ascii="Calibri" w:hAnsi="Calibri"/>
                <w:szCs w:val="22"/>
              </w:rPr>
              <w:t>Fir Tree House 51 Downham Road Chatburn Clitheroe BB7 4AU</w:t>
            </w:r>
          </w:p>
        </w:tc>
      </w:tr>
      <w:tr w:rsidR="00A95D89" w:rsidRPr="00D2449B" w14:paraId="3FB99B2E"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308B9B6" w14:textId="54825A4E" w:rsidR="002A01CF" w:rsidRPr="00276BEC" w:rsidRDefault="00276BEC">
            <w:pPr>
              <w:rPr>
                <w:rFonts w:ascii="Calibri" w:hAnsi="Calibri"/>
                <w:bCs/>
                <w:szCs w:val="22"/>
              </w:rPr>
            </w:pPr>
            <w:r w:rsidRPr="00276BEC">
              <w:rPr>
                <w:rFonts w:ascii="Calibri" w:hAnsi="Calibri"/>
                <w:bCs/>
                <w:szCs w:val="22"/>
              </w:rPr>
              <w:t>Chatburn Parish Council have offered the following observations:</w:t>
            </w:r>
          </w:p>
          <w:p w14:paraId="15BC046E" w14:textId="77777777" w:rsidR="00276BEC" w:rsidRDefault="00276BEC">
            <w:pPr>
              <w:rPr>
                <w:rFonts w:ascii="Calibri" w:hAnsi="Calibri"/>
                <w:b/>
                <w:szCs w:val="22"/>
              </w:rPr>
            </w:pPr>
          </w:p>
          <w:p w14:paraId="1947B39C" w14:textId="4210C090" w:rsidR="00276BEC" w:rsidRPr="00276BEC" w:rsidRDefault="00276BEC" w:rsidP="00276BEC">
            <w:pPr>
              <w:rPr>
                <w:rFonts w:ascii="Calibri" w:hAnsi="Calibri"/>
                <w:bCs/>
                <w:i/>
                <w:iCs/>
                <w:szCs w:val="22"/>
              </w:rPr>
            </w:pPr>
            <w:r w:rsidRPr="00276BEC">
              <w:rPr>
                <w:rFonts w:ascii="Calibri" w:hAnsi="Calibri"/>
                <w:bCs/>
                <w:i/>
                <w:iCs/>
                <w:szCs w:val="22"/>
              </w:rPr>
              <w:t>Chatburn Parish Council has viewed the above planning application and has raised concerns that the entrance/exit to and from the property is on a heavily congested narrow road on which two vehicles are unable to pass each other and cars are parked in every available space</w:t>
            </w:r>
            <w:r>
              <w:rPr>
                <w:rFonts w:ascii="Calibri" w:hAnsi="Calibri"/>
                <w:bCs/>
                <w:i/>
                <w:iCs/>
                <w:szCs w:val="22"/>
              </w:rPr>
              <w:t>.</w:t>
            </w:r>
          </w:p>
          <w:p w14:paraId="3E1A1B2C" w14:textId="4D4CE05A" w:rsidR="00276BEC" w:rsidRPr="00D2449B" w:rsidRDefault="00276BEC" w:rsidP="00276BEC">
            <w:pPr>
              <w:rPr>
                <w:rFonts w:ascii="Calibri" w:hAnsi="Calibri"/>
                <w:b/>
                <w:szCs w:val="22"/>
              </w:rPr>
            </w:pPr>
          </w:p>
        </w:tc>
      </w:tr>
      <w:tr w:rsidR="00C618DB" w:rsidRPr="00D2449B" w14:paraId="639E958B"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62663AA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6954CA7A" w:rsidR="00276BEC" w:rsidRPr="00C0704D" w:rsidRDefault="00276BEC" w:rsidP="00D74711">
            <w:pPr>
              <w:rPr>
                <w:rFonts w:ascii="Calibri" w:hAnsi="Calibri"/>
                <w:szCs w:val="22"/>
              </w:rPr>
            </w:pPr>
            <w:r>
              <w:rPr>
                <w:rFonts w:ascii="Calibri" w:hAnsi="Calibri"/>
                <w:szCs w:val="22"/>
              </w:rPr>
              <w:t>The Local Highways Authority have raised no objections to the proposal subject to the imposition of conditions.</w:t>
            </w:r>
          </w:p>
        </w:tc>
      </w:tr>
      <w:tr w:rsidR="00C0704D" w:rsidRPr="00D2449B" w14:paraId="29EBDA1F" w14:textId="77777777" w:rsidTr="00773A66">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88D1A46" w14:textId="4C2E93A0" w:rsidR="00C0704D" w:rsidRDefault="003B2450" w:rsidP="00692B60">
            <w:pPr>
              <w:rPr>
                <w:rFonts w:ascii="Calibri" w:hAnsi="Calibri"/>
                <w:szCs w:val="22"/>
              </w:rPr>
            </w:pPr>
            <w:r>
              <w:rPr>
                <w:rFonts w:ascii="Calibri" w:hAnsi="Calibri"/>
                <w:szCs w:val="22"/>
              </w:rPr>
              <w:t>Three letters of representation have been received objecting on the following grounds:</w:t>
            </w:r>
          </w:p>
          <w:p w14:paraId="566AD222" w14:textId="77777777" w:rsidR="003B2450" w:rsidRDefault="003B2450" w:rsidP="00692B60">
            <w:pPr>
              <w:rPr>
                <w:rFonts w:ascii="Calibri" w:hAnsi="Calibri"/>
                <w:szCs w:val="22"/>
              </w:rPr>
            </w:pPr>
          </w:p>
          <w:p w14:paraId="38E518EA" w14:textId="6B2F4359" w:rsidR="00276BEC" w:rsidRDefault="003B2450" w:rsidP="003B2450">
            <w:pPr>
              <w:pStyle w:val="ListParagraph"/>
              <w:numPr>
                <w:ilvl w:val="0"/>
                <w:numId w:val="2"/>
              </w:numPr>
              <w:rPr>
                <w:rFonts w:ascii="Calibri" w:hAnsi="Calibri"/>
                <w:szCs w:val="22"/>
              </w:rPr>
            </w:pPr>
            <w:r>
              <w:rPr>
                <w:rFonts w:ascii="Calibri" w:hAnsi="Calibri"/>
                <w:szCs w:val="22"/>
              </w:rPr>
              <w:t>Not local needs housing</w:t>
            </w:r>
          </w:p>
          <w:p w14:paraId="0F37A392" w14:textId="44EE61E9" w:rsidR="003B2450" w:rsidRDefault="003B2450" w:rsidP="003B2450">
            <w:pPr>
              <w:pStyle w:val="ListParagraph"/>
              <w:numPr>
                <w:ilvl w:val="0"/>
                <w:numId w:val="2"/>
              </w:numPr>
              <w:rPr>
                <w:rFonts w:ascii="Calibri" w:hAnsi="Calibri"/>
                <w:szCs w:val="22"/>
              </w:rPr>
            </w:pPr>
            <w:r>
              <w:rPr>
                <w:rFonts w:ascii="Calibri" w:hAnsi="Calibri"/>
                <w:szCs w:val="22"/>
              </w:rPr>
              <w:t>Loss of light</w:t>
            </w:r>
          </w:p>
          <w:p w14:paraId="082EEF0E" w14:textId="6C389015" w:rsidR="003B2450" w:rsidRDefault="003B2450" w:rsidP="003B2450">
            <w:pPr>
              <w:pStyle w:val="ListParagraph"/>
              <w:numPr>
                <w:ilvl w:val="0"/>
                <w:numId w:val="2"/>
              </w:numPr>
              <w:rPr>
                <w:rFonts w:ascii="Calibri" w:hAnsi="Calibri"/>
                <w:szCs w:val="22"/>
              </w:rPr>
            </w:pPr>
            <w:r>
              <w:rPr>
                <w:rFonts w:ascii="Calibri" w:hAnsi="Calibri"/>
                <w:szCs w:val="22"/>
              </w:rPr>
              <w:t>Out of character of the area</w:t>
            </w:r>
          </w:p>
          <w:p w14:paraId="50FC6007" w14:textId="37964863" w:rsidR="003B2450" w:rsidRDefault="003B2450" w:rsidP="003B2450">
            <w:pPr>
              <w:pStyle w:val="ListParagraph"/>
              <w:numPr>
                <w:ilvl w:val="0"/>
                <w:numId w:val="2"/>
              </w:numPr>
              <w:rPr>
                <w:rFonts w:ascii="Calibri" w:hAnsi="Calibri"/>
                <w:szCs w:val="22"/>
              </w:rPr>
            </w:pPr>
            <w:r>
              <w:rPr>
                <w:rFonts w:ascii="Calibri" w:hAnsi="Calibri"/>
                <w:szCs w:val="22"/>
              </w:rPr>
              <w:t>Design in unsympathetic</w:t>
            </w:r>
          </w:p>
          <w:p w14:paraId="1B63CA05" w14:textId="596B312A" w:rsidR="003B2450" w:rsidRDefault="003B2450" w:rsidP="003B2450">
            <w:pPr>
              <w:pStyle w:val="ListParagraph"/>
              <w:numPr>
                <w:ilvl w:val="0"/>
                <w:numId w:val="2"/>
              </w:numPr>
              <w:rPr>
                <w:rFonts w:ascii="Calibri" w:hAnsi="Calibri"/>
                <w:szCs w:val="22"/>
              </w:rPr>
            </w:pPr>
            <w:r>
              <w:rPr>
                <w:rFonts w:ascii="Calibri" w:hAnsi="Calibri"/>
                <w:szCs w:val="22"/>
              </w:rPr>
              <w:t>Detriment to character of the Conservation Area</w:t>
            </w:r>
          </w:p>
          <w:p w14:paraId="00AAE1C8" w14:textId="1A30FCF2" w:rsidR="003B2450" w:rsidRDefault="003B2450" w:rsidP="003B2450">
            <w:pPr>
              <w:pStyle w:val="ListParagraph"/>
              <w:numPr>
                <w:ilvl w:val="0"/>
                <w:numId w:val="2"/>
              </w:numPr>
              <w:rPr>
                <w:rFonts w:ascii="Calibri" w:hAnsi="Calibri"/>
                <w:szCs w:val="22"/>
              </w:rPr>
            </w:pPr>
            <w:r>
              <w:rPr>
                <w:rFonts w:ascii="Calibri" w:hAnsi="Calibri"/>
                <w:szCs w:val="22"/>
              </w:rPr>
              <w:t>Inadequate access/highways arrangement</w:t>
            </w:r>
          </w:p>
          <w:p w14:paraId="64648470" w14:textId="0C0765D8" w:rsidR="003B2450" w:rsidRPr="003B2450" w:rsidRDefault="003B2450" w:rsidP="003B2450">
            <w:pPr>
              <w:pStyle w:val="ListParagraph"/>
              <w:numPr>
                <w:ilvl w:val="0"/>
                <w:numId w:val="2"/>
              </w:numPr>
              <w:rPr>
                <w:rFonts w:ascii="Calibri" w:hAnsi="Calibri"/>
                <w:szCs w:val="22"/>
              </w:rPr>
            </w:pPr>
            <w:r>
              <w:rPr>
                <w:rFonts w:ascii="Calibri" w:hAnsi="Calibri"/>
                <w:szCs w:val="22"/>
              </w:rPr>
              <w:t>Detriment to highways safety</w:t>
            </w:r>
          </w:p>
          <w:p w14:paraId="581BB273" w14:textId="7835B449" w:rsidR="00276BEC" w:rsidRPr="00C0704D" w:rsidRDefault="00276BEC" w:rsidP="00692B60">
            <w:pPr>
              <w:rPr>
                <w:rFonts w:ascii="Calibri" w:hAnsi="Calibri"/>
                <w:szCs w:val="22"/>
              </w:rPr>
            </w:pPr>
          </w:p>
        </w:tc>
      </w:tr>
      <w:tr w:rsidR="00C0704D" w:rsidRPr="00D2449B" w14:paraId="1CDFA4C3"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755A435" w14:textId="77777777" w:rsidR="00A640B1" w:rsidRPr="00D2449B" w:rsidRDefault="00A640B1" w:rsidP="00A640B1">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2B897486" w14:textId="77777777" w:rsidR="00A640B1" w:rsidRDefault="00A640B1" w:rsidP="00A640B1">
            <w:pPr>
              <w:rPr>
                <w:rFonts w:ascii="Calibri" w:hAnsi="Calibri"/>
                <w:b/>
                <w:szCs w:val="22"/>
              </w:rPr>
            </w:pPr>
          </w:p>
          <w:p w14:paraId="5348087A" w14:textId="77777777" w:rsidR="00A640B1" w:rsidRPr="00C618DB" w:rsidRDefault="00A640B1" w:rsidP="00A640B1">
            <w:pPr>
              <w:pStyle w:val="PLANNING"/>
              <w:rPr>
                <w:rFonts w:ascii="Calibri" w:hAnsi="Calibri"/>
                <w:szCs w:val="22"/>
              </w:rPr>
            </w:pPr>
            <w:r w:rsidRPr="00C618DB">
              <w:rPr>
                <w:rFonts w:ascii="Calibri" w:hAnsi="Calibri"/>
                <w:szCs w:val="22"/>
              </w:rPr>
              <w:t>Key Statement DS1 – Development Strategy</w:t>
            </w:r>
          </w:p>
          <w:p w14:paraId="0D7A1B52" w14:textId="77777777" w:rsidR="00A640B1" w:rsidRPr="00C618DB" w:rsidRDefault="00A640B1" w:rsidP="00A640B1">
            <w:pPr>
              <w:pStyle w:val="PLANNING"/>
              <w:rPr>
                <w:rFonts w:ascii="Calibri" w:hAnsi="Calibri"/>
                <w:szCs w:val="22"/>
              </w:rPr>
            </w:pPr>
            <w:r w:rsidRPr="00C618DB">
              <w:rPr>
                <w:rFonts w:ascii="Calibri" w:hAnsi="Calibri"/>
                <w:szCs w:val="22"/>
              </w:rPr>
              <w:t>Key Statement DS2 – Sustainable Development</w:t>
            </w:r>
          </w:p>
          <w:p w14:paraId="2076DAF4" w14:textId="1252DE3F" w:rsidR="00A640B1" w:rsidRDefault="00A640B1" w:rsidP="00A640B1">
            <w:pPr>
              <w:pStyle w:val="PLANNING"/>
              <w:rPr>
                <w:rFonts w:ascii="Calibri" w:hAnsi="Calibri"/>
                <w:szCs w:val="22"/>
              </w:rPr>
            </w:pPr>
            <w:r w:rsidRPr="00C618DB">
              <w:rPr>
                <w:rFonts w:ascii="Calibri" w:hAnsi="Calibri"/>
                <w:szCs w:val="22"/>
              </w:rPr>
              <w:t>Key Statement DMI2 – Transport Considerations</w:t>
            </w:r>
          </w:p>
          <w:p w14:paraId="5A8DC0AB" w14:textId="77777777" w:rsidR="00A640B1" w:rsidRDefault="00A640B1" w:rsidP="00A640B1">
            <w:pPr>
              <w:pStyle w:val="PLANNING"/>
              <w:rPr>
                <w:rFonts w:ascii="Calibri" w:hAnsi="Calibri"/>
                <w:szCs w:val="22"/>
              </w:rPr>
            </w:pPr>
            <w:r>
              <w:rPr>
                <w:rFonts w:ascii="Calibri" w:hAnsi="Calibri"/>
                <w:szCs w:val="22"/>
              </w:rPr>
              <w:t xml:space="preserve">Key Statement EN5 – Heritage Assets </w:t>
            </w:r>
          </w:p>
          <w:p w14:paraId="0B25528A" w14:textId="77777777" w:rsidR="00A640B1" w:rsidRPr="00A2019B" w:rsidRDefault="00A640B1" w:rsidP="00A640B1">
            <w:pPr>
              <w:pStyle w:val="PLANNING"/>
              <w:jc w:val="left"/>
              <w:rPr>
                <w:rFonts w:asciiTheme="minorHAnsi" w:hAnsiTheme="minorHAnsi" w:cstheme="minorHAnsi"/>
                <w:bCs/>
                <w:szCs w:val="22"/>
              </w:rPr>
            </w:pPr>
          </w:p>
          <w:p w14:paraId="689B5928" w14:textId="77777777" w:rsidR="00A640B1" w:rsidRPr="00C618DB" w:rsidRDefault="00A640B1" w:rsidP="00A640B1">
            <w:pPr>
              <w:pStyle w:val="PLANNING"/>
              <w:rPr>
                <w:rFonts w:ascii="Calibri" w:hAnsi="Calibri"/>
                <w:szCs w:val="22"/>
              </w:rPr>
            </w:pPr>
            <w:r w:rsidRPr="00C618DB">
              <w:rPr>
                <w:rFonts w:ascii="Calibri" w:hAnsi="Calibri"/>
                <w:szCs w:val="22"/>
              </w:rPr>
              <w:t>Policy DMG1 – General Considerations</w:t>
            </w:r>
          </w:p>
          <w:p w14:paraId="2AB84FEA" w14:textId="77777777" w:rsidR="00A640B1" w:rsidRPr="00C618DB" w:rsidRDefault="00A640B1" w:rsidP="00A640B1">
            <w:pPr>
              <w:pStyle w:val="PLANNING"/>
              <w:rPr>
                <w:rFonts w:ascii="Calibri" w:hAnsi="Calibri"/>
                <w:szCs w:val="22"/>
              </w:rPr>
            </w:pPr>
            <w:r w:rsidRPr="00C618DB">
              <w:rPr>
                <w:rFonts w:ascii="Calibri" w:hAnsi="Calibri"/>
                <w:szCs w:val="22"/>
              </w:rPr>
              <w:t>Policy DMG2 – Strategic Considerations</w:t>
            </w:r>
          </w:p>
          <w:p w14:paraId="7BDE8B90" w14:textId="28D5414D" w:rsidR="00A640B1" w:rsidRDefault="00A640B1" w:rsidP="00A640B1">
            <w:pPr>
              <w:pStyle w:val="PLANNING"/>
              <w:rPr>
                <w:rFonts w:ascii="Calibri" w:hAnsi="Calibri"/>
                <w:szCs w:val="22"/>
              </w:rPr>
            </w:pPr>
            <w:r w:rsidRPr="00C618DB">
              <w:rPr>
                <w:rFonts w:ascii="Calibri" w:hAnsi="Calibri"/>
                <w:szCs w:val="22"/>
              </w:rPr>
              <w:t>Policy DMG3 – Transport &amp; Mobility</w:t>
            </w:r>
          </w:p>
          <w:p w14:paraId="1836F294" w14:textId="73D7D697" w:rsidR="001F428C" w:rsidRDefault="001F428C" w:rsidP="00A640B1">
            <w:pPr>
              <w:pStyle w:val="PLANNING"/>
              <w:rPr>
                <w:rFonts w:ascii="Calibri" w:hAnsi="Calibri"/>
                <w:szCs w:val="22"/>
              </w:rPr>
            </w:pPr>
            <w:r>
              <w:rPr>
                <w:rFonts w:ascii="Calibri" w:hAnsi="Calibri"/>
                <w:szCs w:val="22"/>
              </w:rPr>
              <w:t>Policy DMH5 – Residential &amp; Curtilage Extensions</w:t>
            </w:r>
          </w:p>
          <w:p w14:paraId="4DD1DC8F" w14:textId="5D6073E1" w:rsidR="005D492B" w:rsidRDefault="005D492B" w:rsidP="005D492B">
            <w:pPr>
              <w:pStyle w:val="PLANNING"/>
              <w:rPr>
                <w:rFonts w:ascii="Calibri" w:hAnsi="Calibri"/>
                <w:szCs w:val="22"/>
              </w:rPr>
            </w:pPr>
            <w:r>
              <w:rPr>
                <w:rFonts w:ascii="Calibri" w:hAnsi="Calibri"/>
                <w:szCs w:val="22"/>
              </w:rPr>
              <w:lastRenderedPageBreak/>
              <w:t>Policy DME1 – Protecting Trees and Woodlands</w:t>
            </w:r>
          </w:p>
          <w:p w14:paraId="0F5F15BE" w14:textId="0534FCD8" w:rsidR="005D492B" w:rsidRDefault="005D492B" w:rsidP="00A640B1">
            <w:pPr>
              <w:pStyle w:val="PLANNING"/>
              <w:rPr>
                <w:rFonts w:ascii="Calibri" w:hAnsi="Calibri"/>
                <w:szCs w:val="22"/>
              </w:rPr>
            </w:pPr>
            <w:r>
              <w:rPr>
                <w:rFonts w:ascii="Calibri" w:hAnsi="Calibri"/>
                <w:szCs w:val="22"/>
              </w:rPr>
              <w:t xml:space="preserve">Policy DME2 – Landscape and Townscape Protection </w:t>
            </w:r>
          </w:p>
          <w:p w14:paraId="6474164F" w14:textId="5704FDC1" w:rsidR="00065844" w:rsidRDefault="00065844" w:rsidP="00065844">
            <w:pPr>
              <w:pStyle w:val="PLANNING"/>
              <w:rPr>
                <w:rFonts w:ascii="Calibri" w:hAnsi="Calibri"/>
                <w:szCs w:val="22"/>
              </w:rPr>
            </w:pPr>
            <w:r>
              <w:rPr>
                <w:rFonts w:ascii="Calibri" w:hAnsi="Calibri"/>
                <w:szCs w:val="22"/>
              </w:rPr>
              <w:t xml:space="preserve">Policy DME3 – Site and Species Protection and Conservation </w:t>
            </w:r>
          </w:p>
          <w:p w14:paraId="239CFF10" w14:textId="136EE7FC" w:rsidR="00A640B1" w:rsidRDefault="00A640B1" w:rsidP="00A640B1">
            <w:pPr>
              <w:pStyle w:val="PLANNING"/>
              <w:rPr>
                <w:rFonts w:ascii="Calibri" w:hAnsi="Calibri"/>
                <w:szCs w:val="22"/>
              </w:rPr>
            </w:pPr>
            <w:r>
              <w:rPr>
                <w:rFonts w:ascii="Calibri" w:hAnsi="Calibri"/>
                <w:szCs w:val="22"/>
              </w:rPr>
              <w:t xml:space="preserve">Policy DME4 – Protecting </w:t>
            </w:r>
            <w:r w:rsidR="005D492B">
              <w:rPr>
                <w:rFonts w:ascii="Calibri" w:hAnsi="Calibri"/>
                <w:szCs w:val="22"/>
              </w:rPr>
              <w:t>H</w:t>
            </w:r>
            <w:r>
              <w:rPr>
                <w:rFonts w:ascii="Calibri" w:hAnsi="Calibri"/>
                <w:szCs w:val="22"/>
              </w:rPr>
              <w:t xml:space="preserve">eritage Assets </w:t>
            </w:r>
          </w:p>
          <w:p w14:paraId="58F1C414" w14:textId="77777777" w:rsidR="00A640B1" w:rsidRDefault="00A640B1" w:rsidP="00A640B1">
            <w:pPr>
              <w:pStyle w:val="PLANNING"/>
              <w:rPr>
                <w:rFonts w:ascii="Calibri" w:hAnsi="Calibri"/>
                <w:szCs w:val="22"/>
              </w:rPr>
            </w:pPr>
          </w:p>
          <w:p w14:paraId="4DFC271B" w14:textId="77777777" w:rsidR="00A640B1" w:rsidRDefault="00A640B1" w:rsidP="00A640B1">
            <w:pPr>
              <w:rPr>
                <w:rFonts w:ascii="Calibri" w:hAnsi="Calibri"/>
                <w:szCs w:val="22"/>
              </w:rPr>
            </w:pPr>
            <w:r w:rsidRPr="00C618DB">
              <w:rPr>
                <w:rFonts w:ascii="Calibri" w:hAnsi="Calibri"/>
                <w:szCs w:val="22"/>
              </w:rPr>
              <w:t>National Planning Policy Framework (NPPF)</w:t>
            </w:r>
          </w:p>
          <w:p w14:paraId="5D75099A" w14:textId="77777777" w:rsidR="00A640B1" w:rsidRDefault="00A640B1" w:rsidP="00A640B1">
            <w:pPr>
              <w:overflowPunct/>
              <w:autoSpaceDE/>
              <w:autoSpaceDN/>
              <w:adjustRightInd/>
              <w:ind w:left="720" w:hanging="720"/>
              <w:jc w:val="both"/>
              <w:textAlignment w:val="auto"/>
              <w:rPr>
                <w:rFonts w:asciiTheme="minorHAnsi" w:hAnsiTheme="minorHAnsi" w:cstheme="minorHAnsi"/>
                <w:szCs w:val="22"/>
              </w:rPr>
            </w:pPr>
            <w:r>
              <w:rPr>
                <w:rFonts w:asciiTheme="minorHAnsi" w:hAnsiTheme="minorHAnsi" w:cstheme="minorHAnsi"/>
                <w:szCs w:val="22"/>
              </w:rPr>
              <w:t>S</w:t>
            </w:r>
            <w:r w:rsidRPr="00D0475F">
              <w:rPr>
                <w:rFonts w:asciiTheme="minorHAnsi" w:hAnsiTheme="minorHAnsi" w:cstheme="minorHAnsi"/>
                <w:szCs w:val="22"/>
              </w:rPr>
              <w:t>ection 66 and 72 of the Planning (Listed</w:t>
            </w:r>
            <w:r>
              <w:rPr>
                <w:rFonts w:asciiTheme="minorHAnsi" w:hAnsiTheme="minorHAnsi" w:cstheme="minorHAnsi"/>
                <w:szCs w:val="22"/>
              </w:rPr>
              <w:t xml:space="preserve"> </w:t>
            </w:r>
            <w:r w:rsidRPr="00D0475F">
              <w:rPr>
                <w:rFonts w:asciiTheme="minorHAnsi" w:hAnsiTheme="minorHAnsi" w:cstheme="minorHAnsi"/>
                <w:szCs w:val="22"/>
              </w:rPr>
              <w:t>Buildings and Conservation Areas) Act 1990</w:t>
            </w:r>
          </w:p>
          <w:p w14:paraId="6DFE4E21" w14:textId="3ADA6918" w:rsidR="00A640B1" w:rsidRDefault="005D492B" w:rsidP="00A640B1">
            <w:pPr>
              <w:overflowPunct/>
              <w:autoSpaceDE/>
              <w:autoSpaceDN/>
              <w:adjustRightInd/>
              <w:ind w:left="720" w:hanging="720"/>
              <w:jc w:val="both"/>
              <w:textAlignment w:val="auto"/>
              <w:rPr>
                <w:rFonts w:asciiTheme="minorHAnsi" w:hAnsiTheme="minorHAnsi" w:cstheme="minorHAnsi"/>
                <w:szCs w:val="22"/>
              </w:rPr>
            </w:pPr>
            <w:r>
              <w:rPr>
                <w:rFonts w:asciiTheme="minorHAnsi" w:hAnsiTheme="minorHAnsi" w:cstheme="minorHAnsi"/>
                <w:szCs w:val="22"/>
              </w:rPr>
              <w:t>Chatburn</w:t>
            </w:r>
            <w:r w:rsidR="00A640B1">
              <w:rPr>
                <w:rFonts w:asciiTheme="minorHAnsi" w:hAnsiTheme="minorHAnsi" w:cstheme="minorHAnsi"/>
                <w:szCs w:val="22"/>
              </w:rPr>
              <w:t xml:space="preserve"> Conservation Area Appraisal</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lastRenderedPageBreak/>
              <w:t>Relevant Planning History:</w:t>
            </w:r>
          </w:p>
          <w:p w14:paraId="1D356246" w14:textId="77777777" w:rsidR="00C0704D" w:rsidRDefault="00C0704D" w:rsidP="00C0704D">
            <w:pPr>
              <w:pStyle w:val="PLANNING"/>
              <w:rPr>
                <w:rFonts w:ascii="Calibri" w:hAnsi="Calibri"/>
                <w:b/>
                <w:bCs/>
                <w:szCs w:val="22"/>
              </w:rPr>
            </w:pPr>
          </w:p>
          <w:p w14:paraId="21B0EA50" w14:textId="0D4A77CA" w:rsidR="0046548C" w:rsidRPr="00065844" w:rsidRDefault="00065844" w:rsidP="00C0704D">
            <w:pPr>
              <w:pStyle w:val="PLANNING"/>
              <w:rPr>
                <w:rFonts w:ascii="Calibri" w:hAnsi="Calibri"/>
                <w:szCs w:val="22"/>
              </w:rPr>
            </w:pPr>
            <w:r w:rsidRPr="00065844">
              <w:rPr>
                <w:rFonts w:ascii="Calibri" w:hAnsi="Calibri"/>
                <w:szCs w:val="22"/>
              </w:rPr>
              <w:t>No recent planning history directly relevant to the determination of the application.</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773A66">
        <w:trPr>
          <w:trHeight w:hRule="exact" w:val="170"/>
          <w:jc w:val="center"/>
        </w:trPr>
        <w:tc>
          <w:tcPr>
            <w:tcW w:w="9519" w:type="dxa"/>
            <w:gridSpan w:val="1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2B5AD3C3" w14:textId="74547D77" w:rsidR="00C0704D" w:rsidRDefault="00957876" w:rsidP="00B93EB5">
            <w:pPr>
              <w:pStyle w:val="Header"/>
              <w:tabs>
                <w:tab w:val="clear" w:pos="4153"/>
                <w:tab w:val="clear" w:pos="8306"/>
              </w:tabs>
              <w:contextualSpacing/>
              <w:jc w:val="both"/>
              <w:rPr>
                <w:rFonts w:ascii="Calibri" w:hAnsi="Calibri"/>
                <w:bCs/>
                <w:szCs w:val="22"/>
              </w:rPr>
            </w:pPr>
            <w:r>
              <w:rPr>
                <w:rFonts w:ascii="Calibri" w:hAnsi="Calibri"/>
                <w:bCs/>
                <w:szCs w:val="22"/>
              </w:rPr>
              <w:t>The application relates to an area of residential curtilage associated with 51 Downham Road, Chatburn.  The area currently accommodate</w:t>
            </w:r>
            <w:r w:rsidR="00016B59">
              <w:rPr>
                <w:rFonts w:ascii="Calibri" w:hAnsi="Calibri"/>
                <w:bCs/>
                <w:szCs w:val="22"/>
              </w:rPr>
              <w:t>s</w:t>
            </w:r>
            <w:r>
              <w:rPr>
                <w:rFonts w:ascii="Calibri" w:hAnsi="Calibri"/>
                <w:bCs/>
                <w:szCs w:val="22"/>
              </w:rPr>
              <w:t xml:space="preserve"> areas of garden and a tennis court </w:t>
            </w:r>
            <w:r w:rsidR="008626FB">
              <w:rPr>
                <w:rFonts w:ascii="Calibri" w:hAnsi="Calibri"/>
                <w:bCs/>
                <w:szCs w:val="22"/>
              </w:rPr>
              <w:t>incidental to the household.  The immediate area is predominantly residential in character, with the site being located within the defined settlement limits of Chatburn, also being within the designated Chatburn Conservation Area.</w:t>
            </w:r>
            <w:r w:rsidR="00284917">
              <w:rPr>
                <w:rFonts w:ascii="Calibri" w:hAnsi="Calibri"/>
                <w:bCs/>
                <w:szCs w:val="22"/>
              </w:rPr>
              <w:t xml:space="preserve"> The Chatburn Conservation Area Townscape Appraisal Map indicates that Fir Trees House and 53 Downham Road are buildings of townscape merit. 55-57 Downham Road is a Grade II Listed Building.</w:t>
            </w:r>
          </w:p>
          <w:p w14:paraId="62370E9F" w14:textId="2CDCBD67" w:rsidR="00957876" w:rsidRPr="006C2BFA" w:rsidRDefault="00957876"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64DC9D7C" w14:textId="1422392C" w:rsidR="008626FB" w:rsidRDefault="008626FB" w:rsidP="008626FB">
            <w:pPr>
              <w:jc w:val="both"/>
              <w:rPr>
                <w:rFonts w:ascii="Calibri" w:hAnsi="Calibri"/>
                <w:szCs w:val="22"/>
              </w:rPr>
            </w:pPr>
            <w:r>
              <w:rPr>
                <w:rFonts w:ascii="Calibri" w:hAnsi="Calibri"/>
                <w:szCs w:val="22"/>
              </w:rPr>
              <w:t>The submitted details seek consent for the erection of a single residential dwelling within the existing curtilage of number 51 Downham Road.  It is proposed that the dwelling will be set-back from the primary road frontage to the north, being located behind the dominant building-line on the southern extents of Downham Road.  It is proposed that a new vehicular access will be created off Downham Road to serve the dwelling, with the curtilage of the existing dwelling being subdivided to serve both the existing dwelling and that of the proposed.</w:t>
            </w:r>
          </w:p>
          <w:p w14:paraId="1B20488F" w14:textId="6893F73D" w:rsidR="008626FB" w:rsidRPr="00D54E67" w:rsidRDefault="008626FB" w:rsidP="008626FB">
            <w:pPr>
              <w:rPr>
                <w:rFonts w:ascii="Calibri" w:hAnsi="Calibri"/>
                <w:szCs w:val="22"/>
              </w:rPr>
            </w:pPr>
          </w:p>
        </w:tc>
      </w:tr>
      <w:tr w:rsidR="0046548C" w:rsidRPr="00D2449B" w14:paraId="06BBE02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1C8FBC75" w14:textId="7D470B38" w:rsidR="0046548C" w:rsidRDefault="00FA443F" w:rsidP="008542DE">
            <w:pPr>
              <w:pStyle w:val="Header"/>
              <w:tabs>
                <w:tab w:val="clear" w:pos="4153"/>
                <w:tab w:val="clear" w:pos="8306"/>
              </w:tabs>
              <w:contextualSpacing/>
              <w:jc w:val="both"/>
              <w:rPr>
                <w:rFonts w:ascii="Calibri" w:hAnsi="Calibri"/>
                <w:bCs/>
                <w:szCs w:val="22"/>
              </w:rPr>
            </w:pPr>
            <w:r w:rsidRPr="00FA443F">
              <w:rPr>
                <w:rFonts w:ascii="Calibri" w:hAnsi="Calibri"/>
                <w:bCs/>
                <w:szCs w:val="22"/>
              </w:rPr>
              <w:t>The application site lies, for the most part, within the defined settlement limits of Chatburn (Tier 1 settlement)</w:t>
            </w:r>
            <w:r>
              <w:rPr>
                <w:rFonts w:ascii="Calibri" w:hAnsi="Calibri"/>
                <w:bCs/>
                <w:szCs w:val="22"/>
              </w:rPr>
              <w:t>.  A</w:t>
            </w:r>
            <w:r w:rsidRPr="00FA443F">
              <w:rPr>
                <w:rFonts w:ascii="Calibri" w:hAnsi="Calibri"/>
                <w:bCs/>
                <w:szCs w:val="22"/>
              </w:rPr>
              <w:t xml:space="preserve">s such the principle of the development of the site for further residential purposes, notwithstanding other development management considerations, would be in broad alignment </w:t>
            </w:r>
            <w:r>
              <w:rPr>
                <w:rFonts w:ascii="Calibri" w:hAnsi="Calibri"/>
                <w:bCs/>
                <w:szCs w:val="22"/>
              </w:rPr>
              <w:t>with the development Strategy for the borough in terms of the locational and spatial aspirations for new residential dwellings, as embodied within Policy DMG2 of the Ribble Valley Core Strategy.</w:t>
            </w:r>
          </w:p>
          <w:p w14:paraId="235627E9" w14:textId="3B45DCFA" w:rsidR="00FA443F" w:rsidRDefault="00FA443F" w:rsidP="008542DE">
            <w:pPr>
              <w:pStyle w:val="Header"/>
              <w:tabs>
                <w:tab w:val="clear" w:pos="4153"/>
                <w:tab w:val="clear" w:pos="8306"/>
              </w:tabs>
              <w:contextualSpacing/>
              <w:jc w:val="both"/>
              <w:rPr>
                <w:rFonts w:ascii="Calibri" w:hAnsi="Calibri"/>
                <w:bCs/>
                <w:szCs w:val="22"/>
              </w:rPr>
            </w:pPr>
          </w:p>
          <w:p w14:paraId="023B39AB" w14:textId="70F9242E" w:rsidR="00FA443F" w:rsidRDefault="00FA443F" w:rsidP="008542DE">
            <w:pPr>
              <w:pStyle w:val="Header"/>
              <w:tabs>
                <w:tab w:val="clear" w:pos="4153"/>
                <w:tab w:val="clear" w:pos="8306"/>
              </w:tabs>
              <w:contextualSpacing/>
              <w:jc w:val="both"/>
              <w:rPr>
                <w:rFonts w:ascii="Calibri" w:hAnsi="Calibri"/>
                <w:bCs/>
                <w:szCs w:val="22"/>
              </w:rPr>
            </w:pPr>
            <w:r>
              <w:rPr>
                <w:rFonts w:ascii="Calibri" w:hAnsi="Calibri"/>
                <w:bCs/>
                <w:szCs w:val="22"/>
              </w:rPr>
              <w:t>However, it is also noted that the proposed site plan also proposes the extension of the existing residential curtilage, at the southern extents of the site, outside of the defined settlement limits of Chatburn, including a small area that benefits from an open countryside designation.  In this respect Policy DMH5 is engaged which states that:</w:t>
            </w:r>
          </w:p>
          <w:p w14:paraId="76B7D8C2" w14:textId="06037939" w:rsidR="00FA443F" w:rsidRDefault="00FA443F" w:rsidP="008542DE">
            <w:pPr>
              <w:pStyle w:val="Header"/>
              <w:tabs>
                <w:tab w:val="clear" w:pos="4153"/>
                <w:tab w:val="clear" w:pos="8306"/>
              </w:tabs>
              <w:contextualSpacing/>
              <w:jc w:val="both"/>
              <w:rPr>
                <w:rFonts w:ascii="Calibri" w:hAnsi="Calibri"/>
                <w:bCs/>
                <w:szCs w:val="22"/>
              </w:rPr>
            </w:pPr>
          </w:p>
          <w:p w14:paraId="75980858" w14:textId="77777777" w:rsidR="00C8179A" w:rsidRPr="00C8179A" w:rsidRDefault="00C8179A" w:rsidP="00C8179A">
            <w:pPr>
              <w:jc w:val="both"/>
              <w:rPr>
                <w:rFonts w:asciiTheme="minorHAnsi" w:hAnsiTheme="minorHAnsi" w:cstheme="minorHAnsi"/>
                <w:i/>
                <w:iCs/>
                <w:szCs w:val="22"/>
              </w:rPr>
            </w:pPr>
            <w:r w:rsidRPr="00C8179A">
              <w:rPr>
                <w:rFonts w:asciiTheme="minorHAnsi" w:hAnsiTheme="minorHAnsi" w:cstheme="minorHAnsi"/>
                <w:i/>
                <w:iCs/>
                <w:szCs w:val="22"/>
              </w:rPr>
              <w:t>Proposals to extend or alter existing residential properties must accord with Policy DMG1 and any relevant designations within which the site is located.  Proposals that are for the extension of properties to provide accommodation for elderly or dependant relatives will also be subject to the following criteria:</w:t>
            </w:r>
          </w:p>
          <w:p w14:paraId="64852043" w14:textId="77777777" w:rsidR="00C8179A" w:rsidRPr="00C8179A" w:rsidRDefault="00C8179A" w:rsidP="00C8179A">
            <w:pPr>
              <w:jc w:val="both"/>
              <w:rPr>
                <w:rFonts w:asciiTheme="minorHAnsi" w:hAnsiTheme="minorHAnsi" w:cstheme="minorHAnsi"/>
                <w:i/>
                <w:iCs/>
                <w:szCs w:val="22"/>
              </w:rPr>
            </w:pPr>
          </w:p>
          <w:p w14:paraId="623393C3" w14:textId="77777777" w:rsidR="00C8179A" w:rsidRPr="00C8179A" w:rsidRDefault="00C8179A" w:rsidP="00C8179A">
            <w:pPr>
              <w:pStyle w:val="ListParagraph"/>
              <w:numPr>
                <w:ilvl w:val="0"/>
                <w:numId w:val="5"/>
              </w:numPr>
              <w:overflowPunct/>
              <w:autoSpaceDE/>
              <w:autoSpaceDN/>
              <w:adjustRightInd/>
              <w:jc w:val="both"/>
              <w:textAlignment w:val="auto"/>
              <w:rPr>
                <w:rFonts w:asciiTheme="minorHAnsi" w:hAnsiTheme="minorHAnsi" w:cstheme="minorHAnsi"/>
                <w:i/>
                <w:iCs/>
                <w:szCs w:val="22"/>
              </w:rPr>
            </w:pPr>
            <w:r w:rsidRPr="00C8179A">
              <w:rPr>
                <w:rFonts w:asciiTheme="minorHAnsi" w:hAnsiTheme="minorHAnsi" w:cstheme="minorHAnsi"/>
                <w:i/>
                <w:iCs/>
                <w:szCs w:val="22"/>
              </w:rPr>
              <w:t>The development must be capable of integration into the main dwelling or a use that is ancillary to the use of the main dwelling housing when circumstances change.</w:t>
            </w:r>
          </w:p>
          <w:p w14:paraId="6FB88F7B" w14:textId="77777777" w:rsidR="00C8179A" w:rsidRPr="00C8179A" w:rsidRDefault="00C8179A" w:rsidP="00C8179A">
            <w:pPr>
              <w:pStyle w:val="ListParagraph"/>
              <w:numPr>
                <w:ilvl w:val="0"/>
                <w:numId w:val="5"/>
              </w:numPr>
              <w:overflowPunct/>
              <w:autoSpaceDE/>
              <w:autoSpaceDN/>
              <w:adjustRightInd/>
              <w:jc w:val="both"/>
              <w:textAlignment w:val="auto"/>
              <w:rPr>
                <w:rFonts w:asciiTheme="minorHAnsi" w:hAnsiTheme="minorHAnsi" w:cstheme="minorHAnsi"/>
                <w:i/>
                <w:iCs/>
                <w:szCs w:val="22"/>
              </w:rPr>
            </w:pPr>
            <w:r w:rsidRPr="00C8179A">
              <w:rPr>
                <w:rFonts w:asciiTheme="minorHAnsi" w:hAnsiTheme="minorHAnsi" w:cstheme="minorHAnsi"/>
                <w:i/>
                <w:iCs/>
                <w:szCs w:val="22"/>
              </w:rPr>
              <w:lastRenderedPageBreak/>
              <w:t xml:space="preserve">The extension should </w:t>
            </w:r>
            <w:proofErr w:type="gramStart"/>
            <w:r w:rsidRPr="00C8179A">
              <w:rPr>
                <w:rFonts w:asciiTheme="minorHAnsi" w:hAnsiTheme="minorHAnsi" w:cstheme="minorHAnsi"/>
                <w:i/>
                <w:iCs/>
                <w:szCs w:val="22"/>
              </w:rPr>
              <w:t>generally speaking provide</w:t>
            </w:r>
            <w:proofErr w:type="gramEnd"/>
            <w:r w:rsidRPr="00C8179A">
              <w:rPr>
                <w:rFonts w:asciiTheme="minorHAnsi" w:hAnsiTheme="minorHAnsi" w:cstheme="minorHAnsi"/>
                <w:i/>
                <w:iCs/>
                <w:szCs w:val="22"/>
              </w:rPr>
              <w:t xml:space="preserve"> only a modest level of accommodation. </w:t>
            </w:r>
          </w:p>
          <w:p w14:paraId="16655440" w14:textId="77777777" w:rsidR="00C8179A" w:rsidRPr="00C8179A" w:rsidRDefault="00C8179A" w:rsidP="00C8179A">
            <w:pPr>
              <w:pStyle w:val="ListParagraph"/>
              <w:jc w:val="both"/>
              <w:rPr>
                <w:rFonts w:asciiTheme="minorHAnsi" w:hAnsiTheme="minorHAnsi" w:cstheme="minorHAnsi"/>
                <w:b/>
                <w:bCs/>
                <w:i/>
                <w:iCs/>
                <w:szCs w:val="22"/>
              </w:rPr>
            </w:pPr>
          </w:p>
          <w:p w14:paraId="485DEAC0" w14:textId="77777777" w:rsidR="00C8179A" w:rsidRPr="00C8179A" w:rsidRDefault="00C8179A" w:rsidP="00C8179A">
            <w:pPr>
              <w:pStyle w:val="ListParagraph"/>
              <w:ind w:left="22"/>
              <w:jc w:val="both"/>
              <w:rPr>
                <w:rFonts w:asciiTheme="minorHAnsi" w:hAnsiTheme="minorHAnsi" w:cstheme="minorHAnsi"/>
                <w:i/>
                <w:iCs/>
                <w:szCs w:val="22"/>
              </w:rPr>
            </w:pPr>
            <w:r w:rsidRPr="00C8179A">
              <w:rPr>
                <w:rFonts w:asciiTheme="minorHAnsi" w:hAnsiTheme="minorHAnsi" w:cstheme="minorHAnsi"/>
                <w:i/>
                <w:iCs/>
                <w:szCs w:val="22"/>
              </w:rPr>
              <w:t xml:space="preserve">Proposals for the extension of curtilage will be approved if: </w:t>
            </w:r>
          </w:p>
          <w:p w14:paraId="560396E0" w14:textId="77777777" w:rsidR="00C8179A" w:rsidRPr="00C8179A" w:rsidRDefault="00C8179A" w:rsidP="00C8179A">
            <w:pPr>
              <w:pStyle w:val="ListParagraph"/>
              <w:ind w:left="22"/>
              <w:jc w:val="both"/>
              <w:rPr>
                <w:rFonts w:asciiTheme="minorHAnsi" w:hAnsiTheme="minorHAnsi" w:cstheme="minorHAnsi"/>
                <w:i/>
                <w:iCs/>
                <w:szCs w:val="22"/>
              </w:rPr>
            </w:pPr>
          </w:p>
          <w:p w14:paraId="62BFE205" w14:textId="77777777" w:rsidR="00C8179A" w:rsidRPr="00C8179A" w:rsidRDefault="00C8179A" w:rsidP="00C8179A">
            <w:pPr>
              <w:pStyle w:val="ListParagraph"/>
              <w:numPr>
                <w:ilvl w:val="0"/>
                <w:numId w:val="6"/>
              </w:numPr>
              <w:overflowPunct/>
              <w:autoSpaceDE/>
              <w:autoSpaceDN/>
              <w:adjustRightInd/>
              <w:jc w:val="both"/>
              <w:textAlignment w:val="auto"/>
              <w:rPr>
                <w:rFonts w:asciiTheme="minorHAnsi" w:hAnsiTheme="minorHAnsi" w:cstheme="minorHAnsi"/>
                <w:b/>
                <w:bCs/>
                <w:i/>
                <w:iCs/>
                <w:szCs w:val="22"/>
              </w:rPr>
            </w:pPr>
            <w:r w:rsidRPr="00C8179A">
              <w:rPr>
                <w:rFonts w:asciiTheme="minorHAnsi" w:hAnsiTheme="minorHAnsi" w:cstheme="minorHAnsi"/>
                <w:i/>
                <w:iCs/>
                <w:szCs w:val="22"/>
              </w:rPr>
              <w:t>The site is within a settlement, or,</w:t>
            </w:r>
          </w:p>
          <w:p w14:paraId="764EC111" w14:textId="77777777" w:rsidR="00C8179A" w:rsidRPr="00C8179A" w:rsidRDefault="00C8179A" w:rsidP="00C8179A">
            <w:pPr>
              <w:pStyle w:val="ListParagraph"/>
              <w:numPr>
                <w:ilvl w:val="0"/>
                <w:numId w:val="6"/>
              </w:numPr>
              <w:overflowPunct/>
              <w:autoSpaceDE/>
              <w:autoSpaceDN/>
              <w:adjustRightInd/>
              <w:jc w:val="both"/>
              <w:textAlignment w:val="auto"/>
              <w:rPr>
                <w:rFonts w:asciiTheme="minorHAnsi" w:hAnsiTheme="minorHAnsi" w:cstheme="minorHAnsi"/>
                <w:b/>
                <w:bCs/>
                <w:i/>
                <w:iCs/>
                <w:szCs w:val="22"/>
              </w:rPr>
            </w:pPr>
            <w:r w:rsidRPr="00C8179A">
              <w:rPr>
                <w:rFonts w:asciiTheme="minorHAnsi" w:hAnsiTheme="minorHAnsi" w:cstheme="minorHAnsi"/>
                <w:i/>
                <w:iCs/>
                <w:szCs w:val="22"/>
              </w:rPr>
              <w:t>The site is on the edge of a settlement providing:</w:t>
            </w:r>
          </w:p>
          <w:p w14:paraId="46518E8E" w14:textId="77777777" w:rsidR="00C8179A" w:rsidRPr="00C8179A" w:rsidRDefault="00C8179A" w:rsidP="00C8179A">
            <w:pPr>
              <w:pStyle w:val="ListParagraph"/>
              <w:numPr>
                <w:ilvl w:val="0"/>
                <w:numId w:val="4"/>
              </w:numPr>
              <w:overflowPunct/>
              <w:autoSpaceDE/>
              <w:autoSpaceDN/>
              <w:adjustRightInd/>
              <w:jc w:val="both"/>
              <w:textAlignment w:val="auto"/>
              <w:rPr>
                <w:rFonts w:asciiTheme="minorHAnsi" w:hAnsiTheme="minorHAnsi" w:cstheme="minorHAnsi"/>
                <w:b/>
                <w:bCs/>
                <w:i/>
                <w:iCs/>
                <w:szCs w:val="22"/>
              </w:rPr>
            </w:pPr>
            <w:r w:rsidRPr="00C8179A">
              <w:rPr>
                <w:rFonts w:asciiTheme="minorHAnsi" w:hAnsiTheme="minorHAnsi" w:cstheme="minorHAnsi"/>
                <w:i/>
                <w:iCs/>
                <w:szCs w:val="22"/>
              </w:rPr>
              <w:t xml:space="preserve">The new curtilage boundary follows an easily identifiable feature such as a road, </w:t>
            </w:r>
            <w:proofErr w:type="gramStart"/>
            <w:r w:rsidRPr="00C8179A">
              <w:rPr>
                <w:rFonts w:asciiTheme="minorHAnsi" w:hAnsiTheme="minorHAnsi" w:cstheme="minorHAnsi"/>
                <w:i/>
                <w:iCs/>
                <w:szCs w:val="22"/>
              </w:rPr>
              <w:t>stream</w:t>
            </w:r>
            <w:proofErr w:type="gramEnd"/>
            <w:r w:rsidRPr="00C8179A">
              <w:rPr>
                <w:rFonts w:asciiTheme="minorHAnsi" w:hAnsiTheme="minorHAnsi" w:cstheme="minorHAnsi"/>
                <w:i/>
                <w:iCs/>
                <w:szCs w:val="22"/>
              </w:rPr>
              <w:t xml:space="preserve"> or hedgerow, or brings the boundary into line with existing adjacent properties.</w:t>
            </w:r>
          </w:p>
          <w:p w14:paraId="41D6AE49" w14:textId="77777777" w:rsidR="00C8179A" w:rsidRPr="00C8179A" w:rsidRDefault="00C8179A" w:rsidP="00C8179A">
            <w:pPr>
              <w:pStyle w:val="ListParagraph"/>
              <w:numPr>
                <w:ilvl w:val="0"/>
                <w:numId w:val="4"/>
              </w:numPr>
              <w:overflowPunct/>
              <w:autoSpaceDE/>
              <w:autoSpaceDN/>
              <w:adjustRightInd/>
              <w:jc w:val="both"/>
              <w:textAlignment w:val="auto"/>
              <w:rPr>
                <w:rFonts w:asciiTheme="minorHAnsi" w:hAnsiTheme="minorHAnsi" w:cstheme="minorHAnsi"/>
                <w:b/>
                <w:bCs/>
                <w:i/>
                <w:iCs/>
                <w:szCs w:val="22"/>
              </w:rPr>
            </w:pPr>
            <w:r w:rsidRPr="00C8179A">
              <w:rPr>
                <w:rFonts w:asciiTheme="minorHAnsi" w:hAnsiTheme="minorHAnsi" w:cstheme="minorHAnsi"/>
                <w:i/>
                <w:iCs/>
                <w:szCs w:val="22"/>
              </w:rPr>
              <w:t>The extension will not cause visual harm to the landscape.</w:t>
            </w:r>
          </w:p>
          <w:p w14:paraId="63E8F20C" w14:textId="77777777" w:rsidR="00C8179A" w:rsidRPr="00C8179A" w:rsidRDefault="00C8179A" w:rsidP="00C8179A">
            <w:pPr>
              <w:pStyle w:val="ListParagraph"/>
              <w:numPr>
                <w:ilvl w:val="0"/>
                <w:numId w:val="4"/>
              </w:numPr>
              <w:overflowPunct/>
              <w:autoSpaceDE/>
              <w:autoSpaceDN/>
              <w:adjustRightInd/>
              <w:jc w:val="both"/>
              <w:textAlignment w:val="auto"/>
              <w:rPr>
                <w:rFonts w:asciiTheme="minorHAnsi" w:hAnsiTheme="minorHAnsi" w:cstheme="minorHAnsi"/>
                <w:b/>
                <w:bCs/>
                <w:i/>
                <w:iCs/>
                <w:szCs w:val="22"/>
              </w:rPr>
            </w:pPr>
            <w:r w:rsidRPr="00C8179A">
              <w:rPr>
                <w:rFonts w:asciiTheme="minorHAnsi" w:hAnsiTheme="minorHAnsi" w:cstheme="minorHAnsi"/>
                <w:i/>
                <w:iCs/>
                <w:szCs w:val="22"/>
              </w:rPr>
              <w:t xml:space="preserve">The extension improves the visual quality of the site. </w:t>
            </w:r>
          </w:p>
          <w:p w14:paraId="7A9A93CB" w14:textId="77777777" w:rsidR="00C8179A" w:rsidRPr="00C8179A" w:rsidRDefault="00C8179A" w:rsidP="00C8179A">
            <w:pPr>
              <w:pStyle w:val="ListParagraph"/>
              <w:jc w:val="both"/>
              <w:rPr>
                <w:rFonts w:asciiTheme="minorHAnsi" w:hAnsiTheme="minorHAnsi" w:cstheme="minorHAnsi"/>
                <w:b/>
                <w:bCs/>
                <w:i/>
                <w:iCs/>
                <w:szCs w:val="22"/>
              </w:rPr>
            </w:pPr>
          </w:p>
          <w:p w14:paraId="1724BFFF" w14:textId="77777777" w:rsidR="00C8179A" w:rsidRPr="00C8179A" w:rsidRDefault="00C8179A" w:rsidP="00C8179A">
            <w:pPr>
              <w:pStyle w:val="ListParagraph"/>
              <w:ind w:left="22"/>
              <w:jc w:val="both"/>
              <w:rPr>
                <w:rFonts w:asciiTheme="minorHAnsi" w:hAnsiTheme="minorHAnsi" w:cstheme="minorHAnsi"/>
                <w:b/>
                <w:bCs/>
                <w:i/>
                <w:iCs/>
                <w:szCs w:val="22"/>
              </w:rPr>
            </w:pPr>
            <w:r w:rsidRPr="00C8179A">
              <w:rPr>
                <w:rFonts w:asciiTheme="minorHAnsi" w:hAnsiTheme="minorHAnsi" w:cstheme="minorHAnsi"/>
                <w:i/>
                <w:iCs/>
                <w:szCs w:val="22"/>
              </w:rPr>
              <w:t xml:space="preserve">Any existing nature conservation aspects of the existing structure should be properly surveyed and </w:t>
            </w:r>
            <w:proofErr w:type="gramStart"/>
            <w:r w:rsidRPr="00C8179A">
              <w:rPr>
                <w:rFonts w:asciiTheme="minorHAnsi" w:hAnsiTheme="minorHAnsi" w:cstheme="minorHAnsi"/>
                <w:i/>
                <w:iCs/>
                <w:szCs w:val="22"/>
              </w:rPr>
              <w:t>where</w:t>
            </w:r>
            <w:proofErr w:type="gramEnd"/>
            <w:r w:rsidRPr="00C8179A">
              <w:rPr>
                <w:rFonts w:asciiTheme="minorHAnsi" w:hAnsiTheme="minorHAnsi" w:cstheme="minorHAnsi"/>
                <w:i/>
                <w:iCs/>
                <w:szCs w:val="22"/>
              </w:rPr>
              <w:t xml:space="preserve"> judged to be significant preserved or, if this is not possible, then any loss adequately mitigated.  Proposals to extend a curtilage in other circumstances will not be approved other than where it will support the health of the local economy or for highway safety reasons.</w:t>
            </w:r>
          </w:p>
          <w:p w14:paraId="6BBAF4B3" w14:textId="77777777" w:rsidR="00FA443F" w:rsidRDefault="00FA443F" w:rsidP="008542DE">
            <w:pPr>
              <w:pStyle w:val="Header"/>
              <w:tabs>
                <w:tab w:val="clear" w:pos="4153"/>
                <w:tab w:val="clear" w:pos="8306"/>
              </w:tabs>
              <w:contextualSpacing/>
              <w:jc w:val="both"/>
              <w:rPr>
                <w:rFonts w:ascii="Calibri" w:hAnsi="Calibri"/>
                <w:b/>
                <w:szCs w:val="22"/>
              </w:rPr>
            </w:pPr>
          </w:p>
          <w:p w14:paraId="390E6276" w14:textId="2841DC4D" w:rsidR="00C8179A" w:rsidRDefault="00C8179A" w:rsidP="00C8179A">
            <w:pPr>
              <w:pStyle w:val="Header"/>
              <w:contextualSpacing/>
              <w:jc w:val="both"/>
              <w:rPr>
                <w:rFonts w:ascii="Calibri" w:hAnsi="Calibri"/>
                <w:bCs/>
                <w:szCs w:val="22"/>
              </w:rPr>
            </w:pPr>
            <w:r w:rsidRPr="00C8179A">
              <w:rPr>
                <w:rFonts w:ascii="Calibri" w:hAnsi="Calibri"/>
                <w:bCs/>
                <w:szCs w:val="22"/>
              </w:rPr>
              <w:t>In respect of the engagement and compliance of the proposal with Policy DMH5, an assessment must be made in respect of the nature of the curtilage extension and as to whether ‘the site is on the edge of a settlement’, whether the ‘new curtilage boundary follows an easily identifiable feature such as a road, stream or hedgerow, or brings the boundary into line with existing adjacent properties’ and whether such an extension would ‘cause visual harm to the landscape’.</w:t>
            </w:r>
          </w:p>
          <w:p w14:paraId="01AD4A7F" w14:textId="700F996A" w:rsidR="009F0ACA" w:rsidRDefault="009F0ACA" w:rsidP="00C8179A">
            <w:pPr>
              <w:pStyle w:val="Header"/>
              <w:contextualSpacing/>
              <w:jc w:val="both"/>
              <w:rPr>
                <w:rFonts w:ascii="Calibri" w:hAnsi="Calibri"/>
                <w:bCs/>
                <w:szCs w:val="22"/>
              </w:rPr>
            </w:pPr>
          </w:p>
          <w:p w14:paraId="021F7A04" w14:textId="7B188539" w:rsidR="00CA5A80" w:rsidRDefault="009F0ACA" w:rsidP="00C8179A">
            <w:pPr>
              <w:pStyle w:val="Header"/>
              <w:contextualSpacing/>
              <w:jc w:val="both"/>
              <w:rPr>
                <w:rFonts w:ascii="Calibri" w:hAnsi="Calibri"/>
                <w:bCs/>
                <w:szCs w:val="22"/>
              </w:rPr>
            </w:pPr>
            <w:r>
              <w:rPr>
                <w:rFonts w:ascii="Calibri" w:hAnsi="Calibri"/>
                <w:bCs/>
                <w:szCs w:val="22"/>
              </w:rPr>
              <w:t xml:space="preserve">In respect of the above, whilst it is accepted that the proposed curtilage extension is ‘on the edge of a settlement’ the curtilage extension deviates from a well-established boundary line delineated by established </w:t>
            </w:r>
            <w:r w:rsidR="00CA5A80">
              <w:rPr>
                <w:rFonts w:ascii="Calibri" w:hAnsi="Calibri"/>
                <w:bCs/>
                <w:szCs w:val="22"/>
              </w:rPr>
              <w:t xml:space="preserve">existing </w:t>
            </w:r>
            <w:r>
              <w:rPr>
                <w:rFonts w:ascii="Calibri" w:hAnsi="Calibri"/>
                <w:bCs/>
                <w:szCs w:val="22"/>
              </w:rPr>
              <w:t xml:space="preserve">hedgerow, as such </w:t>
            </w:r>
            <w:r w:rsidR="00CA5A80">
              <w:rPr>
                <w:rFonts w:ascii="Calibri" w:hAnsi="Calibri"/>
                <w:bCs/>
                <w:szCs w:val="22"/>
              </w:rPr>
              <w:t xml:space="preserve">this element of the proposal results </w:t>
            </w:r>
            <w:r>
              <w:rPr>
                <w:rFonts w:ascii="Calibri" w:hAnsi="Calibri"/>
                <w:bCs/>
                <w:szCs w:val="22"/>
              </w:rPr>
              <w:t>in direct conf</w:t>
            </w:r>
            <w:r w:rsidR="00CA5A80">
              <w:rPr>
                <w:rFonts w:ascii="Calibri" w:hAnsi="Calibri"/>
                <w:bCs/>
                <w:szCs w:val="22"/>
              </w:rPr>
              <w:t>l</w:t>
            </w:r>
            <w:r>
              <w:rPr>
                <w:rFonts w:ascii="Calibri" w:hAnsi="Calibri"/>
                <w:bCs/>
                <w:szCs w:val="22"/>
              </w:rPr>
              <w:t>i</w:t>
            </w:r>
            <w:r w:rsidR="00CA5A80">
              <w:rPr>
                <w:rFonts w:ascii="Calibri" w:hAnsi="Calibri"/>
                <w:bCs/>
                <w:szCs w:val="22"/>
              </w:rPr>
              <w:t>c</w:t>
            </w:r>
            <w:r>
              <w:rPr>
                <w:rFonts w:ascii="Calibri" w:hAnsi="Calibri"/>
                <w:bCs/>
                <w:szCs w:val="22"/>
              </w:rPr>
              <w:t>t with criterion</w:t>
            </w:r>
            <w:r w:rsidR="00CA5A80">
              <w:rPr>
                <w:rFonts w:ascii="Calibri" w:hAnsi="Calibri"/>
                <w:bCs/>
                <w:szCs w:val="22"/>
              </w:rPr>
              <w:t xml:space="preserve"> 2</w:t>
            </w:r>
            <w:r>
              <w:rPr>
                <w:rFonts w:ascii="Calibri" w:hAnsi="Calibri"/>
                <w:bCs/>
                <w:szCs w:val="22"/>
              </w:rPr>
              <w:t xml:space="preserve"> of Policy DMH5.</w:t>
            </w:r>
            <w:r w:rsidR="00CA5A80">
              <w:rPr>
                <w:rFonts w:ascii="Calibri" w:hAnsi="Calibri"/>
                <w:bCs/>
                <w:szCs w:val="22"/>
              </w:rPr>
              <w:t xml:space="preserve">  </w:t>
            </w:r>
          </w:p>
          <w:p w14:paraId="53D9DBDF" w14:textId="77777777" w:rsidR="00CA5A80" w:rsidRDefault="00CA5A80" w:rsidP="00C8179A">
            <w:pPr>
              <w:pStyle w:val="Header"/>
              <w:contextualSpacing/>
              <w:jc w:val="both"/>
              <w:rPr>
                <w:rFonts w:ascii="Calibri" w:hAnsi="Calibri"/>
                <w:bCs/>
                <w:szCs w:val="22"/>
              </w:rPr>
            </w:pPr>
          </w:p>
          <w:p w14:paraId="217D68F4" w14:textId="0711FCDF" w:rsidR="009F0ACA" w:rsidRPr="00C8179A" w:rsidRDefault="00CA5A80" w:rsidP="00C8179A">
            <w:pPr>
              <w:pStyle w:val="Header"/>
              <w:contextualSpacing/>
              <w:jc w:val="both"/>
              <w:rPr>
                <w:rFonts w:ascii="Calibri" w:hAnsi="Calibri"/>
                <w:bCs/>
                <w:szCs w:val="22"/>
              </w:rPr>
            </w:pPr>
            <w:r>
              <w:rPr>
                <w:rFonts w:ascii="Calibri" w:hAnsi="Calibri"/>
                <w:bCs/>
                <w:szCs w:val="22"/>
              </w:rPr>
              <w:t>However, taking account of the small-scale</w:t>
            </w:r>
            <w:r w:rsidR="007175D2">
              <w:rPr>
                <w:rFonts w:ascii="Calibri" w:hAnsi="Calibri"/>
                <w:bCs/>
                <w:szCs w:val="22"/>
              </w:rPr>
              <w:t xml:space="preserve"> of the margin</w:t>
            </w:r>
            <w:r>
              <w:rPr>
                <w:rFonts w:ascii="Calibri" w:hAnsi="Calibri"/>
                <w:bCs/>
                <w:szCs w:val="22"/>
              </w:rPr>
              <w:t xml:space="preserve"> of the proposed extended curtilage, it is not considered that it can be argued that the extents of the proposed extended curtilage, in isolation, would warrant the refusal to grant planning permission on grounds of ‘visual harm’. </w:t>
            </w:r>
          </w:p>
          <w:p w14:paraId="07A958AF" w14:textId="40091F9B" w:rsidR="00C8179A" w:rsidRDefault="00C8179A" w:rsidP="008542DE">
            <w:pPr>
              <w:pStyle w:val="Header"/>
              <w:tabs>
                <w:tab w:val="clear" w:pos="4153"/>
                <w:tab w:val="clear" w:pos="8306"/>
              </w:tabs>
              <w:contextualSpacing/>
              <w:jc w:val="both"/>
              <w:rPr>
                <w:rFonts w:ascii="Calibri" w:hAnsi="Calibri"/>
                <w:b/>
                <w:szCs w:val="22"/>
              </w:rPr>
            </w:pPr>
          </w:p>
        </w:tc>
      </w:tr>
      <w:tr w:rsidR="008542DE" w:rsidRPr="00D2449B" w14:paraId="31994184"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9C2E47" w14:textId="7A7091BB" w:rsidR="003C2259" w:rsidRDefault="008542DE" w:rsidP="003C2259">
            <w:pPr>
              <w:pStyle w:val="Header"/>
              <w:tabs>
                <w:tab w:val="clear" w:pos="4153"/>
                <w:tab w:val="clear" w:pos="8306"/>
              </w:tabs>
              <w:contextualSpacing/>
              <w:jc w:val="both"/>
              <w:rPr>
                <w:rFonts w:ascii="Calibri" w:hAnsi="Calibri"/>
                <w:b/>
                <w:szCs w:val="22"/>
              </w:rPr>
            </w:pPr>
            <w:r>
              <w:rPr>
                <w:rFonts w:ascii="Calibri" w:hAnsi="Calibri"/>
                <w:b/>
                <w:szCs w:val="22"/>
              </w:rPr>
              <w:lastRenderedPageBreak/>
              <w:t xml:space="preserve">Impact upon </w:t>
            </w:r>
            <w:r w:rsidR="003C2259">
              <w:rPr>
                <w:rFonts w:ascii="Calibri" w:hAnsi="Calibri"/>
                <w:b/>
                <w:szCs w:val="22"/>
              </w:rPr>
              <w:t>c</w:t>
            </w:r>
            <w:r>
              <w:rPr>
                <w:rFonts w:ascii="Calibri" w:hAnsi="Calibri"/>
                <w:b/>
                <w:szCs w:val="22"/>
              </w:rPr>
              <w:t>haracter of Conservations Area</w:t>
            </w:r>
            <w:r w:rsidR="003C2259">
              <w:rPr>
                <w:rFonts w:ascii="Calibri" w:hAnsi="Calibri"/>
                <w:b/>
                <w:szCs w:val="22"/>
              </w:rPr>
              <w:t>- Visual Amenity/External Appearance:</w:t>
            </w:r>
          </w:p>
          <w:p w14:paraId="4AE84053" w14:textId="44FFB824" w:rsidR="00BC3F4F" w:rsidRDefault="00BC3F4F" w:rsidP="0046548C">
            <w:pPr>
              <w:contextualSpacing/>
              <w:rPr>
                <w:rFonts w:ascii="Calibri" w:hAnsi="Calibri"/>
                <w:b/>
                <w:szCs w:val="22"/>
              </w:rPr>
            </w:pPr>
          </w:p>
          <w:p w14:paraId="21481E56" w14:textId="4E0A67CE" w:rsidR="00BC3F4F" w:rsidRDefault="009A16C7" w:rsidP="009A16C7">
            <w:pPr>
              <w:contextualSpacing/>
              <w:jc w:val="both"/>
              <w:rPr>
                <w:rFonts w:ascii="Calibri" w:hAnsi="Calibri"/>
                <w:bCs/>
                <w:szCs w:val="22"/>
              </w:rPr>
            </w:pPr>
            <w:r w:rsidRPr="009A16C7">
              <w:rPr>
                <w:rFonts w:ascii="Calibri" w:hAnsi="Calibri"/>
                <w:bCs/>
                <w:szCs w:val="22"/>
              </w:rPr>
              <w:t>The submitted details propose that the dwelling will be of a semi-contemporary appearance being faced in primar</w:t>
            </w:r>
            <w:r>
              <w:rPr>
                <w:rFonts w:ascii="Calibri" w:hAnsi="Calibri"/>
                <w:bCs/>
                <w:szCs w:val="22"/>
              </w:rPr>
              <w:t>il</w:t>
            </w:r>
            <w:r w:rsidRPr="009A16C7">
              <w:rPr>
                <w:rFonts w:ascii="Calibri" w:hAnsi="Calibri"/>
                <w:bCs/>
                <w:szCs w:val="22"/>
              </w:rPr>
              <w:t>y stone and facing render with natural slate roofing.  The dwelling is part-single, part two-storey benefiting from a part hipped/part gabled roof form on the two-storey element of the building with the single storey element consisting of a gabled elements a flat-roofed ‘linking’ element</w:t>
            </w:r>
            <w:r w:rsidR="00FB78DD">
              <w:rPr>
                <w:rFonts w:ascii="Calibri" w:hAnsi="Calibri"/>
                <w:bCs/>
                <w:szCs w:val="22"/>
              </w:rPr>
              <w:t xml:space="preserve"> and flat-roofed garage area to the north elevation</w:t>
            </w:r>
            <w:r w:rsidRPr="009A16C7">
              <w:rPr>
                <w:rFonts w:ascii="Calibri" w:hAnsi="Calibri"/>
                <w:bCs/>
                <w:szCs w:val="22"/>
              </w:rPr>
              <w:t>.</w:t>
            </w:r>
          </w:p>
          <w:p w14:paraId="003D1FDC" w14:textId="43FBF31E" w:rsidR="00957876" w:rsidRDefault="00957876" w:rsidP="009A16C7">
            <w:pPr>
              <w:contextualSpacing/>
              <w:jc w:val="both"/>
              <w:rPr>
                <w:rFonts w:ascii="Calibri" w:hAnsi="Calibri"/>
                <w:bCs/>
                <w:szCs w:val="22"/>
              </w:rPr>
            </w:pPr>
          </w:p>
          <w:p w14:paraId="33AAA895" w14:textId="3A504B81" w:rsidR="00957876" w:rsidRPr="009A16C7" w:rsidRDefault="00957876" w:rsidP="009A16C7">
            <w:pPr>
              <w:contextualSpacing/>
              <w:jc w:val="both"/>
              <w:rPr>
                <w:rFonts w:ascii="Calibri" w:hAnsi="Calibri"/>
                <w:bCs/>
                <w:szCs w:val="22"/>
              </w:rPr>
            </w:pPr>
            <w:r>
              <w:rPr>
                <w:rFonts w:ascii="Calibri" w:hAnsi="Calibri"/>
                <w:bCs/>
                <w:szCs w:val="22"/>
              </w:rPr>
              <w:t>Th</w:t>
            </w:r>
            <w:r w:rsidR="001F428C">
              <w:rPr>
                <w:rFonts w:ascii="Calibri" w:hAnsi="Calibri"/>
                <w:bCs/>
                <w:szCs w:val="22"/>
              </w:rPr>
              <w:t>e</w:t>
            </w:r>
            <w:r>
              <w:rPr>
                <w:rFonts w:ascii="Calibri" w:hAnsi="Calibri"/>
                <w:bCs/>
                <w:szCs w:val="22"/>
              </w:rPr>
              <w:t xml:space="preserve"> proposed dwelling benefits from a varied footprint and configuration that contains </w:t>
            </w:r>
            <w:proofErr w:type="gramStart"/>
            <w:r>
              <w:rPr>
                <w:rFonts w:ascii="Calibri" w:hAnsi="Calibri"/>
                <w:bCs/>
                <w:szCs w:val="22"/>
              </w:rPr>
              <w:t>a number of</w:t>
            </w:r>
            <w:proofErr w:type="gramEnd"/>
            <w:r>
              <w:rPr>
                <w:rFonts w:ascii="Calibri" w:hAnsi="Calibri"/>
                <w:bCs/>
                <w:szCs w:val="22"/>
              </w:rPr>
              <w:t xml:space="preserve"> single storey elements that are linked to the main body of the two-storey element of the dwelling, with the southern-most single-storey element (lounge and study) being orientated at a slight splayed angle to the linear arrangement of the remainder of the dwelling.</w:t>
            </w:r>
          </w:p>
          <w:p w14:paraId="3A17FADD" w14:textId="45B42AFB" w:rsidR="00BC3F4F" w:rsidRDefault="00BC3F4F" w:rsidP="0046548C">
            <w:pPr>
              <w:contextualSpacing/>
              <w:rPr>
                <w:rFonts w:ascii="Calibri" w:hAnsi="Calibri"/>
                <w:b/>
                <w:szCs w:val="22"/>
              </w:rPr>
            </w:pPr>
          </w:p>
          <w:p w14:paraId="2BE1B833" w14:textId="02CEAE89" w:rsidR="009A16C7" w:rsidRPr="00B56E11" w:rsidRDefault="006B5AE0" w:rsidP="006B5AE0">
            <w:pPr>
              <w:contextualSpacing/>
              <w:jc w:val="both"/>
              <w:rPr>
                <w:rFonts w:ascii="Calibri" w:hAnsi="Calibri"/>
                <w:bCs/>
                <w:szCs w:val="22"/>
              </w:rPr>
            </w:pPr>
            <w:r w:rsidRPr="00B56E11">
              <w:rPr>
                <w:rFonts w:ascii="Calibri" w:hAnsi="Calibri"/>
                <w:bCs/>
                <w:szCs w:val="22"/>
              </w:rPr>
              <w:t>The elevational language of the proposed dwelling is largely austere, benefitting from large window/door openings with horizontal glazing elements also being located on the north-facing elevation of the primary part of the dwelling.  The overall elevational language and articulation of the built form of the proposal is at significant visual odds with the defining characteristics of nearby built form</w:t>
            </w:r>
            <w:proofErr w:type="gramStart"/>
            <w:r w:rsidRPr="00B56E11">
              <w:rPr>
                <w:rFonts w:ascii="Calibri" w:hAnsi="Calibri"/>
                <w:bCs/>
                <w:szCs w:val="22"/>
              </w:rPr>
              <w:t>, in particular, but</w:t>
            </w:r>
            <w:proofErr w:type="gramEnd"/>
            <w:r w:rsidRPr="00B56E11">
              <w:rPr>
                <w:rFonts w:ascii="Calibri" w:hAnsi="Calibri"/>
                <w:bCs/>
                <w:szCs w:val="22"/>
              </w:rPr>
              <w:t xml:space="preserve"> not solely, the part-gable part-hip roof articulation.  The introduction of render at first floor additionally exacerbates the dwellings anomalous appearance through the introduction of </w:t>
            </w:r>
            <w:r w:rsidR="00B56E11" w:rsidRPr="00B56E11">
              <w:rPr>
                <w:rFonts w:ascii="Calibri" w:hAnsi="Calibri"/>
                <w:bCs/>
                <w:szCs w:val="22"/>
              </w:rPr>
              <w:t>a materials palette that is not found within the range of buildings (east to west) within which the proposal will be read in context with.</w:t>
            </w:r>
          </w:p>
          <w:p w14:paraId="5C1BB3C9" w14:textId="145EC42F" w:rsidR="009A16C7" w:rsidRDefault="009A16C7" w:rsidP="0046548C">
            <w:pPr>
              <w:contextualSpacing/>
              <w:rPr>
                <w:rFonts w:ascii="Calibri" w:hAnsi="Calibri"/>
                <w:b/>
                <w:szCs w:val="22"/>
              </w:rPr>
            </w:pPr>
          </w:p>
          <w:p w14:paraId="113FB891" w14:textId="77777777" w:rsidR="00BC3F4F" w:rsidRDefault="008B32BA" w:rsidP="008B32BA">
            <w:pPr>
              <w:contextualSpacing/>
              <w:jc w:val="both"/>
              <w:rPr>
                <w:rFonts w:ascii="Calibri" w:hAnsi="Calibri"/>
                <w:b/>
                <w:szCs w:val="22"/>
              </w:rPr>
            </w:pPr>
            <w:r w:rsidRPr="00BC3F4F">
              <w:rPr>
                <w:rFonts w:ascii="Calibri" w:hAnsi="Calibri"/>
                <w:bCs/>
                <w:szCs w:val="22"/>
              </w:rPr>
              <w:lastRenderedPageBreak/>
              <w:t xml:space="preserve">The character of immediate surrounding area on the southern side of Downham Road is largely typified by linear patterns of built form that benefit from a direct roadside presence.  In this </w:t>
            </w:r>
            <w:r w:rsidR="00BC3F4F" w:rsidRPr="00BC3F4F">
              <w:rPr>
                <w:rFonts w:ascii="Calibri" w:hAnsi="Calibri"/>
                <w:bCs/>
                <w:szCs w:val="22"/>
              </w:rPr>
              <w:t>respect and</w:t>
            </w:r>
            <w:r w:rsidR="00BC3F4F">
              <w:rPr>
                <w:rFonts w:ascii="Calibri" w:hAnsi="Calibri"/>
                <w:bCs/>
                <w:szCs w:val="22"/>
              </w:rPr>
              <w:t xml:space="preserve"> </w:t>
            </w:r>
            <w:r w:rsidRPr="00BC3F4F">
              <w:rPr>
                <w:rFonts w:ascii="Calibri" w:hAnsi="Calibri"/>
                <w:bCs/>
                <w:szCs w:val="22"/>
              </w:rPr>
              <w:t xml:space="preserve">taking account that the proposed dwelling will be sited significantly southward of the established linear building line, it is considered that the proposal fails to positively consider, take account </w:t>
            </w:r>
            <w:proofErr w:type="gramStart"/>
            <w:r w:rsidRPr="00BC3F4F">
              <w:rPr>
                <w:rFonts w:ascii="Calibri" w:hAnsi="Calibri"/>
                <w:bCs/>
                <w:szCs w:val="22"/>
              </w:rPr>
              <w:t>of</w:t>
            </w:r>
            <w:proofErr w:type="gramEnd"/>
            <w:r w:rsidRPr="00BC3F4F">
              <w:rPr>
                <w:rFonts w:ascii="Calibri" w:hAnsi="Calibri"/>
                <w:bCs/>
                <w:szCs w:val="22"/>
              </w:rPr>
              <w:t xml:space="preserve"> or respond to the inherent pattern of development in the area or the ‘density, layout and relationship between buildings, which is of major importance’ as required by Policy DMG1 of the Ribble valley core Strategy</w:t>
            </w:r>
            <w:r>
              <w:rPr>
                <w:rFonts w:ascii="Calibri" w:hAnsi="Calibri"/>
                <w:b/>
                <w:szCs w:val="22"/>
              </w:rPr>
              <w:t>.</w:t>
            </w:r>
            <w:r w:rsidR="00BC3F4F">
              <w:rPr>
                <w:rFonts w:ascii="Calibri" w:hAnsi="Calibri"/>
                <w:b/>
                <w:szCs w:val="22"/>
              </w:rPr>
              <w:t xml:space="preserve">  </w:t>
            </w:r>
          </w:p>
          <w:p w14:paraId="6F582864" w14:textId="77777777" w:rsidR="00BC3F4F" w:rsidRDefault="00BC3F4F" w:rsidP="008B32BA">
            <w:pPr>
              <w:contextualSpacing/>
              <w:jc w:val="both"/>
              <w:rPr>
                <w:rFonts w:ascii="Calibri" w:hAnsi="Calibri"/>
                <w:b/>
                <w:szCs w:val="22"/>
              </w:rPr>
            </w:pPr>
          </w:p>
          <w:p w14:paraId="182286CE" w14:textId="64608703" w:rsidR="008B32BA" w:rsidRPr="00BC3F4F" w:rsidRDefault="00BC3F4F" w:rsidP="008B32BA">
            <w:pPr>
              <w:contextualSpacing/>
              <w:jc w:val="both"/>
              <w:rPr>
                <w:rFonts w:ascii="Calibri" w:hAnsi="Calibri"/>
                <w:bCs/>
                <w:szCs w:val="22"/>
              </w:rPr>
            </w:pPr>
            <w:r w:rsidRPr="00BC3F4F">
              <w:rPr>
                <w:rFonts w:ascii="Calibri" w:hAnsi="Calibri"/>
                <w:bCs/>
                <w:szCs w:val="22"/>
              </w:rPr>
              <w:t>In this respect and in relation to matters of patterns of development, the proposed dwelling will be read as being an anomalous, discordant and incongruous introduction into the immediate area, being of significant detriment to the character and visual amenities of the area and resulting in injurious and harmful impacts upon the character and visual amenities of the Chatburn Conservation Area</w:t>
            </w:r>
            <w:r w:rsidR="000701FA">
              <w:rPr>
                <w:rFonts w:ascii="Calibri" w:hAnsi="Calibri"/>
                <w:bCs/>
                <w:szCs w:val="22"/>
              </w:rPr>
              <w:t xml:space="preserve"> </w:t>
            </w:r>
            <w:r w:rsidR="000701FA">
              <w:rPr>
                <w:rFonts w:asciiTheme="minorHAnsi" w:hAnsiTheme="minorHAnsi"/>
                <w:bCs/>
                <w:szCs w:val="22"/>
              </w:rPr>
              <w:t>and upon the setting of the nearby Grade II Listed Building and buildings of townscape merit</w:t>
            </w:r>
            <w:r w:rsidRPr="00BC3F4F">
              <w:rPr>
                <w:rFonts w:ascii="Calibri" w:hAnsi="Calibri"/>
                <w:bCs/>
                <w:szCs w:val="22"/>
              </w:rPr>
              <w:t>.</w:t>
            </w:r>
          </w:p>
          <w:p w14:paraId="4D64DDAE" w14:textId="45999784" w:rsidR="008B32BA" w:rsidRDefault="008B32BA" w:rsidP="0046548C">
            <w:pPr>
              <w:contextualSpacing/>
              <w:rPr>
                <w:rFonts w:ascii="Calibri" w:hAnsi="Calibri"/>
                <w:b/>
                <w:szCs w:val="22"/>
              </w:rPr>
            </w:pPr>
          </w:p>
        </w:tc>
      </w:tr>
      <w:tr w:rsidR="00C0704D" w:rsidRPr="00D2449B" w14:paraId="617768FF"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6C2E606B" w:rsidR="00C0704D" w:rsidRDefault="00C0704D" w:rsidP="00EA09F9">
            <w:pPr>
              <w:pStyle w:val="Header"/>
              <w:tabs>
                <w:tab w:val="clear" w:pos="4153"/>
                <w:tab w:val="clear" w:pos="8306"/>
              </w:tabs>
              <w:contextualSpacing/>
              <w:jc w:val="both"/>
              <w:rPr>
                <w:rFonts w:ascii="Calibri" w:hAnsi="Calibri"/>
                <w:b/>
                <w:szCs w:val="22"/>
              </w:rPr>
            </w:pPr>
          </w:p>
          <w:p w14:paraId="4A35CA47" w14:textId="3D686933" w:rsidR="008626FB" w:rsidRPr="008626FB" w:rsidRDefault="008626FB" w:rsidP="00FC1B48">
            <w:pPr>
              <w:pStyle w:val="Header"/>
              <w:tabs>
                <w:tab w:val="clear" w:pos="4153"/>
                <w:tab w:val="clear" w:pos="8306"/>
              </w:tabs>
              <w:contextualSpacing/>
              <w:jc w:val="both"/>
              <w:rPr>
                <w:rFonts w:ascii="Calibri" w:hAnsi="Calibri"/>
                <w:bCs/>
                <w:szCs w:val="22"/>
              </w:rPr>
            </w:pPr>
            <w:r w:rsidRPr="008626FB">
              <w:rPr>
                <w:rFonts w:ascii="Calibri" w:hAnsi="Calibri"/>
                <w:bCs/>
                <w:szCs w:val="22"/>
              </w:rPr>
              <w:t xml:space="preserve">Given the submitted details propose the introduction of a new dwelling within </w:t>
            </w:r>
            <w:proofErr w:type="gramStart"/>
            <w:r w:rsidR="00FC1B48" w:rsidRPr="008626FB">
              <w:rPr>
                <w:rFonts w:ascii="Calibri" w:hAnsi="Calibri"/>
                <w:bCs/>
                <w:szCs w:val="22"/>
              </w:rPr>
              <w:t>close proximity</w:t>
            </w:r>
            <w:proofErr w:type="gramEnd"/>
            <w:r w:rsidRPr="008626FB">
              <w:rPr>
                <w:rFonts w:ascii="Calibri" w:hAnsi="Calibri"/>
                <w:bCs/>
                <w:szCs w:val="22"/>
              </w:rPr>
              <w:t xml:space="preserve"> to existing residential receptors, consideration must be given in respect of the potential for the proposal to result in injurious impacts upon existing nearby residential amenities.  </w:t>
            </w:r>
          </w:p>
          <w:p w14:paraId="10C84E7F" w14:textId="118F294E" w:rsidR="00957876" w:rsidRDefault="00ED00B7" w:rsidP="00FC1B48">
            <w:pPr>
              <w:contextualSpacing/>
              <w:jc w:val="both"/>
              <w:rPr>
                <w:rFonts w:ascii="Calibri" w:hAnsi="Calibri"/>
                <w:szCs w:val="22"/>
              </w:rPr>
            </w:pPr>
            <w:r>
              <w:rPr>
                <w:rFonts w:ascii="Calibri" w:hAnsi="Calibri"/>
                <w:szCs w:val="22"/>
              </w:rPr>
              <w:t xml:space="preserve"> </w:t>
            </w:r>
          </w:p>
          <w:p w14:paraId="3C30401F" w14:textId="4C3D950B" w:rsidR="008626FB" w:rsidRDefault="00FC1B48" w:rsidP="00FC1B48">
            <w:pPr>
              <w:contextualSpacing/>
              <w:jc w:val="both"/>
              <w:rPr>
                <w:rFonts w:ascii="Calibri" w:hAnsi="Calibri"/>
                <w:szCs w:val="22"/>
              </w:rPr>
            </w:pPr>
            <w:r>
              <w:rPr>
                <w:rFonts w:ascii="Calibri" w:hAnsi="Calibri"/>
                <w:szCs w:val="22"/>
              </w:rPr>
              <w:t xml:space="preserve">In respect of the above, taking account of the configuration of the dwelling and orientation of habitable room windows it is not considered that the proposal will result in any undue impacts upon nearby residential amenities by virtue of direct-overlooking or a diminished sense of privacy.  Furthermore, taking account of the spatial orientation of the dwelling and separations distances from adjacent dwellings, it is not considered that the proposal will result in any undue impacts </w:t>
            </w:r>
            <w:proofErr w:type="gramStart"/>
            <w:r>
              <w:rPr>
                <w:rFonts w:ascii="Calibri" w:hAnsi="Calibri"/>
                <w:szCs w:val="22"/>
              </w:rPr>
              <w:t>as a result of</w:t>
            </w:r>
            <w:proofErr w:type="gramEnd"/>
            <w:r>
              <w:rPr>
                <w:rFonts w:ascii="Calibri" w:hAnsi="Calibri"/>
                <w:szCs w:val="22"/>
              </w:rPr>
              <w:t xml:space="preserve"> an overbearing impact or direct loss of light.</w:t>
            </w:r>
          </w:p>
          <w:p w14:paraId="0DB485A3" w14:textId="51C1BEFA" w:rsidR="00957876" w:rsidRPr="00C0704D" w:rsidRDefault="00957876" w:rsidP="00C0704D">
            <w:pPr>
              <w:contextualSpacing/>
              <w:rPr>
                <w:rFonts w:ascii="Calibri" w:hAnsi="Calibri"/>
                <w:szCs w:val="22"/>
              </w:rPr>
            </w:pPr>
          </w:p>
        </w:tc>
      </w:tr>
      <w:tr w:rsidR="00824DB6" w:rsidRPr="00D2449B" w14:paraId="673C0DDB"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512C7572" w14:textId="22D29D91" w:rsidR="00824DB6" w:rsidRPr="00F6096E" w:rsidRDefault="00577F2C" w:rsidP="00EA09F9">
            <w:pPr>
              <w:pStyle w:val="Header"/>
              <w:tabs>
                <w:tab w:val="clear" w:pos="4153"/>
                <w:tab w:val="clear" w:pos="8306"/>
              </w:tabs>
              <w:contextualSpacing/>
              <w:jc w:val="both"/>
              <w:rPr>
                <w:rFonts w:ascii="Calibri" w:hAnsi="Calibri"/>
                <w:bCs/>
                <w:szCs w:val="22"/>
              </w:rPr>
            </w:pPr>
            <w:r w:rsidRPr="00F6096E">
              <w:rPr>
                <w:rFonts w:ascii="Calibri" w:hAnsi="Calibri"/>
                <w:bCs/>
                <w:szCs w:val="22"/>
              </w:rPr>
              <w:t>It is proposed that a new vehicular access will be provided at the northern extents of the site off Downham Road.</w:t>
            </w:r>
            <w:r w:rsidR="008F7B90" w:rsidRPr="00F6096E">
              <w:rPr>
                <w:rFonts w:ascii="Calibri" w:hAnsi="Calibri"/>
                <w:bCs/>
                <w:szCs w:val="22"/>
              </w:rPr>
              <w:t xml:space="preserve">  The access will be created through the removal of a section of an existing stone boundary wall </w:t>
            </w:r>
            <w:r w:rsidR="00F6096E" w:rsidRPr="00F6096E">
              <w:rPr>
                <w:rFonts w:ascii="Calibri" w:hAnsi="Calibri"/>
                <w:bCs/>
                <w:szCs w:val="22"/>
              </w:rPr>
              <w:t xml:space="preserve">(approximately 2m in height) </w:t>
            </w:r>
            <w:r w:rsidR="008F7B90" w:rsidRPr="00F6096E">
              <w:rPr>
                <w:rFonts w:ascii="Calibri" w:hAnsi="Calibri"/>
                <w:bCs/>
                <w:szCs w:val="22"/>
              </w:rPr>
              <w:t xml:space="preserve">that currently fronts </w:t>
            </w:r>
            <w:r w:rsidR="00F6096E" w:rsidRPr="00F6096E">
              <w:rPr>
                <w:rFonts w:ascii="Calibri" w:hAnsi="Calibri"/>
                <w:bCs/>
                <w:szCs w:val="22"/>
              </w:rPr>
              <w:t>Downham Road.  It is proposed that the access will be formed through elements of curved walling with a vehicular refuge area and gated access.  The Local Highways Authority have raised no objection to the proposal on highways grounds or grounds of highways safety subject to the imposition of relevant planning conditions.</w:t>
            </w:r>
          </w:p>
          <w:p w14:paraId="337694ED" w14:textId="7A881221" w:rsidR="00577F2C" w:rsidRDefault="00577F2C"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74BA3E46" w14:textId="356D5607" w:rsidR="000E173F" w:rsidRDefault="00B738DC" w:rsidP="000E173F">
            <w:pPr>
              <w:contextualSpacing/>
              <w:jc w:val="both"/>
              <w:rPr>
                <w:rFonts w:ascii="Calibri" w:hAnsi="Calibri"/>
                <w:bCs/>
                <w:szCs w:val="22"/>
              </w:rPr>
            </w:pPr>
            <w:r w:rsidRPr="00B738DC">
              <w:rPr>
                <w:rFonts w:ascii="Calibri" w:hAnsi="Calibri"/>
                <w:bCs/>
                <w:szCs w:val="22"/>
              </w:rPr>
              <w:t xml:space="preserve">The application has been accompanied by an Arboricultural Impact Assessment and Preliminary Bat Roost Assessment.  The Preliminary Bat Roost Assessment concludes </w:t>
            </w:r>
            <w:r w:rsidR="000E173F">
              <w:rPr>
                <w:rFonts w:ascii="Calibri" w:hAnsi="Calibri"/>
                <w:bCs/>
                <w:szCs w:val="22"/>
              </w:rPr>
              <w:t>that no evidence of a bat roost was found within the site and that ’building 1’ is of low potential to support roosting bats, with buildings ‘t</w:t>
            </w:r>
            <w:r w:rsidR="001F428C">
              <w:rPr>
                <w:rFonts w:ascii="Calibri" w:hAnsi="Calibri"/>
                <w:bCs/>
                <w:szCs w:val="22"/>
              </w:rPr>
              <w:t>w</w:t>
            </w:r>
            <w:r w:rsidR="000E173F">
              <w:rPr>
                <w:rFonts w:ascii="Calibri" w:hAnsi="Calibri"/>
                <w:bCs/>
                <w:szCs w:val="22"/>
              </w:rPr>
              <w:t xml:space="preserve">o and three’ being of negligible potential to support roosting bats.  </w:t>
            </w:r>
          </w:p>
          <w:p w14:paraId="5698570B" w14:textId="77777777" w:rsidR="000E173F" w:rsidRDefault="000E173F" w:rsidP="000E173F">
            <w:pPr>
              <w:contextualSpacing/>
              <w:jc w:val="both"/>
              <w:rPr>
                <w:rFonts w:ascii="Calibri" w:hAnsi="Calibri"/>
                <w:bCs/>
                <w:szCs w:val="22"/>
              </w:rPr>
            </w:pPr>
          </w:p>
          <w:p w14:paraId="298F4DA4" w14:textId="4D4FE07A" w:rsidR="00C0704D" w:rsidRDefault="000E173F" w:rsidP="000E173F">
            <w:pPr>
              <w:contextualSpacing/>
              <w:jc w:val="both"/>
              <w:rPr>
                <w:rFonts w:ascii="Calibri" w:hAnsi="Calibri"/>
                <w:bCs/>
                <w:szCs w:val="22"/>
              </w:rPr>
            </w:pPr>
            <w:r>
              <w:rPr>
                <w:rFonts w:ascii="Calibri" w:hAnsi="Calibri"/>
                <w:bCs/>
                <w:szCs w:val="22"/>
              </w:rPr>
              <w:t xml:space="preserve">As such and in respect of the potential impacts upon protected species or species of conservation concern, there is not requirement for mitigation to be provided to offset/mitigate the impacts of the development upon these species.  The report further however recommends </w:t>
            </w:r>
            <w:proofErr w:type="gramStart"/>
            <w:r>
              <w:rPr>
                <w:rFonts w:ascii="Calibri" w:hAnsi="Calibri"/>
                <w:bCs/>
                <w:szCs w:val="22"/>
              </w:rPr>
              <w:t>a number of</w:t>
            </w:r>
            <w:proofErr w:type="gramEnd"/>
            <w:r>
              <w:rPr>
                <w:rFonts w:ascii="Calibri" w:hAnsi="Calibri"/>
                <w:bCs/>
                <w:szCs w:val="22"/>
              </w:rPr>
              <w:t xml:space="preserve"> measures that could be included within the development to provide biodiversity enhancement.</w:t>
            </w:r>
          </w:p>
          <w:p w14:paraId="0C638B01" w14:textId="61D8614E" w:rsidR="000E173F" w:rsidRDefault="000E173F" w:rsidP="000E173F">
            <w:pPr>
              <w:contextualSpacing/>
              <w:jc w:val="both"/>
              <w:rPr>
                <w:rFonts w:ascii="Calibri" w:hAnsi="Calibri"/>
                <w:bCs/>
                <w:szCs w:val="22"/>
              </w:rPr>
            </w:pPr>
          </w:p>
          <w:p w14:paraId="4519D32A" w14:textId="74ACB0D7" w:rsidR="000E173F" w:rsidRDefault="000E173F" w:rsidP="000E173F">
            <w:pPr>
              <w:contextualSpacing/>
              <w:jc w:val="both"/>
              <w:rPr>
                <w:rFonts w:ascii="Calibri" w:hAnsi="Calibri"/>
                <w:bCs/>
                <w:szCs w:val="22"/>
              </w:rPr>
            </w:pPr>
            <w:r>
              <w:rPr>
                <w:rFonts w:ascii="Calibri" w:hAnsi="Calibri"/>
                <w:bCs/>
                <w:szCs w:val="22"/>
              </w:rPr>
              <w:t xml:space="preserve">The submitted </w:t>
            </w:r>
            <w:r w:rsidRPr="00B738DC">
              <w:rPr>
                <w:rFonts w:ascii="Calibri" w:hAnsi="Calibri"/>
                <w:bCs/>
                <w:szCs w:val="22"/>
              </w:rPr>
              <w:t>Arboricultural Impact Assessment</w:t>
            </w:r>
            <w:r>
              <w:rPr>
                <w:rFonts w:ascii="Calibri" w:hAnsi="Calibri"/>
                <w:bCs/>
                <w:szCs w:val="22"/>
              </w:rPr>
              <w:t xml:space="preserve"> proposes the removal of </w:t>
            </w:r>
            <w:proofErr w:type="gramStart"/>
            <w:r>
              <w:rPr>
                <w:rFonts w:ascii="Calibri" w:hAnsi="Calibri"/>
                <w:bCs/>
                <w:szCs w:val="22"/>
              </w:rPr>
              <w:t>a number of</w:t>
            </w:r>
            <w:proofErr w:type="gramEnd"/>
            <w:r>
              <w:rPr>
                <w:rFonts w:ascii="Calibri" w:hAnsi="Calibri"/>
                <w:bCs/>
                <w:szCs w:val="22"/>
              </w:rPr>
              <w:t xml:space="preserve"> trees to facilitate the construction of the development with a number also being proposed to be removed due to decline in condition.  In this respect the report recommends the removal of the following:</w:t>
            </w:r>
          </w:p>
          <w:p w14:paraId="698693E7" w14:textId="6AE4FC0D" w:rsidR="000E173F" w:rsidRDefault="000E173F" w:rsidP="000E173F">
            <w:pPr>
              <w:contextualSpacing/>
              <w:jc w:val="both"/>
              <w:rPr>
                <w:rFonts w:ascii="Calibri" w:hAnsi="Calibri"/>
                <w:bCs/>
                <w:szCs w:val="22"/>
              </w:rPr>
            </w:pPr>
          </w:p>
          <w:p w14:paraId="6DA67794" w14:textId="3CDB37CA" w:rsidR="000E173F" w:rsidRDefault="00986ECE" w:rsidP="00986ECE">
            <w:pPr>
              <w:pStyle w:val="ListParagraph"/>
              <w:numPr>
                <w:ilvl w:val="0"/>
                <w:numId w:val="3"/>
              </w:numPr>
              <w:jc w:val="both"/>
              <w:rPr>
                <w:rFonts w:ascii="Calibri" w:hAnsi="Calibri"/>
                <w:bCs/>
                <w:szCs w:val="22"/>
              </w:rPr>
            </w:pPr>
            <w:r>
              <w:rPr>
                <w:rFonts w:ascii="Calibri" w:hAnsi="Calibri"/>
                <w:bCs/>
                <w:szCs w:val="22"/>
              </w:rPr>
              <w:t>T2 Purple Plum: Category U</w:t>
            </w:r>
          </w:p>
          <w:p w14:paraId="5C6573CE" w14:textId="47DBB7FB" w:rsidR="00986ECE" w:rsidRDefault="00986ECE" w:rsidP="00986ECE">
            <w:pPr>
              <w:pStyle w:val="ListParagraph"/>
              <w:numPr>
                <w:ilvl w:val="0"/>
                <w:numId w:val="3"/>
              </w:numPr>
              <w:jc w:val="both"/>
              <w:rPr>
                <w:rFonts w:ascii="Calibri" w:hAnsi="Calibri"/>
                <w:bCs/>
                <w:szCs w:val="22"/>
              </w:rPr>
            </w:pPr>
            <w:r>
              <w:rPr>
                <w:rFonts w:ascii="Calibri" w:hAnsi="Calibri"/>
                <w:bCs/>
                <w:szCs w:val="22"/>
              </w:rPr>
              <w:t>T3 Goat Willow: Category U</w:t>
            </w:r>
          </w:p>
          <w:p w14:paraId="532DE18A" w14:textId="4078062B" w:rsidR="00986ECE" w:rsidRDefault="00986ECE" w:rsidP="00986ECE">
            <w:pPr>
              <w:pStyle w:val="ListParagraph"/>
              <w:numPr>
                <w:ilvl w:val="0"/>
                <w:numId w:val="3"/>
              </w:numPr>
              <w:jc w:val="both"/>
              <w:rPr>
                <w:rFonts w:ascii="Calibri" w:hAnsi="Calibri"/>
                <w:bCs/>
                <w:szCs w:val="22"/>
              </w:rPr>
            </w:pPr>
            <w:r>
              <w:rPr>
                <w:rFonts w:ascii="Calibri" w:hAnsi="Calibri"/>
                <w:bCs/>
                <w:szCs w:val="22"/>
              </w:rPr>
              <w:lastRenderedPageBreak/>
              <w:t>T4 Cockspur Thorn: Category U</w:t>
            </w:r>
          </w:p>
          <w:p w14:paraId="579182AD" w14:textId="78F707E3" w:rsidR="00986ECE" w:rsidRDefault="00986ECE" w:rsidP="00986ECE">
            <w:pPr>
              <w:pStyle w:val="ListParagraph"/>
              <w:numPr>
                <w:ilvl w:val="0"/>
                <w:numId w:val="3"/>
              </w:numPr>
              <w:jc w:val="both"/>
              <w:rPr>
                <w:rFonts w:ascii="Calibri" w:hAnsi="Calibri"/>
                <w:bCs/>
                <w:szCs w:val="22"/>
              </w:rPr>
            </w:pPr>
            <w:r>
              <w:rPr>
                <w:rFonts w:ascii="Calibri" w:hAnsi="Calibri"/>
                <w:bCs/>
                <w:szCs w:val="22"/>
              </w:rPr>
              <w:t>T6 Sycamore: Category U</w:t>
            </w:r>
            <w:r w:rsidR="00577F2C">
              <w:rPr>
                <w:rFonts w:ascii="Calibri" w:hAnsi="Calibri"/>
                <w:bCs/>
                <w:szCs w:val="22"/>
              </w:rPr>
              <w:t xml:space="preserve"> (outside of site red-edge)</w:t>
            </w:r>
          </w:p>
          <w:p w14:paraId="489EDF2F" w14:textId="17C9B782" w:rsidR="00986ECE" w:rsidRDefault="00986ECE" w:rsidP="00986ECE">
            <w:pPr>
              <w:pStyle w:val="ListParagraph"/>
              <w:numPr>
                <w:ilvl w:val="0"/>
                <w:numId w:val="3"/>
              </w:numPr>
              <w:jc w:val="both"/>
              <w:rPr>
                <w:rFonts w:ascii="Calibri" w:hAnsi="Calibri"/>
                <w:bCs/>
                <w:szCs w:val="22"/>
              </w:rPr>
            </w:pPr>
            <w:r>
              <w:rPr>
                <w:rFonts w:ascii="Calibri" w:hAnsi="Calibri"/>
                <w:bCs/>
                <w:szCs w:val="22"/>
              </w:rPr>
              <w:t>G1 3 x Apple 2 x Plum: Category C1</w:t>
            </w:r>
          </w:p>
          <w:p w14:paraId="124B21A5" w14:textId="72CE5995" w:rsidR="00986ECE" w:rsidRPr="00986ECE" w:rsidRDefault="00986ECE" w:rsidP="00986ECE">
            <w:pPr>
              <w:pStyle w:val="ListParagraph"/>
              <w:numPr>
                <w:ilvl w:val="0"/>
                <w:numId w:val="3"/>
              </w:numPr>
              <w:jc w:val="both"/>
              <w:rPr>
                <w:rFonts w:ascii="Calibri" w:hAnsi="Calibri"/>
                <w:bCs/>
                <w:szCs w:val="22"/>
              </w:rPr>
            </w:pPr>
            <w:r>
              <w:rPr>
                <w:rFonts w:ascii="Calibri" w:hAnsi="Calibri"/>
                <w:bCs/>
                <w:szCs w:val="22"/>
              </w:rPr>
              <w:t>H1 Leyland Cypress: Category C1</w:t>
            </w:r>
          </w:p>
          <w:p w14:paraId="0948A0FE" w14:textId="77777777" w:rsidR="00B738DC" w:rsidRDefault="00B738DC" w:rsidP="00E46243">
            <w:pPr>
              <w:contextualSpacing/>
              <w:rPr>
                <w:rFonts w:ascii="Calibri" w:hAnsi="Calibri"/>
                <w:b/>
                <w:szCs w:val="22"/>
              </w:rPr>
            </w:pPr>
          </w:p>
          <w:p w14:paraId="367854C8" w14:textId="278D8084" w:rsidR="00577F2C" w:rsidRPr="00577F2C" w:rsidRDefault="00577F2C" w:rsidP="00E46243">
            <w:pPr>
              <w:contextualSpacing/>
              <w:rPr>
                <w:rFonts w:ascii="Calibri" w:hAnsi="Calibri"/>
                <w:bCs/>
                <w:szCs w:val="22"/>
              </w:rPr>
            </w:pPr>
            <w:r w:rsidRPr="00577F2C">
              <w:rPr>
                <w:rFonts w:ascii="Calibri" w:hAnsi="Calibri"/>
                <w:bCs/>
                <w:szCs w:val="22"/>
              </w:rPr>
              <w:t xml:space="preserve">The report concludes that compensatory planting </w:t>
            </w:r>
            <w:r>
              <w:rPr>
                <w:rFonts w:ascii="Calibri" w:hAnsi="Calibri"/>
                <w:bCs/>
                <w:szCs w:val="22"/>
              </w:rPr>
              <w:t>can be accommodated within the site to offset trees/hedgerow lost as part of the development.</w:t>
            </w:r>
          </w:p>
          <w:p w14:paraId="6337C4D8" w14:textId="2F2195B0" w:rsidR="00577F2C" w:rsidRDefault="00577F2C" w:rsidP="00E46243">
            <w:pPr>
              <w:contextualSpacing/>
              <w:rPr>
                <w:rFonts w:ascii="Calibri" w:hAnsi="Calibri"/>
                <w:b/>
                <w:szCs w:val="22"/>
              </w:rPr>
            </w:pPr>
          </w:p>
        </w:tc>
      </w:tr>
      <w:tr w:rsidR="00C0704D" w:rsidRPr="00D2449B" w14:paraId="0A9D02B4" w14:textId="77777777" w:rsidTr="00773A66">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77777777"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 that the application is recommended for refusal.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773A66">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3C5F79">
        <w:trPr>
          <w:jc w:val="center"/>
        </w:trPr>
        <w:tc>
          <w:tcPr>
            <w:tcW w:w="9519" w:type="dxa"/>
            <w:gridSpan w:val="1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AF31E0C" w:rsidR="00773A66" w:rsidRPr="00D2449B" w:rsidRDefault="00773A66" w:rsidP="00CD2CEF">
            <w:pPr>
              <w:rPr>
                <w:rFonts w:ascii="Calibri" w:hAnsi="Calibri"/>
                <w:bCs/>
                <w:szCs w:val="22"/>
              </w:rPr>
            </w:pPr>
            <w:r w:rsidRPr="009F4443">
              <w:rPr>
                <w:rFonts w:asciiTheme="minorHAnsi" w:hAnsiTheme="minorHAnsi"/>
                <w:bCs/>
                <w:szCs w:val="22"/>
              </w:rPr>
              <w:t>That planning consent be refused for the following reason(s)</w:t>
            </w:r>
            <w:r>
              <w:rPr>
                <w:rFonts w:asciiTheme="minorHAnsi" w:hAnsiTheme="minorHAnsi"/>
                <w:bCs/>
                <w:szCs w:val="22"/>
              </w:rPr>
              <w:t>.</w:t>
            </w:r>
          </w:p>
        </w:tc>
      </w:tr>
      <w:tr w:rsidR="009F4443" w:rsidRPr="00D2449B" w14:paraId="0E2CEC22" w14:textId="77777777" w:rsidTr="00773A66">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17DCF6" w14:textId="77777777" w:rsidR="008626FB" w:rsidRDefault="008626FB" w:rsidP="008626FB">
            <w:pPr>
              <w:rPr>
                <w:rFonts w:asciiTheme="minorHAnsi" w:hAnsiTheme="minorHAnsi"/>
                <w:b/>
                <w:szCs w:val="22"/>
              </w:rPr>
            </w:pPr>
          </w:p>
          <w:p w14:paraId="689E810A" w14:textId="5A8C2943" w:rsidR="009F4443" w:rsidRPr="009F4443" w:rsidRDefault="009F4443" w:rsidP="008626FB">
            <w:pPr>
              <w:rPr>
                <w:rFonts w:asciiTheme="minorHAnsi" w:hAnsiTheme="minorHAnsi"/>
                <w:b/>
                <w:szCs w:val="22"/>
              </w:rPr>
            </w:pPr>
            <w:r w:rsidRPr="009F4443">
              <w:rPr>
                <w:rFonts w:asciiTheme="minorHAnsi" w:hAnsiTheme="minorHAnsi"/>
                <w:b/>
                <w:szCs w:val="22"/>
              </w:rPr>
              <w:t>01:</w:t>
            </w:r>
          </w:p>
        </w:tc>
        <w:tc>
          <w:tcPr>
            <w:tcW w:w="867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F7AB20" w14:textId="77777777" w:rsidR="008626FB" w:rsidRDefault="008626FB" w:rsidP="00BE2303">
            <w:pPr>
              <w:jc w:val="both"/>
              <w:rPr>
                <w:rFonts w:asciiTheme="minorHAnsi" w:hAnsiTheme="minorHAnsi"/>
                <w:bCs/>
                <w:szCs w:val="22"/>
              </w:rPr>
            </w:pPr>
          </w:p>
          <w:p w14:paraId="6FAA6C76" w14:textId="194A8D87" w:rsidR="00BE2303" w:rsidRDefault="00B738DC" w:rsidP="00BE2303">
            <w:pPr>
              <w:jc w:val="both"/>
              <w:rPr>
                <w:rFonts w:asciiTheme="minorHAnsi" w:hAnsiTheme="minorHAnsi"/>
                <w:bCs/>
                <w:szCs w:val="22"/>
              </w:rPr>
            </w:pPr>
            <w:r w:rsidRPr="00957876">
              <w:rPr>
                <w:rFonts w:asciiTheme="minorHAnsi" w:hAnsiTheme="minorHAnsi"/>
                <w:bCs/>
                <w:szCs w:val="22"/>
              </w:rPr>
              <w:t xml:space="preserve">The proposal is considered contrary to Key Statement EN5 and Policies DMG1 and DME4 of the Ribble Valley Core Strategy </w:t>
            </w:r>
            <w:r w:rsidR="00BE2303" w:rsidRPr="00957876">
              <w:rPr>
                <w:rFonts w:asciiTheme="minorHAnsi" w:hAnsiTheme="minorHAnsi"/>
                <w:bCs/>
                <w:szCs w:val="22"/>
              </w:rPr>
              <w:t xml:space="preserve">and Paragraphs 130 and 134 of the National Planning Policy Framework </w:t>
            </w:r>
            <w:r w:rsidRPr="00957876">
              <w:rPr>
                <w:rFonts w:asciiTheme="minorHAnsi" w:hAnsiTheme="minorHAnsi"/>
                <w:bCs/>
                <w:szCs w:val="22"/>
              </w:rPr>
              <w:t xml:space="preserve">insofar that approval would result in the introduction of an anomalous, discordant, incongruous and unsympathetic form of development that fails to respond positively to the inherent character </w:t>
            </w:r>
            <w:r w:rsidR="00BE2303" w:rsidRPr="00957876">
              <w:rPr>
                <w:rFonts w:asciiTheme="minorHAnsi" w:hAnsiTheme="minorHAnsi"/>
                <w:bCs/>
                <w:szCs w:val="22"/>
              </w:rPr>
              <w:t xml:space="preserve">or inherent pattern of development in </w:t>
            </w:r>
            <w:r w:rsidRPr="00957876">
              <w:rPr>
                <w:rFonts w:asciiTheme="minorHAnsi" w:hAnsiTheme="minorHAnsi"/>
                <w:bCs/>
                <w:szCs w:val="22"/>
              </w:rPr>
              <w:t xml:space="preserve">the area, resulting in injurious and </w:t>
            </w:r>
            <w:r w:rsidR="00FC1B48">
              <w:rPr>
                <w:rFonts w:asciiTheme="minorHAnsi" w:hAnsiTheme="minorHAnsi"/>
                <w:bCs/>
                <w:szCs w:val="22"/>
              </w:rPr>
              <w:t xml:space="preserve">significantly </w:t>
            </w:r>
            <w:r w:rsidRPr="00957876">
              <w:rPr>
                <w:rFonts w:asciiTheme="minorHAnsi" w:hAnsiTheme="minorHAnsi"/>
                <w:bCs/>
                <w:szCs w:val="22"/>
              </w:rPr>
              <w:t xml:space="preserve">harmful impacts upon the </w:t>
            </w:r>
            <w:r w:rsidR="00FB78DD" w:rsidRPr="00957876">
              <w:rPr>
                <w:rFonts w:asciiTheme="minorHAnsi" w:hAnsiTheme="minorHAnsi"/>
                <w:bCs/>
                <w:szCs w:val="22"/>
              </w:rPr>
              <w:t>character and visual amenities of</w:t>
            </w:r>
            <w:r w:rsidRPr="00957876">
              <w:rPr>
                <w:rFonts w:asciiTheme="minorHAnsi" w:hAnsiTheme="minorHAnsi"/>
                <w:bCs/>
                <w:szCs w:val="22"/>
              </w:rPr>
              <w:t xml:space="preserve"> </w:t>
            </w:r>
            <w:r w:rsidR="001F428C">
              <w:rPr>
                <w:rFonts w:asciiTheme="minorHAnsi" w:hAnsiTheme="minorHAnsi"/>
                <w:bCs/>
                <w:szCs w:val="22"/>
              </w:rPr>
              <w:t xml:space="preserve">the </w:t>
            </w:r>
            <w:r w:rsidRPr="00957876">
              <w:rPr>
                <w:rFonts w:asciiTheme="minorHAnsi" w:hAnsiTheme="minorHAnsi"/>
                <w:bCs/>
                <w:szCs w:val="22"/>
              </w:rPr>
              <w:t xml:space="preserve">defined </w:t>
            </w:r>
            <w:r w:rsidR="00FB78DD" w:rsidRPr="00957876">
              <w:rPr>
                <w:rFonts w:asciiTheme="minorHAnsi" w:hAnsiTheme="minorHAnsi"/>
                <w:bCs/>
                <w:szCs w:val="22"/>
              </w:rPr>
              <w:t>Chatburn</w:t>
            </w:r>
            <w:r w:rsidRPr="00957876">
              <w:rPr>
                <w:rFonts w:asciiTheme="minorHAnsi" w:hAnsiTheme="minorHAnsi"/>
                <w:bCs/>
                <w:szCs w:val="22"/>
              </w:rPr>
              <w:t xml:space="preserve"> Conservation Area</w:t>
            </w:r>
            <w:r w:rsidR="000701FA">
              <w:rPr>
                <w:rFonts w:asciiTheme="minorHAnsi" w:hAnsiTheme="minorHAnsi"/>
                <w:bCs/>
                <w:szCs w:val="22"/>
              </w:rPr>
              <w:t xml:space="preserve"> and upon the setting of the nearby Grade II Listed Building (55-57 Downham Road) and buildings of townscape merit (Fir Tree House and 53 Downham Road)</w:t>
            </w:r>
            <w:r w:rsidRPr="00957876">
              <w:rPr>
                <w:rFonts w:asciiTheme="minorHAnsi" w:hAnsiTheme="minorHAnsi"/>
                <w:bCs/>
                <w:szCs w:val="22"/>
              </w:rPr>
              <w:t>.</w:t>
            </w:r>
          </w:p>
          <w:p w14:paraId="337E4514" w14:textId="752A37C5" w:rsidR="00FC1B48" w:rsidRPr="00957876" w:rsidRDefault="00FC1B48" w:rsidP="00BE2303">
            <w:pPr>
              <w:jc w:val="both"/>
              <w:rPr>
                <w:rFonts w:asciiTheme="minorHAnsi" w:hAnsiTheme="minorHAnsi"/>
                <w:bCs/>
                <w:szCs w:val="22"/>
              </w:rPr>
            </w:pPr>
          </w:p>
        </w:tc>
      </w:tr>
    </w:tbl>
    <w:p w14:paraId="513FB541" w14:textId="77777777" w:rsidR="0031197A" w:rsidRPr="00D2449B" w:rsidRDefault="00EB7255">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B8F"/>
    <w:multiLevelType w:val="hybridMultilevel"/>
    <w:tmpl w:val="0B680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C94C6B"/>
    <w:multiLevelType w:val="hybridMultilevel"/>
    <w:tmpl w:val="6620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3E7A69"/>
    <w:multiLevelType w:val="hybridMultilevel"/>
    <w:tmpl w:val="A0FA0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CE4D11"/>
    <w:multiLevelType w:val="hybridMultilevel"/>
    <w:tmpl w:val="A4029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27457F"/>
    <w:multiLevelType w:val="hybridMultilevel"/>
    <w:tmpl w:val="A372E47E"/>
    <w:lvl w:ilvl="0" w:tplc="0809000F">
      <w:start w:val="1"/>
      <w:numFmt w:val="decimal"/>
      <w:lvlText w:val="%1."/>
      <w:lvlJc w:val="left"/>
      <w:pPr>
        <w:ind w:left="742" w:hanging="360"/>
      </w:p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num w:numId="1" w16cid:durableId="1761025905">
    <w:abstractNumId w:val="4"/>
  </w:num>
  <w:num w:numId="2" w16cid:durableId="1887136062">
    <w:abstractNumId w:val="3"/>
  </w:num>
  <w:num w:numId="3" w16cid:durableId="684750495">
    <w:abstractNumId w:val="0"/>
  </w:num>
  <w:num w:numId="4" w16cid:durableId="1447651569">
    <w:abstractNumId w:val="1"/>
  </w:num>
  <w:num w:numId="5" w16cid:durableId="653416912">
    <w:abstractNumId w:val="2"/>
  </w:num>
  <w:num w:numId="6" w16cid:durableId="1492911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6B59"/>
    <w:rsid w:val="00065844"/>
    <w:rsid w:val="000701FA"/>
    <w:rsid w:val="000B5CB5"/>
    <w:rsid w:val="000E173F"/>
    <w:rsid w:val="00130035"/>
    <w:rsid w:val="001D4F7A"/>
    <w:rsid w:val="001F428C"/>
    <w:rsid w:val="00250879"/>
    <w:rsid w:val="00276BEC"/>
    <w:rsid w:val="00284917"/>
    <w:rsid w:val="0029334A"/>
    <w:rsid w:val="002A01CF"/>
    <w:rsid w:val="002C6277"/>
    <w:rsid w:val="002F2580"/>
    <w:rsid w:val="00321B6E"/>
    <w:rsid w:val="003B2450"/>
    <w:rsid w:val="003C2259"/>
    <w:rsid w:val="00440CB6"/>
    <w:rsid w:val="0046548C"/>
    <w:rsid w:val="004947BB"/>
    <w:rsid w:val="004A5EA9"/>
    <w:rsid w:val="004C2434"/>
    <w:rsid w:val="004F0649"/>
    <w:rsid w:val="00510FA2"/>
    <w:rsid w:val="00556ECD"/>
    <w:rsid w:val="00577F2C"/>
    <w:rsid w:val="005D492B"/>
    <w:rsid w:val="005E1C6C"/>
    <w:rsid w:val="005E65DF"/>
    <w:rsid w:val="00692B60"/>
    <w:rsid w:val="006A71AD"/>
    <w:rsid w:val="006B5AE0"/>
    <w:rsid w:val="006C2BFA"/>
    <w:rsid w:val="006F6849"/>
    <w:rsid w:val="0070054B"/>
    <w:rsid w:val="007175D2"/>
    <w:rsid w:val="00773A66"/>
    <w:rsid w:val="00776AE2"/>
    <w:rsid w:val="007C791C"/>
    <w:rsid w:val="007D7DF4"/>
    <w:rsid w:val="007E0D23"/>
    <w:rsid w:val="007F16D6"/>
    <w:rsid w:val="00811771"/>
    <w:rsid w:val="00824DB6"/>
    <w:rsid w:val="00837F4F"/>
    <w:rsid w:val="008542DE"/>
    <w:rsid w:val="008626FB"/>
    <w:rsid w:val="008A28C8"/>
    <w:rsid w:val="008B32BA"/>
    <w:rsid w:val="008F7B90"/>
    <w:rsid w:val="00957876"/>
    <w:rsid w:val="00986ECE"/>
    <w:rsid w:val="009A16C7"/>
    <w:rsid w:val="009D3CAD"/>
    <w:rsid w:val="009F0ACA"/>
    <w:rsid w:val="009F4443"/>
    <w:rsid w:val="00A42E82"/>
    <w:rsid w:val="00A579BB"/>
    <w:rsid w:val="00A63D55"/>
    <w:rsid w:val="00A640B1"/>
    <w:rsid w:val="00A95D89"/>
    <w:rsid w:val="00B56E11"/>
    <w:rsid w:val="00B738DC"/>
    <w:rsid w:val="00B93EB5"/>
    <w:rsid w:val="00BC3F4F"/>
    <w:rsid w:val="00BD3F03"/>
    <w:rsid w:val="00BE2303"/>
    <w:rsid w:val="00C0704D"/>
    <w:rsid w:val="00C25722"/>
    <w:rsid w:val="00C618DB"/>
    <w:rsid w:val="00C8179A"/>
    <w:rsid w:val="00CA5A80"/>
    <w:rsid w:val="00D11007"/>
    <w:rsid w:val="00D17EB1"/>
    <w:rsid w:val="00D2449B"/>
    <w:rsid w:val="00D54E67"/>
    <w:rsid w:val="00DD62F6"/>
    <w:rsid w:val="00E46243"/>
    <w:rsid w:val="00E66534"/>
    <w:rsid w:val="00E72F6C"/>
    <w:rsid w:val="00EA09F9"/>
    <w:rsid w:val="00EB7255"/>
    <w:rsid w:val="00EC23C7"/>
    <w:rsid w:val="00ED00B7"/>
    <w:rsid w:val="00EF44E6"/>
    <w:rsid w:val="00F6096E"/>
    <w:rsid w:val="00FA443F"/>
    <w:rsid w:val="00FB78DD"/>
    <w:rsid w:val="00FC1B48"/>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2023-02-21T16:37:00Z</cp:lastPrinted>
  <dcterms:created xsi:type="dcterms:W3CDTF">2023-02-21T16:40:00Z</dcterms:created>
  <dcterms:modified xsi:type="dcterms:W3CDTF">2023-02-21T16:40:00Z</dcterms:modified>
</cp:coreProperties>
</file>