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43CFF8F" w:rsidR="00837F4F" w:rsidRPr="006E2E2E" w:rsidRDefault="006E2E2E" w:rsidP="00D2449B">
            <w:pPr>
              <w:jc w:val="center"/>
              <w:rPr>
                <w:rFonts w:ascii="Calibri" w:hAnsi="Calibri"/>
                <w:bCs/>
                <w:szCs w:val="22"/>
              </w:rPr>
            </w:pPr>
            <w:r w:rsidRPr="006E2E2E">
              <w:rPr>
                <w:rFonts w:ascii="Calibri" w:hAnsi="Calibri"/>
                <w:bCs/>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E59634F" w:rsidR="00837F4F" w:rsidRPr="006E2E2E" w:rsidRDefault="00150D0A" w:rsidP="00D2449B">
            <w:pPr>
              <w:jc w:val="center"/>
              <w:rPr>
                <w:rFonts w:ascii="Calibri" w:hAnsi="Calibri"/>
                <w:bCs/>
                <w:szCs w:val="22"/>
              </w:rPr>
            </w:pPr>
            <w:r>
              <w:rPr>
                <w:rFonts w:ascii="Calibri" w:hAnsi="Calibri"/>
                <w:bCs/>
                <w:szCs w:val="22"/>
              </w:rPr>
              <w:t>01</w:t>
            </w:r>
            <w:r w:rsidR="006E2E2E" w:rsidRPr="006E2E2E">
              <w:rPr>
                <w:rFonts w:ascii="Calibri" w:hAnsi="Calibri"/>
                <w:bCs/>
                <w:szCs w:val="22"/>
              </w:rPr>
              <w:t>.</w:t>
            </w:r>
            <w:r>
              <w:rPr>
                <w:rFonts w:ascii="Calibri" w:hAnsi="Calibri"/>
                <w:bCs/>
                <w:szCs w:val="22"/>
              </w:rPr>
              <w:t>03</w:t>
            </w:r>
            <w:r w:rsidR="006E2E2E" w:rsidRPr="006E2E2E">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56C91B9" w:rsidR="00837F4F" w:rsidRPr="00D2449B" w:rsidRDefault="00825686"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B13CE66" w:rsidR="00837F4F" w:rsidRPr="00D2449B" w:rsidRDefault="00825686" w:rsidP="00D2449B">
            <w:pPr>
              <w:jc w:val="center"/>
              <w:rPr>
                <w:rFonts w:ascii="Calibri" w:hAnsi="Calibri"/>
                <w:b/>
                <w:szCs w:val="22"/>
              </w:rPr>
            </w:pPr>
            <w:r>
              <w:rPr>
                <w:rFonts w:ascii="Calibri" w:hAnsi="Calibri"/>
                <w:b/>
                <w:szCs w:val="22"/>
              </w:rPr>
              <w:t>01.3.23</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05668A8" w:rsidR="004A5EA9" w:rsidRPr="006E2E2E" w:rsidRDefault="004A5EA9" w:rsidP="008542DE">
            <w:pPr>
              <w:rPr>
                <w:rFonts w:ascii="Calibri" w:hAnsi="Calibri"/>
                <w:szCs w:val="22"/>
              </w:rPr>
            </w:pPr>
            <w:r w:rsidRPr="006E2E2E">
              <w:rPr>
                <w:rFonts w:ascii="Calibri" w:hAnsi="Calibri"/>
                <w:szCs w:val="22"/>
              </w:rPr>
              <w:t>20</w:t>
            </w:r>
            <w:r w:rsidR="006E2E2E" w:rsidRPr="006E2E2E">
              <w:rPr>
                <w:rFonts w:ascii="Calibri" w:hAnsi="Calibri"/>
                <w:szCs w:val="22"/>
              </w:rPr>
              <w:t>23</w:t>
            </w:r>
            <w:r w:rsidR="00C0704D" w:rsidRPr="006E2E2E">
              <w:rPr>
                <w:rFonts w:ascii="Calibri" w:hAnsi="Calibri"/>
                <w:szCs w:val="22"/>
              </w:rPr>
              <w:t>/</w:t>
            </w:r>
            <w:r w:rsidR="006E2E2E" w:rsidRPr="006E2E2E">
              <w:rPr>
                <w:rFonts w:ascii="Calibri" w:hAnsi="Calibri"/>
                <w:szCs w:val="22"/>
              </w:rPr>
              <w:t>000</w:t>
            </w:r>
            <w:r w:rsidR="00150D0A">
              <w:rPr>
                <w:rFonts w:ascii="Calibri" w:hAnsi="Calibri"/>
                <w:szCs w:val="22"/>
              </w:rPr>
              <w:t>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7CEB8C8" w:rsidR="00824DB6" w:rsidRPr="006E2E2E" w:rsidRDefault="0062498F" w:rsidP="002C6277">
            <w:pPr>
              <w:rPr>
                <w:rFonts w:ascii="Calibri" w:hAnsi="Calibri"/>
                <w:szCs w:val="22"/>
              </w:rPr>
            </w:pPr>
            <w:r>
              <w:rPr>
                <w:rFonts w:ascii="Calibri" w:hAnsi="Calibri"/>
                <w:szCs w:val="22"/>
              </w:rPr>
              <w:t>03</w:t>
            </w:r>
            <w:r w:rsidRPr="006E2E2E">
              <w:rPr>
                <w:rFonts w:ascii="Calibri" w:hAnsi="Calibri"/>
                <w:szCs w:val="22"/>
              </w:rPr>
              <w:t>/0</w:t>
            </w:r>
            <w:r>
              <w:rPr>
                <w:rFonts w:ascii="Calibri" w:hAnsi="Calibri"/>
                <w:szCs w:val="22"/>
              </w:rPr>
              <w:t>2</w:t>
            </w:r>
            <w:r w:rsidRPr="006E2E2E">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6E2E2E" w:rsidRDefault="00824DB6" w:rsidP="002C6277">
            <w:pPr>
              <w:rPr>
                <w:rFonts w:ascii="Calibri" w:hAnsi="Calibri"/>
                <w:b/>
                <w:bCs/>
                <w:szCs w:val="22"/>
              </w:rPr>
            </w:pPr>
            <w:r w:rsidRPr="006E2E2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B87E4B9" w:rsidR="00824DB6" w:rsidRPr="006E2E2E" w:rsidRDefault="0062498F" w:rsidP="002C6277">
            <w:pPr>
              <w:rPr>
                <w:rFonts w:ascii="Calibri" w:hAnsi="Calibri"/>
                <w:szCs w:val="22"/>
              </w:rPr>
            </w:pPr>
            <w:r>
              <w:rPr>
                <w:rFonts w:ascii="Calibri" w:hAnsi="Calibri"/>
                <w:szCs w:val="22"/>
              </w:rPr>
              <w:t>03</w:t>
            </w:r>
            <w:r w:rsidRPr="006E2E2E">
              <w:rPr>
                <w:rFonts w:ascii="Calibri" w:hAnsi="Calibri"/>
                <w:szCs w:val="22"/>
              </w:rPr>
              <w:t>/0</w:t>
            </w:r>
            <w:r>
              <w:rPr>
                <w:rFonts w:ascii="Calibri" w:hAnsi="Calibri"/>
                <w:szCs w:val="22"/>
              </w:rPr>
              <w:t>2</w:t>
            </w:r>
            <w:r w:rsidRPr="006E2E2E">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D4E809C" w:rsidR="004A5EA9" w:rsidRPr="006E2E2E" w:rsidRDefault="006E2E2E" w:rsidP="00811771">
            <w:pPr>
              <w:rPr>
                <w:rFonts w:ascii="Calibri" w:hAnsi="Calibri"/>
                <w:szCs w:val="22"/>
              </w:rPr>
            </w:pPr>
            <w:r w:rsidRPr="006E2E2E">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9D5A97F" w:rsidR="004A5EA9" w:rsidRPr="002C6277" w:rsidRDefault="0062498F" w:rsidP="006565E0">
            <w:pPr>
              <w:jc w:val="both"/>
              <w:rPr>
                <w:rFonts w:ascii="Calibri" w:hAnsi="Calibri"/>
                <w:szCs w:val="22"/>
              </w:rPr>
            </w:pPr>
            <w:r w:rsidRPr="0062498F">
              <w:rPr>
                <w:rFonts w:ascii="Calibri" w:hAnsi="Calibri"/>
                <w:szCs w:val="22"/>
              </w:rPr>
              <w:t>Advertisement consent for proposed installation of a BT Street Hub and associated display of advertisements to both sides of the unit.</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7581664" w:rsidR="002A01CF" w:rsidRPr="002C6277" w:rsidRDefault="006565E0" w:rsidP="00A42E82">
            <w:pPr>
              <w:rPr>
                <w:rFonts w:ascii="Calibri" w:hAnsi="Calibri"/>
                <w:szCs w:val="22"/>
              </w:rPr>
            </w:pPr>
            <w:r w:rsidRPr="006565E0">
              <w:rPr>
                <w:rFonts w:ascii="Calibri" w:hAnsi="Calibri"/>
                <w:szCs w:val="22"/>
              </w:rPr>
              <w:t>Pavement outside 7-9 King Street Clitheroe BB7 2EU</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F51C639" w:rsidR="006E2E2E" w:rsidRPr="0062498F" w:rsidRDefault="0062498F" w:rsidP="0062498F">
            <w:pPr>
              <w:jc w:val="both"/>
              <w:rPr>
                <w:rFonts w:ascii="Calibri" w:hAnsi="Calibri"/>
                <w:bCs/>
                <w:szCs w:val="22"/>
              </w:rPr>
            </w:pPr>
            <w:r w:rsidRPr="0062498F">
              <w:rPr>
                <w:rFonts w:ascii="Calibri" w:hAnsi="Calibri"/>
                <w:bCs/>
                <w:szCs w:val="22"/>
              </w:rPr>
              <w:t>No representations received in respect of the proposal</w:t>
            </w:r>
            <w:r w:rsidR="006E2E2E" w:rsidRPr="0062498F">
              <w:rPr>
                <w:rFonts w:ascii="Calibri" w:hAnsi="Calibri"/>
                <w:bCs/>
                <w:szCs w:val="22"/>
              </w:rPr>
              <w:t>.</w:t>
            </w: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ADFC10" w14:textId="011DA428" w:rsidR="006E2E2E" w:rsidRDefault="006E2E2E" w:rsidP="006565E0">
            <w:pPr>
              <w:rPr>
                <w:rFonts w:ascii="Calibri" w:hAnsi="Calibri"/>
                <w:i/>
                <w:iCs/>
                <w:szCs w:val="22"/>
              </w:rPr>
            </w:pPr>
            <w:r>
              <w:rPr>
                <w:rFonts w:ascii="Calibri" w:hAnsi="Calibri"/>
                <w:szCs w:val="22"/>
              </w:rPr>
              <w:t xml:space="preserve">The Local Highways Authority have noted that </w:t>
            </w:r>
            <w:r w:rsidRPr="006E2E2E">
              <w:rPr>
                <w:rFonts w:ascii="Calibri" w:hAnsi="Calibri"/>
                <w:i/>
                <w:iCs/>
                <w:szCs w:val="22"/>
              </w:rPr>
              <w:t>‘</w:t>
            </w:r>
            <w:r w:rsidR="006565E0" w:rsidRPr="006565E0">
              <w:rPr>
                <w:rFonts w:ascii="Calibri" w:hAnsi="Calibri"/>
                <w:i/>
                <w:iCs/>
                <w:szCs w:val="22"/>
              </w:rPr>
              <w:t>The footway at the proposed location of the street hub is currently being altered to extend the footway into the carriageway to provide an enhanced pedestrian crossing point.</w:t>
            </w:r>
            <w:r w:rsidR="006565E0">
              <w:rPr>
                <w:rFonts w:ascii="Calibri" w:hAnsi="Calibri"/>
                <w:i/>
                <w:iCs/>
                <w:szCs w:val="22"/>
              </w:rPr>
              <w:t xml:space="preserve">  </w:t>
            </w:r>
            <w:r w:rsidR="006565E0" w:rsidRPr="006565E0">
              <w:rPr>
                <w:rFonts w:ascii="Calibri" w:hAnsi="Calibri"/>
                <w:i/>
                <w:iCs/>
                <w:szCs w:val="22"/>
              </w:rPr>
              <w:t>The plans should be amended to reflect this</w:t>
            </w:r>
            <w:r w:rsidR="006565E0">
              <w:rPr>
                <w:rFonts w:ascii="Calibri" w:hAnsi="Calibri"/>
                <w:i/>
                <w:iCs/>
                <w:szCs w:val="22"/>
              </w:rPr>
              <w:t>’.</w:t>
            </w:r>
          </w:p>
          <w:p w14:paraId="402C88CD" w14:textId="77777777" w:rsidR="006E2E2E" w:rsidRDefault="006E2E2E" w:rsidP="006E2E2E">
            <w:pPr>
              <w:rPr>
                <w:rFonts w:ascii="Calibri" w:hAnsi="Calibri"/>
                <w:i/>
                <w:iCs/>
                <w:szCs w:val="22"/>
              </w:rPr>
            </w:pPr>
          </w:p>
          <w:p w14:paraId="65FFD5E0" w14:textId="77777777" w:rsidR="00C0704D" w:rsidRDefault="006E2E2E" w:rsidP="006E2E2E">
            <w:pPr>
              <w:rPr>
                <w:rFonts w:ascii="Calibri" w:hAnsi="Calibri"/>
                <w:szCs w:val="22"/>
              </w:rPr>
            </w:pPr>
            <w:r>
              <w:rPr>
                <w:rFonts w:ascii="Calibri" w:hAnsi="Calibri"/>
                <w:szCs w:val="22"/>
              </w:rPr>
              <w:t>However, the LHA have not raised any objection to the proposal and have suggested the imposition of a number of conditions should consent be granted.</w:t>
            </w:r>
          </w:p>
          <w:p w14:paraId="412F746E" w14:textId="77777777" w:rsidR="00825686" w:rsidRDefault="00825686" w:rsidP="006E2E2E">
            <w:pPr>
              <w:rPr>
                <w:rFonts w:ascii="Calibri" w:hAnsi="Calibri"/>
                <w:szCs w:val="22"/>
              </w:rPr>
            </w:pPr>
          </w:p>
          <w:p w14:paraId="11F8A36A" w14:textId="57430FD6" w:rsidR="00825686" w:rsidRDefault="00825686" w:rsidP="006E2E2E">
            <w:pPr>
              <w:rPr>
                <w:rFonts w:ascii="Calibri" w:hAnsi="Calibri"/>
                <w:szCs w:val="22"/>
              </w:rPr>
            </w:pPr>
            <w:r w:rsidRPr="00FA58D0">
              <w:rPr>
                <w:rFonts w:ascii="Calibri" w:hAnsi="Calibri"/>
                <w:b/>
                <w:bCs/>
                <w:szCs w:val="22"/>
              </w:rPr>
              <w:t>Cadent Gas</w:t>
            </w:r>
            <w:r>
              <w:rPr>
                <w:rFonts w:ascii="Calibri" w:hAnsi="Calibri"/>
                <w:szCs w:val="22"/>
              </w:rPr>
              <w:t xml:space="preserve"> raise no objection but request an informative about gas infrastructure in the vicinity of the site.</w:t>
            </w:r>
          </w:p>
          <w:p w14:paraId="6149AC5C" w14:textId="54927754" w:rsidR="00825686" w:rsidRPr="006E2E2E" w:rsidRDefault="00825686" w:rsidP="006E2E2E">
            <w:pPr>
              <w:rPr>
                <w:rFonts w:ascii="Calibri" w:hAnsi="Calibri"/>
                <w:szCs w:val="22"/>
              </w:rPr>
            </w:pP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DF2585" w14:textId="02FC91C0" w:rsidR="00C0704D" w:rsidRDefault="00C0704D" w:rsidP="00692B60">
            <w:pPr>
              <w:rPr>
                <w:rFonts w:ascii="Calibri" w:hAnsi="Calibri"/>
                <w:szCs w:val="22"/>
              </w:rPr>
            </w:pPr>
          </w:p>
          <w:p w14:paraId="2E70190A" w14:textId="23AA543C" w:rsidR="006E2E2E" w:rsidRDefault="00DE1CCD" w:rsidP="00692B60">
            <w:pPr>
              <w:rPr>
                <w:rFonts w:ascii="Calibri" w:hAnsi="Calibri"/>
                <w:szCs w:val="22"/>
              </w:rPr>
            </w:pPr>
            <w:r>
              <w:rPr>
                <w:rFonts w:ascii="Calibri" w:hAnsi="Calibri"/>
                <w:szCs w:val="22"/>
              </w:rPr>
              <w:t>11</w:t>
            </w:r>
            <w:r w:rsidR="006E2E2E">
              <w:rPr>
                <w:rFonts w:ascii="Calibri" w:hAnsi="Calibri"/>
                <w:szCs w:val="22"/>
              </w:rPr>
              <w:t xml:space="preserve"> Letters of representation have been received objecting on the following grounds:</w:t>
            </w:r>
          </w:p>
          <w:p w14:paraId="39F7C79D" w14:textId="71B1B384" w:rsidR="009F13F2" w:rsidRDefault="009F13F2" w:rsidP="00692B60">
            <w:pPr>
              <w:rPr>
                <w:rFonts w:ascii="Calibri" w:hAnsi="Calibri"/>
                <w:szCs w:val="22"/>
              </w:rPr>
            </w:pPr>
          </w:p>
          <w:p w14:paraId="4940B4DB" w14:textId="28376652" w:rsidR="009F13F2" w:rsidRDefault="009F13F2" w:rsidP="009F13F2">
            <w:pPr>
              <w:pStyle w:val="ListParagraph"/>
              <w:numPr>
                <w:ilvl w:val="0"/>
                <w:numId w:val="10"/>
              </w:numPr>
              <w:rPr>
                <w:rFonts w:ascii="Calibri" w:hAnsi="Calibri"/>
                <w:szCs w:val="22"/>
              </w:rPr>
            </w:pPr>
            <w:r>
              <w:rPr>
                <w:rFonts w:ascii="Calibri" w:hAnsi="Calibri"/>
                <w:szCs w:val="22"/>
              </w:rPr>
              <w:t>Out of keeping with the area</w:t>
            </w:r>
          </w:p>
          <w:p w14:paraId="705D1407" w14:textId="5FFFA16D" w:rsidR="009F13F2" w:rsidRDefault="009F13F2" w:rsidP="009F13F2">
            <w:pPr>
              <w:pStyle w:val="ListParagraph"/>
              <w:numPr>
                <w:ilvl w:val="0"/>
                <w:numId w:val="10"/>
              </w:numPr>
              <w:rPr>
                <w:rFonts w:ascii="Calibri" w:hAnsi="Calibri"/>
                <w:szCs w:val="22"/>
              </w:rPr>
            </w:pPr>
            <w:r>
              <w:rPr>
                <w:rFonts w:ascii="Calibri" w:hAnsi="Calibri"/>
                <w:szCs w:val="22"/>
              </w:rPr>
              <w:t>Harmful to the character of the area</w:t>
            </w:r>
          </w:p>
          <w:p w14:paraId="6CE0B2F4" w14:textId="1C7E4A36" w:rsidR="009F13F2" w:rsidRDefault="009F13F2" w:rsidP="009F13F2">
            <w:pPr>
              <w:pStyle w:val="ListParagraph"/>
              <w:numPr>
                <w:ilvl w:val="0"/>
                <w:numId w:val="10"/>
              </w:numPr>
              <w:rPr>
                <w:rFonts w:ascii="Calibri" w:hAnsi="Calibri"/>
                <w:szCs w:val="22"/>
              </w:rPr>
            </w:pPr>
            <w:r>
              <w:rPr>
                <w:rFonts w:ascii="Calibri" w:hAnsi="Calibri"/>
                <w:szCs w:val="22"/>
              </w:rPr>
              <w:t>No benefits resultant from the hub(s)</w:t>
            </w:r>
          </w:p>
          <w:p w14:paraId="33F1B363" w14:textId="0FDCC15E" w:rsidR="009F13F2" w:rsidRDefault="009F13F2" w:rsidP="009F13F2">
            <w:pPr>
              <w:pStyle w:val="ListParagraph"/>
              <w:numPr>
                <w:ilvl w:val="0"/>
                <w:numId w:val="10"/>
              </w:numPr>
              <w:rPr>
                <w:rFonts w:ascii="Calibri" w:hAnsi="Calibri"/>
                <w:szCs w:val="22"/>
              </w:rPr>
            </w:pPr>
            <w:r>
              <w:rPr>
                <w:rFonts w:ascii="Calibri" w:hAnsi="Calibri"/>
                <w:szCs w:val="22"/>
              </w:rPr>
              <w:t>Will be subject to vandalism</w:t>
            </w:r>
          </w:p>
          <w:p w14:paraId="4F517CE7" w14:textId="77777777" w:rsidR="006E2E2E" w:rsidRDefault="009F13F2" w:rsidP="0062498F">
            <w:pPr>
              <w:pStyle w:val="ListParagraph"/>
              <w:numPr>
                <w:ilvl w:val="0"/>
                <w:numId w:val="10"/>
              </w:numPr>
              <w:rPr>
                <w:rFonts w:ascii="Calibri" w:hAnsi="Calibri"/>
                <w:szCs w:val="22"/>
              </w:rPr>
            </w:pPr>
            <w:r>
              <w:rPr>
                <w:rFonts w:ascii="Calibri" w:hAnsi="Calibri"/>
                <w:szCs w:val="22"/>
              </w:rPr>
              <w:t>Will attract anti-social behaviour</w:t>
            </w:r>
          </w:p>
          <w:p w14:paraId="581BB273" w14:textId="541546FF" w:rsidR="0062498F" w:rsidRPr="0062498F" w:rsidRDefault="0062498F" w:rsidP="0062498F">
            <w:pPr>
              <w:pStyle w:val="ListParagraph"/>
              <w:rPr>
                <w:rFonts w:ascii="Calibri" w:hAnsi="Calibri"/>
                <w:szCs w:val="22"/>
              </w:rPr>
            </w:pP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0DE7DEF" w14:textId="77777777" w:rsidR="008A4741" w:rsidRPr="008A4741" w:rsidRDefault="008A4741" w:rsidP="008A4741">
            <w:pPr>
              <w:pStyle w:val="PLANNING"/>
              <w:rPr>
                <w:rFonts w:ascii="Calibri" w:hAnsi="Calibri"/>
                <w:szCs w:val="22"/>
              </w:rPr>
            </w:pPr>
          </w:p>
          <w:p w14:paraId="529229C4" w14:textId="77777777" w:rsidR="008A4741" w:rsidRPr="008A4741" w:rsidRDefault="008A4741" w:rsidP="008A4741">
            <w:pPr>
              <w:pStyle w:val="PLANNING"/>
              <w:rPr>
                <w:rFonts w:ascii="Calibri" w:hAnsi="Calibri"/>
                <w:szCs w:val="22"/>
              </w:rPr>
            </w:pPr>
            <w:r w:rsidRPr="008A4741">
              <w:rPr>
                <w:rFonts w:ascii="Calibri" w:hAnsi="Calibri"/>
                <w:szCs w:val="22"/>
              </w:rPr>
              <w:t>Key Statement DS1 – Development Strategy</w:t>
            </w:r>
          </w:p>
          <w:p w14:paraId="4C592C47" w14:textId="77777777" w:rsidR="008A4741" w:rsidRPr="008A4741" w:rsidRDefault="008A4741" w:rsidP="008A4741">
            <w:pPr>
              <w:pStyle w:val="PLANNING"/>
              <w:rPr>
                <w:rFonts w:ascii="Calibri" w:hAnsi="Calibri"/>
                <w:szCs w:val="22"/>
              </w:rPr>
            </w:pPr>
            <w:r w:rsidRPr="008A4741">
              <w:rPr>
                <w:rFonts w:ascii="Calibri" w:hAnsi="Calibri"/>
                <w:szCs w:val="22"/>
              </w:rPr>
              <w:t>Key Statement DS2 – Sustainable Development</w:t>
            </w:r>
          </w:p>
          <w:p w14:paraId="14048519" w14:textId="77777777" w:rsidR="008A4741" w:rsidRPr="008A4741" w:rsidRDefault="008A4741" w:rsidP="008A4741">
            <w:pPr>
              <w:pStyle w:val="PLANNING"/>
              <w:rPr>
                <w:rFonts w:ascii="Calibri" w:hAnsi="Calibri"/>
                <w:szCs w:val="22"/>
              </w:rPr>
            </w:pPr>
            <w:r w:rsidRPr="008A4741">
              <w:rPr>
                <w:rFonts w:ascii="Calibri" w:hAnsi="Calibri"/>
                <w:szCs w:val="22"/>
              </w:rPr>
              <w:t>Key Statement DMI2 – Transport Considerations</w:t>
            </w:r>
          </w:p>
          <w:p w14:paraId="0C72D9BD" w14:textId="77777777" w:rsidR="008A4741" w:rsidRPr="008A4741" w:rsidRDefault="008A4741" w:rsidP="008A4741">
            <w:pPr>
              <w:pStyle w:val="PLANNING"/>
              <w:rPr>
                <w:rFonts w:ascii="Calibri" w:hAnsi="Calibri"/>
                <w:szCs w:val="22"/>
              </w:rPr>
            </w:pPr>
            <w:r w:rsidRPr="008A4741">
              <w:rPr>
                <w:rFonts w:ascii="Calibri" w:hAnsi="Calibri"/>
                <w:szCs w:val="22"/>
              </w:rPr>
              <w:t xml:space="preserve">Key Statement EN5 – Heritage Assets </w:t>
            </w:r>
          </w:p>
          <w:p w14:paraId="2D17F058" w14:textId="77777777" w:rsidR="008A4741" w:rsidRPr="008A4741" w:rsidRDefault="008A4741" w:rsidP="008A4741">
            <w:pPr>
              <w:pStyle w:val="PLANNING"/>
              <w:rPr>
                <w:rFonts w:ascii="Calibri" w:hAnsi="Calibri"/>
                <w:szCs w:val="22"/>
              </w:rPr>
            </w:pPr>
          </w:p>
          <w:p w14:paraId="0A6C1ACB" w14:textId="77777777" w:rsidR="008A4741" w:rsidRPr="008A4741" w:rsidRDefault="008A4741" w:rsidP="008A4741">
            <w:pPr>
              <w:pStyle w:val="PLANNING"/>
              <w:rPr>
                <w:rFonts w:ascii="Calibri" w:hAnsi="Calibri"/>
                <w:szCs w:val="22"/>
              </w:rPr>
            </w:pPr>
            <w:r w:rsidRPr="008A4741">
              <w:rPr>
                <w:rFonts w:ascii="Calibri" w:hAnsi="Calibri"/>
                <w:szCs w:val="22"/>
              </w:rPr>
              <w:t>Policy DMG1 – General Considerations</w:t>
            </w:r>
          </w:p>
          <w:p w14:paraId="704C8169" w14:textId="77777777" w:rsidR="008A4741" w:rsidRPr="008A4741" w:rsidRDefault="008A4741" w:rsidP="008A4741">
            <w:pPr>
              <w:pStyle w:val="PLANNING"/>
              <w:rPr>
                <w:rFonts w:ascii="Calibri" w:hAnsi="Calibri"/>
                <w:szCs w:val="22"/>
              </w:rPr>
            </w:pPr>
            <w:r w:rsidRPr="008A4741">
              <w:rPr>
                <w:rFonts w:ascii="Calibri" w:hAnsi="Calibri"/>
                <w:szCs w:val="22"/>
              </w:rPr>
              <w:lastRenderedPageBreak/>
              <w:t>Policy DMG2 – Strategic Considerations</w:t>
            </w:r>
          </w:p>
          <w:p w14:paraId="420D84AB" w14:textId="77777777" w:rsidR="008A4741" w:rsidRPr="008A4741" w:rsidRDefault="008A4741" w:rsidP="008A4741">
            <w:pPr>
              <w:pStyle w:val="PLANNING"/>
              <w:rPr>
                <w:rFonts w:ascii="Calibri" w:hAnsi="Calibri"/>
                <w:szCs w:val="22"/>
              </w:rPr>
            </w:pPr>
            <w:r w:rsidRPr="008A4741">
              <w:rPr>
                <w:rFonts w:ascii="Calibri" w:hAnsi="Calibri"/>
                <w:szCs w:val="22"/>
              </w:rPr>
              <w:t>Policy DMG3 – Transport &amp; Mobility</w:t>
            </w:r>
          </w:p>
          <w:p w14:paraId="7F385ECC" w14:textId="77777777" w:rsidR="008A4741" w:rsidRPr="008A4741" w:rsidRDefault="008A4741" w:rsidP="008A4741">
            <w:pPr>
              <w:pStyle w:val="PLANNING"/>
              <w:rPr>
                <w:rFonts w:ascii="Calibri" w:hAnsi="Calibri"/>
                <w:szCs w:val="22"/>
              </w:rPr>
            </w:pPr>
            <w:r w:rsidRPr="008A4741">
              <w:rPr>
                <w:rFonts w:ascii="Calibri" w:hAnsi="Calibri"/>
                <w:szCs w:val="22"/>
              </w:rPr>
              <w:t xml:space="preserve">Policy DME2 – Landscape and Townscape Protection </w:t>
            </w:r>
          </w:p>
          <w:p w14:paraId="3099B444" w14:textId="77777777" w:rsidR="008A4741" w:rsidRPr="008A4741" w:rsidRDefault="008A4741" w:rsidP="008A4741">
            <w:pPr>
              <w:pStyle w:val="PLANNING"/>
              <w:rPr>
                <w:rFonts w:ascii="Calibri" w:hAnsi="Calibri"/>
                <w:szCs w:val="22"/>
              </w:rPr>
            </w:pPr>
            <w:r w:rsidRPr="008A4741">
              <w:rPr>
                <w:rFonts w:ascii="Calibri" w:hAnsi="Calibri"/>
                <w:szCs w:val="22"/>
              </w:rPr>
              <w:t xml:space="preserve">Policy DME4 – Protecting Heritage Assets </w:t>
            </w:r>
          </w:p>
          <w:p w14:paraId="13A56DCC" w14:textId="77777777" w:rsidR="008A4741" w:rsidRPr="008A4741" w:rsidRDefault="008A4741" w:rsidP="008A4741">
            <w:pPr>
              <w:pStyle w:val="PLANNING"/>
              <w:rPr>
                <w:rFonts w:ascii="Calibri" w:hAnsi="Calibri"/>
                <w:szCs w:val="22"/>
              </w:rPr>
            </w:pPr>
          </w:p>
          <w:p w14:paraId="4C71DD76" w14:textId="77777777" w:rsidR="008A4741" w:rsidRPr="008A4741" w:rsidRDefault="008A4741" w:rsidP="008A4741">
            <w:pPr>
              <w:pStyle w:val="PLANNING"/>
              <w:rPr>
                <w:rFonts w:ascii="Calibri" w:hAnsi="Calibri"/>
                <w:szCs w:val="22"/>
              </w:rPr>
            </w:pPr>
            <w:r w:rsidRPr="008A4741">
              <w:rPr>
                <w:rFonts w:ascii="Calibri" w:hAnsi="Calibri"/>
                <w:szCs w:val="22"/>
              </w:rPr>
              <w:t>National Planning Policy Framework (NPPF)</w:t>
            </w:r>
          </w:p>
          <w:p w14:paraId="1675117E" w14:textId="77777777" w:rsidR="008542DE" w:rsidRDefault="008A4741" w:rsidP="008A4741">
            <w:pPr>
              <w:rPr>
                <w:rFonts w:ascii="Calibri" w:hAnsi="Calibri"/>
                <w:szCs w:val="22"/>
              </w:rPr>
            </w:pPr>
            <w:r w:rsidRPr="008A4741">
              <w:rPr>
                <w:rFonts w:ascii="Calibri" w:hAnsi="Calibri"/>
                <w:szCs w:val="22"/>
              </w:rPr>
              <w:t>Section 66 and 72 of the Planning (Listed Buildings and Conservation Areas) Act 1990</w:t>
            </w:r>
          </w:p>
          <w:p w14:paraId="64362225" w14:textId="7DE99460" w:rsidR="008A4741" w:rsidRDefault="008A4741" w:rsidP="008A4741">
            <w:pPr>
              <w:rPr>
                <w:rFonts w:ascii="Calibri" w:hAnsi="Calibri"/>
                <w:bCs/>
                <w:szCs w:val="22"/>
              </w:rPr>
            </w:pPr>
            <w:r w:rsidRPr="008A4741">
              <w:rPr>
                <w:rFonts w:ascii="Calibri" w:hAnsi="Calibri"/>
                <w:bCs/>
                <w:szCs w:val="22"/>
              </w:rPr>
              <w:t xml:space="preserve">Clitheroe Conservation Area </w:t>
            </w:r>
            <w:r>
              <w:rPr>
                <w:rFonts w:ascii="Calibri" w:hAnsi="Calibri"/>
                <w:bCs/>
                <w:szCs w:val="22"/>
              </w:rPr>
              <w:t xml:space="preserve">Appraisal </w:t>
            </w:r>
          </w:p>
          <w:p w14:paraId="04EE2AAE" w14:textId="3A67827D" w:rsidR="008A4741" w:rsidRPr="008A4741" w:rsidRDefault="008A4741" w:rsidP="008A4741">
            <w:pPr>
              <w:rPr>
                <w:rFonts w:ascii="Calibri" w:hAnsi="Calibri"/>
                <w:bCs/>
                <w:szCs w:val="22"/>
              </w:rPr>
            </w:pPr>
            <w:r>
              <w:rPr>
                <w:rFonts w:ascii="Calibri" w:hAnsi="Calibri"/>
                <w:bCs/>
                <w:szCs w:val="22"/>
              </w:rPr>
              <w:t>Clitheroe Conservation Area Management Guidance</w:t>
            </w:r>
          </w:p>
          <w:p w14:paraId="6C4C318E" w14:textId="242CC2B3" w:rsidR="008A4741" w:rsidRPr="00D2449B" w:rsidRDefault="008A4741" w:rsidP="008A4741">
            <w:pPr>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6037DBF3" w:rsidR="00C0704D" w:rsidRDefault="00C0704D" w:rsidP="00C0704D">
            <w:pPr>
              <w:pStyle w:val="PLANNING"/>
              <w:rPr>
                <w:rFonts w:ascii="Calibri" w:hAnsi="Calibri"/>
                <w:b/>
                <w:bCs/>
                <w:szCs w:val="22"/>
              </w:rPr>
            </w:pPr>
          </w:p>
          <w:p w14:paraId="67C2A467" w14:textId="77777777" w:rsidR="00825686" w:rsidRPr="006E2E2E" w:rsidRDefault="00825686" w:rsidP="00825686">
            <w:pPr>
              <w:pStyle w:val="PLANNING"/>
              <w:rPr>
                <w:rFonts w:ascii="Calibri" w:hAnsi="Calibri"/>
                <w:szCs w:val="22"/>
              </w:rPr>
            </w:pPr>
            <w:r>
              <w:rPr>
                <w:rFonts w:ascii="Calibri" w:hAnsi="Calibri"/>
                <w:szCs w:val="22"/>
              </w:rPr>
              <w:t>There are concurrent advertisement consent applications for two other street hub locations in Clitheroe and one in Whalley, together with associated planning applications for the development including:-</w:t>
            </w:r>
          </w:p>
          <w:p w14:paraId="6679BFDE" w14:textId="77777777" w:rsidR="00825686" w:rsidRDefault="00825686" w:rsidP="00C0704D">
            <w:pPr>
              <w:pStyle w:val="PLANNING"/>
              <w:rPr>
                <w:rFonts w:ascii="Calibri" w:hAnsi="Calibri"/>
                <w:b/>
                <w:bCs/>
                <w:szCs w:val="22"/>
              </w:rPr>
            </w:pPr>
          </w:p>
          <w:p w14:paraId="21B0EA50" w14:textId="53AE6382" w:rsidR="0046548C" w:rsidRPr="00DE1CCD" w:rsidRDefault="00DE1CCD" w:rsidP="00C0704D">
            <w:pPr>
              <w:pStyle w:val="PLANNING"/>
              <w:rPr>
                <w:rFonts w:ascii="Calibri" w:hAnsi="Calibri"/>
                <w:b/>
                <w:bCs/>
                <w:szCs w:val="22"/>
              </w:rPr>
            </w:pPr>
            <w:r w:rsidRPr="00DE1CCD">
              <w:rPr>
                <w:rFonts w:ascii="Calibri" w:hAnsi="Calibri"/>
                <w:b/>
                <w:bCs/>
                <w:szCs w:val="22"/>
              </w:rPr>
              <w:t>3/2022/000</w:t>
            </w:r>
            <w:r>
              <w:rPr>
                <w:rFonts w:ascii="Calibri" w:hAnsi="Calibri"/>
                <w:b/>
                <w:bCs/>
                <w:szCs w:val="22"/>
              </w:rPr>
              <w:t>6</w:t>
            </w:r>
            <w:r w:rsidRPr="00DE1CCD">
              <w:rPr>
                <w:rFonts w:ascii="Calibri" w:hAnsi="Calibri"/>
                <w:b/>
                <w:bCs/>
                <w:szCs w:val="22"/>
              </w:rPr>
              <w:t>:</w:t>
            </w:r>
          </w:p>
          <w:p w14:paraId="76B98467" w14:textId="4D1103DA" w:rsidR="00DE1CCD" w:rsidRPr="006E2E2E" w:rsidRDefault="00DE1CCD" w:rsidP="00C0704D">
            <w:pPr>
              <w:pStyle w:val="PLANNING"/>
              <w:rPr>
                <w:rFonts w:ascii="Calibri" w:hAnsi="Calibri"/>
                <w:szCs w:val="22"/>
              </w:rPr>
            </w:pPr>
            <w:r w:rsidRPr="00DE1CCD">
              <w:rPr>
                <w:rFonts w:ascii="Calibri" w:hAnsi="Calibri"/>
                <w:szCs w:val="22"/>
              </w:rPr>
              <w:t>Proposed installation of a BT Street Hub and associated display of advertisement to both sides of the unit</w:t>
            </w:r>
            <w:r>
              <w:rPr>
                <w:rFonts w:ascii="Calibri" w:hAnsi="Calibri"/>
                <w:szCs w:val="22"/>
              </w:rPr>
              <w:t>.  (Refused)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22E3C5A" w14:textId="7F5F778B" w:rsidR="00736FD3" w:rsidRPr="00F76FEB" w:rsidRDefault="00736FD3" w:rsidP="00B93EB5">
            <w:pPr>
              <w:pStyle w:val="Header"/>
              <w:tabs>
                <w:tab w:val="clear" w:pos="4153"/>
                <w:tab w:val="clear" w:pos="8306"/>
              </w:tabs>
              <w:contextualSpacing/>
              <w:jc w:val="both"/>
              <w:rPr>
                <w:rFonts w:ascii="Calibri" w:hAnsi="Calibri"/>
                <w:bCs/>
                <w:szCs w:val="22"/>
              </w:rPr>
            </w:pPr>
            <w:r w:rsidRPr="00F76FEB">
              <w:rPr>
                <w:rFonts w:ascii="Calibri" w:hAnsi="Calibri"/>
                <w:bCs/>
                <w:szCs w:val="22"/>
              </w:rPr>
              <w:t>The application relates to an area of land within the public realm to the north</w:t>
            </w:r>
            <w:r w:rsidR="00F76FEB" w:rsidRPr="00F76FEB">
              <w:rPr>
                <w:rFonts w:ascii="Calibri" w:hAnsi="Calibri"/>
                <w:bCs/>
                <w:szCs w:val="22"/>
              </w:rPr>
              <w:t xml:space="preserve"> of numbers 7-9 King Street, Clitheroe.  </w:t>
            </w:r>
            <w:r w:rsidRPr="00F76FEB">
              <w:rPr>
                <w:rFonts w:ascii="Calibri" w:hAnsi="Calibri"/>
                <w:bCs/>
                <w:szCs w:val="22"/>
              </w:rPr>
              <w:t>The application site is located within the designated Cli</w:t>
            </w:r>
            <w:r w:rsidR="0092213F" w:rsidRPr="00F76FEB">
              <w:rPr>
                <w:rFonts w:ascii="Calibri" w:hAnsi="Calibri"/>
                <w:bCs/>
                <w:szCs w:val="22"/>
              </w:rPr>
              <w:t xml:space="preserve">theroe Conservation Area </w:t>
            </w:r>
            <w:r w:rsidR="00CD1381" w:rsidRPr="00F76FEB">
              <w:rPr>
                <w:rFonts w:ascii="Calibri" w:hAnsi="Calibri"/>
                <w:bCs/>
                <w:szCs w:val="22"/>
              </w:rPr>
              <w:t xml:space="preserve">also being located within the designated Main Centre Boundary </w:t>
            </w:r>
            <w:r w:rsidR="00F76FEB" w:rsidRPr="00F76FEB">
              <w:rPr>
                <w:rFonts w:ascii="Calibri" w:hAnsi="Calibri"/>
                <w:bCs/>
                <w:szCs w:val="22"/>
              </w:rPr>
              <w:t>of Clitheroe.</w:t>
            </w:r>
          </w:p>
          <w:p w14:paraId="62370E9F" w14:textId="66623F96" w:rsidR="00736FD3" w:rsidRPr="006C2BFA" w:rsidRDefault="00736FD3"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0E297171" w:rsidR="00C0704D" w:rsidRDefault="00C0704D" w:rsidP="00440CB6">
            <w:pPr>
              <w:pStyle w:val="Header"/>
              <w:tabs>
                <w:tab w:val="clear" w:pos="4153"/>
                <w:tab w:val="clear" w:pos="8306"/>
              </w:tabs>
              <w:jc w:val="both"/>
              <w:rPr>
                <w:rFonts w:ascii="Calibri" w:hAnsi="Calibri"/>
                <w:b/>
                <w:szCs w:val="22"/>
              </w:rPr>
            </w:pPr>
          </w:p>
          <w:p w14:paraId="3D70CFF7" w14:textId="77777777" w:rsidR="005B4928" w:rsidRDefault="00DE1CCD" w:rsidP="005B4928">
            <w:pPr>
              <w:jc w:val="both"/>
              <w:rPr>
                <w:rFonts w:ascii="Calibri" w:hAnsi="Calibri"/>
                <w:szCs w:val="22"/>
              </w:rPr>
            </w:pPr>
            <w:r w:rsidRPr="00DE1CCD">
              <w:rPr>
                <w:rFonts w:ascii="Calibri" w:hAnsi="Calibri"/>
                <w:bCs/>
                <w:szCs w:val="22"/>
              </w:rPr>
              <w:t xml:space="preserve">The application seeks advertisement consent to for the installation internally illuminated digital LCD screens to both sides of a freestanding 'Street Hub' (3/2022/0006) </w:t>
            </w:r>
            <w:r w:rsidR="003E287A" w:rsidRPr="00DE1CCD">
              <w:rPr>
                <w:rFonts w:ascii="Calibri" w:hAnsi="Calibri"/>
                <w:bCs/>
                <w:szCs w:val="22"/>
              </w:rPr>
              <w:t xml:space="preserve">within the public realm </w:t>
            </w:r>
            <w:r w:rsidR="00F76FEB" w:rsidRPr="00DE1CCD">
              <w:rPr>
                <w:rFonts w:ascii="Calibri" w:hAnsi="Calibri"/>
                <w:bCs/>
                <w:szCs w:val="22"/>
              </w:rPr>
              <w:t>located directly outside 7-9 King Street</w:t>
            </w:r>
            <w:r w:rsidR="003E287A" w:rsidRPr="00DE1CCD">
              <w:rPr>
                <w:rFonts w:ascii="Calibri" w:hAnsi="Calibri"/>
                <w:bCs/>
                <w:szCs w:val="22"/>
              </w:rPr>
              <w:t>, Clitheroe.</w:t>
            </w:r>
            <w:r w:rsidR="0042528A" w:rsidRPr="00DE1CCD">
              <w:rPr>
                <w:rFonts w:ascii="Calibri" w:hAnsi="Calibri"/>
                <w:bCs/>
                <w:szCs w:val="22"/>
              </w:rPr>
              <w:t xml:space="preserve">  </w:t>
            </w:r>
            <w:r w:rsidR="005B4928">
              <w:rPr>
                <w:rFonts w:ascii="Calibri" w:hAnsi="Calibri"/>
                <w:szCs w:val="22"/>
              </w:rPr>
              <w:t>The submitted details describe the technical nature of the advertising screens as follows:</w:t>
            </w:r>
          </w:p>
          <w:p w14:paraId="2BE7094E" w14:textId="77777777" w:rsidR="005B4928" w:rsidRDefault="005B4928" w:rsidP="005B4928">
            <w:pPr>
              <w:rPr>
                <w:rFonts w:ascii="Calibri" w:hAnsi="Calibri"/>
                <w:szCs w:val="22"/>
              </w:rPr>
            </w:pPr>
          </w:p>
          <w:p w14:paraId="595CAF41" w14:textId="77777777" w:rsidR="005B4928" w:rsidRDefault="005B4928" w:rsidP="005B4928">
            <w:pPr>
              <w:pStyle w:val="ListParagraph"/>
              <w:numPr>
                <w:ilvl w:val="0"/>
                <w:numId w:val="12"/>
              </w:numPr>
              <w:rPr>
                <w:rFonts w:ascii="Calibri" w:hAnsi="Calibri"/>
                <w:szCs w:val="22"/>
              </w:rPr>
            </w:pPr>
            <w:r w:rsidRPr="00525787">
              <w:rPr>
                <w:rFonts w:ascii="Calibri" w:hAnsi="Calibri"/>
                <w:szCs w:val="22"/>
              </w:rPr>
              <w:t xml:space="preserve">Screen Panel Type: LCD </w:t>
            </w:r>
          </w:p>
          <w:p w14:paraId="53BC3A1D" w14:textId="77777777" w:rsidR="005B4928" w:rsidRDefault="005B4928" w:rsidP="005B4928">
            <w:pPr>
              <w:pStyle w:val="ListParagraph"/>
              <w:numPr>
                <w:ilvl w:val="0"/>
                <w:numId w:val="12"/>
              </w:numPr>
              <w:rPr>
                <w:rFonts w:ascii="Calibri" w:hAnsi="Calibri"/>
                <w:szCs w:val="22"/>
              </w:rPr>
            </w:pPr>
            <w:r w:rsidRPr="00525787">
              <w:rPr>
                <w:rFonts w:ascii="Calibri" w:hAnsi="Calibri"/>
                <w:szCs w:val="22"/>
              </w:rPr>
              <w:t>Screen Dimensions: 95cm wide x 167cm high (75 inch in portrait)</w:t>
            </w:r>
          </w:p>
          <w:p w14:paraId="770E3AC8" w14:textId="77777777" w:rsidR="005B4928" w:rsidRDefault="005B4928" w:rsidP="005B4928">
            <w:pPr>
              <w:pStyle w:val="ListParagraph"/>
              <w:numPr>
                <w:ilvl w:val="0"/>
                <w:numId w:val="12"/>
              </w:numPr>
              <w:rPr>
                <w:rFonts w:ascii="Calibri" w:hAnsi="Calibri"/>
                <w:szCs w:val="22"/>
              </w:rPr>
            </w:pPr>
            <w:r w:rsidRPr="00525787">
              <w:rPr>
                <w:rFonts w:ascii="Calibri" w:hAnsi="Calibri"/>
                <w:szCs w:val="22"/>
              </w:rPr>
              <w:t>Screen Area: 1.586m</w:t>
            </w:r>
          </w:p>
          <w:p w14:paraId="77F1F919" w14:textId="77777777" w:rsidR="005B4928" w:rsidRDefault="005B4928" w:rsidP="005B4928">
            <w:pPr>
              <w:pStyle w:val="ListParagraph"/>
              <w:numPr>
                <w:ilvl w:val="0"/>
                <w:numId w:val="12"/>
              </w:numPr>
              <w:rPr>
                <w:rFonts w:ascii="Calibri" w:hAnsi="Calibri"/>
                <w:szCs w:val="22"/>
              </w:rPr>
            </w:pPr>
            <w:r w:rsidRPr="00525787">
              <w:rPr>
                <w:rFonts w:ascii="Calibri" w:hAnsi="Calibri"/>
                <w:szCs w:val="22"/>
              </w:rPr>
              <w:t>Resolution: 3840 x 2160 UHD</w:t>
            </w:r>
          </w:p>
          <w:p w14:paraId="18EE2A66" w14:textId="77777777" w:rsidR="005B4928" w:rsidRDefault="005B4928" w:rsidP="005B4928">
            <w:pPr>
              <w:pStyle w:val="ListParagraph"/>
              <w:numPr>
                <w:ilvl w:val="0"/>
                <w:numId w:val="12"/>
              </w:numPr>
              <w:rPr>
                <w:rFonts w:ascii="Calibri" w:hAnsi="Calibri"/>
                <w:szCs w:val="22"/>
              </w:rPr>
            </w:pPr>
            <w:r w:rsidRPr="00525787">
              <w:rPr>
                <w:rFonts w:ascii="Calibri" w:hAnsi="Calibri"/>
                <w:szCs w:val="22"/>
              </w:rPr>
              <w:t xml:space="preserve">Maximum Daytime Brightness: 2500 cd/m² (Typ.) </w:t>
            </w:r>
          </w:p>
          <w:p w14:paraId="03DD3757" w14:textId="77777777" w:rsidR="005B4928" w:rsidRDefault="005B4928" w:rsidP="005B4928">
            <w:pPr>
              <w:pStyle w:val="ListParagraph"/>
              <w:numPr>
                <w:ilvl w:val="0"/>
                <w:numId w:val="12"/>
              </w:numPr>
              <w:rPr>
                <w:rFonts w:ascii="Calibri" w:hAnsi="Calibri"/>
                <w:szCs w:val="22"/>
              </w:rPr>
            </w:pPr>
            <w:r w:rsidRPr="00525787">
              <w:rPr>
                <w:rFonts w:ascii="Calibri" w:hAnsi="Calibri"/>
                <w:szCs w:val="22"/>
              </w:rPr>
              <w:t xml:space="preserve">Maximum Nighttime Brightness: 600 cd/m2 (Typ.) </w:t>
            </w:r>
          </w:p>
          <w:p w14:paraId="58A0C57E" w14:textId="77777777" w:rsidR="005B4928" w:rsidRDefault="005B4928" w:rsidP="005B4928">
            <w:pPr>
              <w:pStyle w:val="ListParagraph"/>
              <w:numPr>
                <w:ilvl w:val="0"/>
                <w:numId w:val="12"/>
              </w:numPr>
              <w:rPr>
                <w:rFonts w:ascii="Calibri" w:hAnsi="Calibri"/>
                <w:szCs w:val="22"/>
              </w:rPr>
            </w:pPr>
            <w:r w:rsidRPr="00525787">
              <w:rPr>
                <w:rFonts w:ascii="Calibri" w:hAnsi="Calibri"/>
                <w:szCs w:val="22"/>
              </w:rPr>
              <w:t>Contrast Ratio: 1200:1 (Typ.)</w:t>
            </w:r>
          </w:p>
          <w:p w14:paraId="2AC55827" w14:textId="77777777" w:rsidR="005B4928" w:rsidRDefault="005B4928" w:rsidP="005B4928">
            <w:pPr>
              <w:pStyle w:val="ListParagraph"/>
              <w:numPr>
                <w:ilvl w:val="0"/>
                <w:numId w:val="12"/>
              </w:numPr>
              <w:rPr>
                <w:rFonts w:ascii="Calibri" w:hAnsi="Calibri"/>
                <w:szCs w:val="22"/>
              </w:rPr>
            </w:pPr>
            <w:r w:rsidRPr="00525787">
              <w:rPr>
                <w:rFonts w:ascii="Calibri" w:hAnsi="Calibri"/>
                <w:szCs w:val="22"/>
              </w:rPr>
              <w:t>Display Colours: 10bit (D) 1.07 Billion Colours</w:t>
            </w:r>
          </w:p>
          <w:p w14:paraId="6FD3A0CA" w14:textId="77777777" w:rsidR="005B4928" w:rsidRDefault="005B4928" w:rsidP="005B4928">
            <w:pPr>
              <w:pStyle w:val="ListParagraph"/>
              <w:numPr>
                <w:ilvl w:val="0"/>
                <w:numId w:val="12"/>
              </w:numPr>
              <w:rPr>
                <w:rFonts w:ascii="Calibri" w:hAnsi="Calibri"/>
                <w:szCs w:val="22"/>
              </w:rPr>
            </w:pPr>
            <w:r w:rsidRPr="00525787">
              <w:rPr>
                <w:rFonts w:ascii="Calibri" w:hAnsi="Calibri"/>
                <w:szCs w:val="22"/>
              </w:rPr>
              <w:t xml:space="preserve">Viewing Angle: 178/178 degrees </w:t>
            </w:r>
          </w:p>
          <w:p w14:paraId="24CC504F" w14:textId="77777777" w:rsidR="005B4928" w:rsidRDefault="005B4928" w:rsidP="005B4928">
            <w:pPr>
              <w:pStyle w:val="ListParagraph"/>
              <w:numPr>
                <w:ilvl w:val="0"/>
                <w:numId w:val="12"/>
              </w:numPr>
              <w:rPr>
                <w:rFonts w:ascii="Calibri" w:hAnsi="Calibri"/>
                <w:szCs w:val="22"/>
              </w:rPr>
            </w:pPr>
            <w:r w:rsidRPr="00525787">
              <w:rPr>
                <w:rFonts w:ascii="Calibri" w:hAnsi="Calibri"/>
                <w:szCs w:val="22"/>
              </w:rPr>
              <w:t xml:space="preserve">Lamp Type: LED </w:t>
            </w:r>
          </w:p>
          <w:p w14:paraId="4D31A1F8" w14:textId="77777777" w:rsidR="005B4928" w:rsidRDefault="005B4928" w:rsidP="005B4928">
            <w:pPr>
              <w:pStyle w:val="ListParagraph"/>
              <w:numPr>
                <w:ilvl w:val="0"/>
                <w:numId w:val="12"/>
              </w:numPr>
              <w:rPr>
                <w:rFonts w:ascii="Calibri" w:hAnsi="Calibri"/>
                <w:szCs w:val="22"/>
              </w:rPr>
            </w:pPr>
            <w:r w:rsidRPr="00525787">
              <w:rPr>
                <w:rFonts w:ascii="Calibri" w:hAnsi="Calibri"/>
                <w:szCs w:val="22"/>
              </w:rPr>
              <w:t xml:space="preserve">Operating Temperature: 0 ~ 50 °C </w:t>
            </w:r>
          </w:p>
          <w:p w14:paraId="041F7493" w14:textId="77777777" w:rsidR="005B4928" w:rsidRPr="00525787" w:rsidRDefault="005B4928" w:rsidP="005B4928">
            <w:pPr>
              <w:pStyle w:val="ListParagraph"/>
              <w:numPr>
                <w:ilvl w:val="0"/>
                <w:numId w:val="12"/>
              </w:numPr>
              <w:rPr>
                <w:rFonts w:ascii="Calibri" w:hAnsi="Calibri"/>
                <w:szCs w:val="22"/>
              </w:rPr>
            </w:pPr>
            <w:r w:rsidRPr="00525787">
              <w:rPr>
                <w:rFonts w:ascii="Calibri" w:hAnsi="Calibri"/>
                <w:szCs w:val="22"/>
              </w:rPr>
              <w:t>Sunlight Readable: Yes</w:t>
            </w:r>
          </w:p>
          <w:p w14:paraId="45C7D7D6" w14:textId="77777777" w:rsidR="005B4928" w:rsidRDefault="005B4928" w:rsidP="005B4928">
            <w:pPr>
              <w:rPr>
                <w:rFonts w:asciiTheme="minorHAnsi" w:hAnsiTheme="minorHAnsi"/>
                <w:i/>
                <w:iCs/>
                <w:szCs w:val="22"/>
              </w:rPr>
            </w:pPr>
          </w:p>
          <w:p w14:paraId="1EAFFB92" w14:textId="77777777" w:rsidR="005B4928" w:rsidRDefault="005B4928" w:rsidP="005B4928">
            <w:pPr>
              <w:rPr>
                <w:rFonts w:asciiTheme="minorHAnsi" w:hAnsiTheme="minorHAnsi" w:cstheme="minorHAnsi"/>
                <w:szCs w:val="22"/>
              </w:rPr>
            </w:pPr>
            <w:r>
              <w:rPr>
                <w:rFonts w:asciiTheme="minorHAnsi" w:hAnsiTheme="minorHAnsi" w:cstheme="minorHAnsi"/>
                <w:szCs w:val="22"/>
              </w:rPr>
              <w:t>The submitted details further state that the advertising screens will be for the following purposes:</w:t>
            </w:r>
          </w:p>
          <w:p w14:paraId="6052C6CF" w14:textId="77777777" w:rsidR="005B4928" w:rsidRDefault="005B4928" w:rsidP="005B4928">
            <w:pPr>
              <w:rPr>
                <w:rFonts w:asciiTheme="minorHAnsi" w:hAnsiTheme="minorHAnsi" w:cstheme="minorHAnsi"/>
                <w:szCs w:val="22"/>
              </w:rPr>
            </w:pPr>
          </w:p>
          <w:p w14:paraId="62A1EAEF" w14:textId="77777777" w:rsidR="005B4928" w:rsidRPr="00525787" w:rsidRDefault="005B4928" w:rsidP="005B4928">
            <w:pPr>
              <w:jc w:val="both"/>
              <w:rPr>
                <w:rFonts w:asciiTheme="minorHAnsi" w:hAnsiTheme="minorHAnsi" w:cstheme="minorHAnsi"/>
                <w:i/>
                <w:iCs/>
                <w:szCs w:val="22"/>
              </w:rPr>
            </w:pPr>
            <w:r>
              <w:rPr>
                <w:rFonts w:asciiTheme="minorHAnsi" w:hAnsiTheme="minorHAnsi" w:cstheme="minorHAnsi"/>
                <w:i/>
                <w:iCs/>
                <w:szCs w:val="22"/>
              </w:rPr>
              <w:t>‘</w:t>
            </w:r>
            <w:r w:rsidRPr="00525787">
              <w:rPr>
                <w:rFonts w:asciiTheme="minorHAnsi" w:hAnsiTheme="minorHAnsi" w:cstheme="minorHAnsi"/>
                <w:i/>
                <w:iCs/>
                <w:szCs w:val="22"/>
              </w:rPr>
              <w:t xml:space="preserve">To ensure maximum amenity benefit for the local area, the services provided by the Street Hub will be available free for everyone (not just BT customers) as they are funded through the inclusion of static </w:t>
            </w:r>
            <w:r w:rsidRPr="00525787">
              <w:rPr>
                <w:rFonts w:asciiTheme="minorHAnsi" w:hAnsiTheme="minorHAnsi" w:cstheme="minorHAnsi"/>
                <w:i/>
                <w:iCs/>
                <w:szCs w:val="22"/>
              </w:rPr>
              <w:lastRenderedPageBreak/>
              <w:t>commercial advertising alongside Council and community content on the two digital display screens in the same manner as television stations like ITV and Channel 5.</w:t>
            </w:r>
          </w:p>
          <w:p w14:paraId="78BEB6B3" w14:textId="77777777" w:rsidR="005B4928" w:rsidRPr="00525787" w:rsidRDefault="005B4928" w:rsidP="005B4928">
            <w:pPr>
              <w:jc w:val="both"/>
              <w:rPr>
                <w:rFonts w:asciiTheme="minorHAnsi" w:hAnsiTheme="minorHAnsi" w:cstheme="minorHAnsi"/>
                <w:szCs w:val="22"/>
              </w:rPr>
            </w:pPr>
          </w:p>
          <w:p w14:paraId="4773F61A" w14:textId="77777777" w:rsidR="005B4928" w:rsidRPr="00525787" w:rsidRDefault="005B4928" w:rsidP="005B4928">
            <w:pPr>
              <w:jc w:val="both"/>
              <w:rPr>
                <w:rFonts w:asciiTheme="minorHAnsi" w:hAnsiTheme="minorHAnsi" w:cstheme="minorHAnsi"/>
                <w:i/>
                <w:iCs/>
                <w:szCs w:val="22"/>
              </w:rPr>
            </w:pPr>
            <w:r w:rsidRPr="00525787">
              <w:rPr>
                <w:rFonts w:asciiTheme="minorHAnsi" w:hAnsiTheme="minorHAnsi" w:cstheme="minorHAnsi"/>
                <w:i/>
                <w:iCs/>
                <w:szCs w:val="22"/>
              </w:rPr>
              <w:t>To ensure effective integration with the streetscape the two Street Hub digital display screens are smaller than most other types of outdoor digital signage and automatically dim at night to 600cd/m2 in accordance with the levels set for this type and size of screen (those under 10m2) by the Institute of Lighting Professionals, Professional Lighting Guide 05: The Brightness of Illuminated Advertisements. This dimming is based on a predetermined schedule of daylight hours which takes into account seasonal changes, ensuring the Street Hubs remain in harmony with the streetscape throughout the day and minimise disturbance to local residents during the evening hours. Full details of these specifications are provided in Chapter 1.3.</w:t>
            </w:r>
          </w:p>
          <w:p w14:paraId="46B50DB3" w14:textId="77777777" w:rsidR="005B4928" w:rsidRPr="00525787" w:rsidRDefault="005B4928" w:rsidP="005B4928">
            <w:pPr>
              <w:jc w:val="both"/>
              <w:rPr>
                <w:rFonts w:asciiTheme="minorHAnsi" w:hAnsiTheme="minorHAnsi" w:cstheme="minorHAnsi"/>
                <w:szCs w:val="22"/>
              </w:rPr>
            </w:pPr>
          </w:p>
          <w:p w14:paraId="2ADB6618" w14:textId="77777777" w:rsidR="005B4928" w:rsidRPr="00072961" w:rsidRDefault="005B4928" w:rsidP="005B4928">
            <w:pPr>
              <w:jc w:val="both"/>
              <w:rPr>
                <w:rFonts w:asciiTheme="minorHAnsi" w:hAnsiTheme="minorHAnsi" w:cstheme="minorHAnsi"/>
                <w:i/>
                <w:iCs/>
                <w:szCs w:val="22"/>
              </w:rPr>
            </w:pPr>
            <w:r w:rsidRPr="00072961">
              <w:rPr>
                <w:rFonts w:asciiTheme="minorHAnsi" w:hAnsiTheme="minorHAnsi" w:cstheme="minorHAnsi"/>
                <w:i/>
                <w:iCs/>
                <w:szCs w:val="22"/>
              </w:rPr>
              <w:t>At no cost to taxpayers or users, the proposed advertising on the sides of the Street Hub unit will improve the public realm by providing everyone in the community with an unprecedented suite of essential urban tools, including free council and community advertising, maps and wayfinding, public messaging capabilities, and a platform for future technologies like air quality monitoring. For example, 438 hours of council content will be provided for free on each display screen of each Street Hub per year for the Council to promote local initiatives, news, and events. This equates to 5% of every hour of screen time. Additionally, over 1,000 hours per year of hyper-local content will allow each Street Hub to act as a community notice board with the Street Hub team able to work with local groups to promote nearby events and activities.</w:t>
            </w:r>
          </w:p>
          <w:p w14:paraId="3DE866EF" w14:textId="77777777" w:rsidR="005B4928" w:rsidRPr="00525787" w:rsidRDefault="005B4928" w:rsidP="005B4928">
            <w:pPr>
              <w:rPr>
                <w:rFonts w:asciiTheme="minorHAnsi" w:hAnsiTheme="minorHAnsi" w:cstheme="minorHAnsi"/>
                <w:szCs w:val="22"/>
              </w:rPr>
            </w:pPr>
          </w:p>
          <w:p w14:paraId="17C1ABDA" w14:textId="77777777" w:rsidR="005B4928" w:rsidRPr="00072961" w:rsidRDefault="005B4928" w:rsidP="005B4928">
            <w:pPr>
              <w:jc w:val="both"/>
              <w:rPr>
                <w:rFonts w:asciiTheme="minorHAnsi" w:hAnsiTheme="minorHAnsi" w:cstheme="minorHAnsi"/>
                <w:i/>
                <w:iCs/>
                <w:szCs w:val="22"/>
              </w:rPr>
            </w:pPr>
            <w:r w:rsidRPr="00072961">
              <w:rPr>
                <w:rFonts w:asciiTheme="minorHAnsi" w:hAnsiTheme="minorHAnsi" w:cstheme="minorHAnsi"/>
                <w:i/>
                <w:iCs/>
                <w:szCs w:val="22"/>
              </w:rPr>
              <w:t>To help maximise public safety, the Street Hub display screens will be able to assist in the reporting of crime and disorder by allowing the police to use the screens to display emergency and community messaging. Furthermore, there are opportunities to integrate additional environmental sensors in collaboration with on screen reporting - including on air quality (under trial), noise, and other environmental factors. These integrations would allow for further health and safety information to be displayed to the local community via the two display screens.</w:t>
            </w:r>
          </w:p>
          <w:p w14:paraId="7BEA998B" w14:textId="77777777" w:rsidR="005B4928" w:rsidRPr="00525787" w:rsidRDefault="005B4928" w:rsidP="005B4928">
            <w:pPr>
              <w:rPr>
                <w:rFonts w:asciiTheme="minorHAnsi" w:hAnsiTheme="minorHAnsi" w:cstheme="minorHAnsi"/>
                <w:szCs w:val="22"/>
              </w:rPr>
            </w:pPr>
          </w:p>
          <w:p w14:paraId="7211510B" w14:textId="77777777" w:rsidR="005B4928" w:rsidRPr="00072961" w:rsidRDefault="005B4928" w:rsidP="005B4928">
            <w:pPr>
              <w:rPr>
                <w:rFonts w:asciiTheme="minorHAnsi" w:hAnsiTheme="minorHAnsi" w:cstheme="minorHAnsi"/>
                <w:i/>
                <w:iCs/>
                <w:szCs w:val="22"/>
              </w:rPr>
            </w:pPr>
            <w:r w:rsidRPr="00072961">
              <w:rPr>
                <w:rFonts w:asciiTheme="minorHAnsi" w:hAnsiTheme="minorHAnsi" w:cstheme="minorHAnsi"/>
                <w:i/>
                <w:iCs/>
                <w:szCs w:val="22"/>
              </w:rPr>
              <w:t>Therefore, the proposal for Express Advertisement Consent remains consistent with the relevant development plan policies against which the proposal should be assessed against, forming part of a package of applications submitted to Ribble Valley Borough Council.</w:t>
            </w:r>
          </w:p>
          <w:p w14:paraId="1B20488F" w14:textId="42CADC5F" w:rsidR="00DE1CCD" w:rsidRPr="00DE1CCD" w:rsidRDefault="00DE1CCD" w:rsidP="00DE1CCD">
            <w:pPr>
              <w:rPr>
                <w:rFonts w:ascii="Calibri" w:hAnsi="Calibri"/>
                <w:szCs w:val="22"/>
              </w:rPr>
            </w:pPr>
          </w:p>
        </w:tc>
      </w:tr>
      <w:tr w:rsidR="008542DE" w:rsidRPr="00D2449B" w14:paraId="2540EE5C"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992CA8" w14:textId="77777777" w:rsidR="00DC1433" w:rsidRDefault="00DC1433" w:rsidP="00DC1433">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Character/appearance of Conservations Area:</w:t>
            </w:r>
          </w:p>
          <w:p w14:paraId="6A2BDA66" w14:textId="77777777" w:rsidR="008542DE" w:rsidRDefault="008542DE" w:rsidP="0046548C">
            <w:pPr>
              <w:contextualSpacing/>
              <w:rPr>
                <w:rFonts w:ascii="Calibri" w:hAnsi="Calibri"/>
                <w:b/>
              </w:rPr>
            </w:pPr>
          </w:p>
          <w:p w14:paraId="1E3AB2E5" w14:textId="5EBA47CA" w:rsidR="0046548C" w:rsidRPr="00DC1433" w:rsidRDefault="00DC1433" w:rsidP="0046548C">
            <w:pPr>
              <w:contextualSpacing/>
              <w:rPr>
                <w:rFonts w:ascii="Calibri" w:hAnsi="Calibri"/>
                <w:bCs/>
              </w:rPr>
            </w:pPr>
            <w:r w:rsidRPr="00DC1433">
              <w:rPr>
                <w:rFonts w:ascii="Calibri" w:hAnsi="Calibri"/>
                <w:bCs/>
              </w:rPr>
              <w:t>The application site is located within the defined Clitheroe Conservation Area, as such Key Statement EN5 and Policy DME4 are primarily, but not solely, engaged for the purposes of assessing the proposal.  In this respect Key Statement EN5 states that:</w:t>
            </w:r>
          </w:p>
          <w:p w14:paraId="2B60FA68" w14:textId="42734272" w:rsidR="00DC1433" w:rsidRDefault="00DC1433" w:rsidP="0046548C">
            <w:pPr>
              <w:contextualSpacing/>
              <w:rPr>
                <w:rFonts w:ascii="Calibri" w:hAnsi="Calibri"/>
                <w:b/>
              </w:rPr>
            </w:pPr>
          </w:p>
          <w:p w14:paraId="1595569C" w14:textId="31E332C6" w:rsidR="00DC1433" w:rsidRPr="00DC1433" w:rsidRDefault="00DC1433" w:rsidP="00DC1433">
            <w:pPr>
              <w:jc w:val="both"/>
              <w:rPr>
                <w:rFonts w:asciiTheme="minorHAnsi" w:hAnsiTheme="minorHAnsi" w:cstheme="minorHAnsi"/>
                <w:i/>
                <w:iCs/>
                <w:szCs w:val="22"/>
              </w:rPr>
            </w:pPr>
            <w:r w:rsidRPr="00DC1433">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1D285226" w14:textId="77777777" w:rsidR="00DC1433" w:rsidRPr="00DC1433" w:rsidRDefault="00DC1433" w:rsidP="00DC1433">
            <w:pPr>
              <w:jc w:val="both"/>
              <w:rPr>
                <w:rFonts w:asciiTheme="minorHAnsi" w:hAnsiTheme="minorHAnsi" w:cstheme="minorHAnsi"/>
                <w:i/>
                <w:iCs/>
                <w:szCs w:val="22"/>
              </w:rPr>
            </w:pPr>
          </w:p>
          <w:p w14:paraId="2EE44D7A" w14:textId="77777777" w:rsidR="00DC1433" w:rsidRPr="00DC1433" w:rsidRDefault="00DC1433" w:rsidP="00DC1433">
            <w:pPr>
              <w:jc w:val="both"/>
              <w:rPr>
                <w:rFonts w:asciiTheme="minorHAnsi" w:hAnsiTheme="minorHAnsi" w:cstheme="minorHAnsi"/>
                <w:i/>
                <w:iCs/>
                <w:szCs w:val="22"/>
              </w:rPr>
            </w:pPr>
            <w:r w:rsidRPr="00DC1433">
              <w:rPr>
                <w:rFonts w:asciiTheme="minorHAnsi" w:hAnsiTheme="minorHAnsi" w:cstheme="minorHAnsi"/>
                <w:i/>
                <w:iCs/>
                <w:szCs w:val="22"/>
              </w:rPr>
              <w:t>This will be achieved through:</w:t>
            </w:r>
          </w:p>
          <w:p w14:paraId="077D1AB7" w14:textId="77777777" w:rsidR="00DC1433" w:rsidRPr="00DC1433" w:rsidRDefault="00DC1433" w:rsidP="00DC1433">
            <w:pPr>
              <w:jc w:val="both"/>
              <w:rPr>
                <w:rFonts w:asciiTheme="minorHAnsi" w:hAnsiTheme="minorHAnsi" w:cstheme="minorHAnsi"/>
                <w:b/>
                <w:bCs/>
                <w:i/>
                <w:iCs/>
                <w:szCs w:val="22"/>
              </w:rPr>
            </w:pPr>
          </w:p>
          <w:p w14:paraId="65768657" w14:textId="77777777" w:rsidR="00DC1433" w:rsidRPr="00DC1433" w:rsidRDefault="00DC1433" w:rsidP="00DC1433">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0F0CA9B9" w14:textId="77777777" w:rsidR="00DC1433" w:rsidRPr="00DC1433" w:rsidRDefault="00DC1433" w:rsidP="00DC1433">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73D7EA2E" w14:textId="77777777" w:rsidR="00DC1433" w:rsidRPr="00DC1433" w:rsidRDefault="00DC1433" w:rsidP="00DC1433">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3D3FEDF5" w14:textId="77777777" w:rsidR="00DC1433" w:rsidRPr="00DC1433" w:rsidRDefault="00DC1433" w:rsidP="00DC1433">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lastRenderedPageBreak/>
              <w:t>Requiring all development proposals to make a positive contribution to local distinctiveness/sense of place.</w:t>
            </w:r>
          </w:p>
          <w:p w14:paraId="5898A499" w14:textId="77777777" w:rsidR="00DC1433" w:rsidRPr="00DC1433" w:rsidRDefault="00DC1433" w:rsidP="00DC1433">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The consideration of Article 4 Directions to restrict permitted development rights where the exercise of such rights would harm the historic environment.</w:t>
            </w:r>
          </w:p>
          <w:p w14:paraId="5AC8E102" w14:textId="4D2387ED" w:rsidR="00DC1433" w:rsidRDefault="00DC1433" w:rsidP="0046548C">
            <w:pPr>
              <w:contextualSpacing/>
              <w:rPr>
                <w:rFonts w:ascii="Calibri" w:hAnsi="Calibri"/>
                <w:b/>
              </w:rPr>
            </w:pPr>
          </w:p>
          <w:p w14:paraId="67226530" w14:textId="7845EC68" w:rsidR="00DC1433" w:rsidRPr="00DC1433" w:rsidRDefault="00DC1433" w:rsidP="0046548C">
            <w:pPr>
              <w:contextualSpacing/>
              <w:rPr>
                <w:rFonts w:ascii="Calibri" w:hAnsi="Calibri"/>
                <w:bCs/>
              </w:rPr>
            </w:pPr>
            <w:r w:rsidRPr="00DC1433">
              <w:rPr>
                <w:rFonts w:ascii="Calibri" w:hAnsi="Calibri"/>
                <w:bCs/>
              </w:rPr>
              <w:t>With Policy DME4 stating, in respect of development within conservation areas or those affecting the listed buildings or their setting, that development will be assessed on the following basis:</w:t>
            </w:r>
          </w:p>
          <w:p w14:paraId="2D8B4C24" w14:textId="53F4CC61" w:rsidR="00DC1433" w:rsidRDefault="00DC1433" w:rsidP="0046548C">
            <w:pPr>
              <w:contextualSpacing/>
              <w:rPr>
                <w:rFonts w:ascii="Calibri" w:hAnsi="Calibri"/>
                <w:b/>
              </w:rPr>
            </w:pPr>
          </w:p>
          <w:p w14:paraId="12AF2086" w14:textId="77777777" w:rsidR="00DC1433" w:rsidRPr="00DC1433" w:rsidRDefault="00DC1433" w:rsidP="00DC1433">
            <w:pPr>
              <w:jc w:val="both"/>
              <w:rPr>
                <w:rFonts w:asciiTheme="minorHAnsi" w:hAnsiTheme="minorHAnsi" w:cstheme="minorHAnsi"/>
                <w:b/>
                <w:bCs/>
                <w:i/>
                <w:iCs/>
                <w:szCs w:val="22"/>
              </w:rPr>
            </w:pPr>
            <w:r w:rsidRPr="00DC1433">
              <w:rPr>
                <w:rFonts w:asciiTheme="minorHAnsi" w:hAnsiTheme="minorHAnsi" w:cstheme="minorHAnsi"/>
                <w:b/>
                <w:bCs/>
                <w:i/>
                <w:iCs/>
                <w:szCs w:val="22"/>
              </w:rPr>
              <w:t>1: CONSERVATION AREAS</w:t>
            </w:r>
          </w:p>
          <w:p w14:paraId="637F653B" w14:textId="77777777" w:rsidR="00DC1433" w:rsidRPr="00DC1433" w:rsidRDefault="00DC1433" w:rsidP="00DC1433">
            <w:pPr>
              <w:jc w:val="both"/>
              <w:rPr>
                <w:rFonts w:asciiTheme="minorHAnsi" w:hAnsiTheme="minorHAnsi" w:cstheme="minorHAnsi"/>
                <w:b/>
                <w:bCs/>
                <w:i/>
                <w:iCs/>
                <w:szCs w:val="22"/>
                <w:u w:val="single"/>
              </w:rPr>
            </w:pPr>
          </w:p>
          <w:p w14:paraId="295B7D40" w14:textId="77777777" w:rsidR="00DC1433" w:rsidRPr="00DC1433" w:rsidRDefault="00DC1433" w:rsidP="00DC1433">
            <w:pPr>
              <w:jc w:val="both"/>
              <w:rPr>
                <w:rFonts w:asciiTheme="minorHAnsi" w:hAnsiTheme="minorHAnsi" w:cstheme="minorHAnsi"/>
                <w:i/>
                <w:iCs/>
                <w:szCs w:val="22"/>
              </w:rPr>
            </w:pPr>
            <w:r w:rsidRPr="00DC1433">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35E0BA8C" w14:textId="77777777" w:rsidR="00DC1433" w:rsidRPr="00DC1433" w:rsidRDefault="00DC1433" w:rsidP="00DC1433">
            <w:pPr>
              <w:jc w:val="both"/>
              <w:rPr>
                <w:rFonts w:asciiTheme="minorHAnsi" w:hAnsiTheme="minorHAnsi" w:cstheme="minorHAnsi"/>
                <w:i/>
                <w:iCs/>
                <w:szCs w:val="22"/>
              </w:rPr>
            </w:pPr>
          </w:p>
          <w:p w14:paraId="09614C7A" w14:textId="77777777" w:rsidR="00DC1433" w:rsidRPr="00DC1433" w:rsidRDefault="00DC1433" w:rsidP="00DC1433">
            <w:pPr>
              <w:jc w:val="both"/>
              <w:rPr>
                <w:rFonts w:asciiTheme="minorHAnsi" w:hAnsiTheme="minorHAnsi" w:cstheme="minorHAnsi"/>
                <w:i/>
                <w:iCs/>
                <w:szCs w:val="22"/>
              </w:rPr>
            </w:pPr>
            <w:r w:rsidRPr="00DC1433">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71519421" w14:textId="2B9E17A4" w:rsidR="00DC1433" w:rsidRDefault="00DC1433" w:rsidP="0046548C">
            <w:pPr>
              <w:contextualSpacing/>
              <w:rPr>
                <w:rFonts w:ascii="Calibri" w:hAnsi="Calibri"/>
                <w:b/>
              </w:rPr>
            </w:pPr>
          </w:p>
          <w:p w14:paraId="5E899693" w14:textId="33258025" w:rsidR="00291932" w:rsidRPr="007327B7" w:rsidRDefault="00291932" w:rsidP="0046548C">
            <w:pPr>
              <w:contextualSpacing/>
              <w:rPr>
                <w:rFonts w:ascii="Calibri" w:hAnsi="Calibri"/>
                <w:bCs/>
              </w:rPr>
            </w:pPr>
            <w:r w:rsidRPr="007327B7">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w:t>
            </w:r>
            <w:r w:rsidR="007327B7">
              <w:rPr>
                <w:rFonts w:ascii="Calibri" w:hAnsi="Calibri"/>
                <w:bCs/>
              </w:rPr>
              <w:t>e</w:t>
            </w:r>
            <w:r w:rsidRPr="007327B7">
              <w:rPr>
                <w:rFonts w:ascii="Calibri" w:hAnsi="Calibri"/>
                <w:bCs/>
              </w:rPr>
              <w:t>:</w:t>
            </w:r>
          </w:p>
          <w:p w14:paraId="5BF25EEF" w14:textId="77777777" w:rsidR="00291932" w:rsidRDefault="00291932" w:rsidP="0046548C">
            <w:pPr>
              <w:contextualSpacing/>
              <w:rPr>
                <w:rFonts w:ascii="Calibri" w:hAnsi="Calibri"/>
                <w:b/>
              </w:rPr>
            </w:pPr>
          </w:p>
          <w:p w14:paraId="78493BB4" w14:textId="74945495" w:rsidR="00291932" w:rsidRPr="00291932" w:rsidRDefault="00291932" w:rsidP="00291932">
            <w:pPr>
              <w:jc w:val="both"/>
              <w:rPr>
                <w:rFonts w:asciiTheme="minorHAnsi" w:hAnsiTheme="minorHAnsi" w:cstheme="minorHAnsi"/>
                <w:i/>
                <w:iCs/>
                <w:szCs w:val="22"/>
              </w:rPr>
            </w:pPr>
            <w:r w:rsidRPr="00291932">
              <w:rPr>
                <w:rFonts w:asciiTheme="minorHAnsi" w:hAnsiTheme="minorHAnsi" w:cstheme="minorHAnsi"/>
                <w:i/>
                <w:iCs/>
                <w:szCs w:val="22"/>
              </w:rPr>
              <w:t>In determining planning applications, all development must:</w:t>
            </w:r>
          </w:p>
          <w:p w14:paraId="2C8463F3" w14:textId="77777777" w:rsidR="00291932" w:rsidRPr="00291932" w:rsidRDefault="00291932" w:rsidP="00291932">
            <w:pPr>
              <w:jc w:val="both"/>
              <w:rPr>
                <w:rFonts w:asciiTheme="minorHAnsi" w:hAnsiTheme="minorHAnsi" w:cstheme="minorHAnsi"/>
                <w:i/>
                <w:iCs/>
                <w:szCs w:val="22"/>
              </w:rPr>
            </w:pPr>
          </w:p>
          <w:p w14:paraId="6DFB28FB" w14:textId="77777777" w:rsidR="00291932" w:rsidRPr="00291932" w:rsidRDefault="00291932" w:rsidP="00291932">
            <w:pPr>
              <w:jc w:val="both"/>
              <w:rPr>
                <w:rFonts w:asciiTheme="minorHAnsi" w:hAnsiTheme="minorHAnsi" w:cstheme="minorHAnsi"/>
                <w:i/>
                <w:iCs/>
                <w:szCs w:val="22"/>
              </w:rPr>
            </w:pPr>
            <w:r w:rsidRPr="00291932">
              <w:rPr>
                <w:rFonts w:asciiTheme="minorHAnsi" w:hAnsiTheme="minorHAnsi" w:cstheme="minorHAnsi"/>
                <w:i/>
                <w:iCs/>
                <w:szCs w:val="22"/>
              </w:rPr>
              <w:t>DESIGN</w:t>
            </w:r>
          </w:p>
          <w:p w14:paraId="57601EDE" w14:textId="77777777" w:rsidR="00291932" w:rsidRPr="00291932" w:rsidRDefault="00291932" w:rsidP="00291932">
            <w:pPr>
              <w:jc w:val="both"/>
              <w:rPr>
                <w:rFonts w:asciiTheme="minorHAnsi" w:hAnsiTheme="minorHAnsi" w:cstheme="minorHAnsi"/>
                <w:i/>
                <w:iCs/>
                <w:szCs w:val="22"/>
              </w:rPr>
            </w:pPr>
          </w:p>
          <w:p w14:paraId="1D8D03E4" w14:textId="77777777" w:rsidR="00291932" w:rsidRPr="00291932" w:rsidRDefault="00291932" w:rsidP="00291932">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Be of a high standard of building design which considers the 8 building in context principles (from the CABE/English Heritage building on context toolkit.</w:t>
            </w:r>
          </w:p>
          <w:p w14:paraId="45DB021E" w14:textId="77777777" w:rsidR="00291932" w:rsidRPr="00291932" w:rsidRDefault="00291932" w:rsidP="00291932">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6AFDBBFA" w14:textId="6368CDE6" w:rsidR="00291932" w:rsidRDefault="00291932" w:rsidP="0046548C">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46AFDF4C" w14:textId="77777777" w:rsidR="007327B7" w:rsidRPr="007327B7" w:rsidRDefault="007327B7" w:rsidP="007327B7">
            <w:pPr>
              <w:pStyle w:val="ListParagraph"/>
              <w:overflowPunct/>
              <w:autoSpaceDE/>
              <w:autoSpaceDN/>
              <w:adjustRightInd/>
              <w:jc w:val="both"/>
              <w:textAlignment w:val="auto"/>
              <w:rPr>
                <w:rFonts w:asciiTheme="minorHAnsi" w:hAnsiTheme="minorHAnsi" w:cstheme="minorHAnsi"/>
                <w:i/>
                <w:iCs/>
                <w:szCs w:val="22"/>
              </w:rPr>
            </w:pPr>
          </w:p>
          <w:p w14:paraId="5304AAF1" w14:textId="77777777" w:rsidR="00291932" w:rsidRPr="00291932" w:rsidRDefault="00291932" w:rsidP="00291932">
            <w:pPr>
              <w:jc w:val="both"/>
              <w:rPr>
                <w:rFonts w:asciiTheme="minorHAnsi" w:hAnsiTheme="minorHAnsi" w:cstheme="minorHAnsi"/>
                <w:i/>
                <w:iCs/>
                <w:szCs w:val="22"/>
              </w:rPr>
            </w:pPr>
            <w:r w:rsidRPr="00291932">
              <w:rPr>
                <w:rFonts w:asciiTheme="minorHAnsi" w:hAnsiTheme="minorHAnsi" w:cstheme="minorHAnsi"/>
                <w:i/>
                <w:iCs/>
                <w:szCs w:val="22"/>
              </w:rPr>
              <w:t>AMENITY</w:t>
            </w:r>
          </w:p>
          <w:p w14:paraId="751ECEE4" w14:textId="77777777" w:rsidR="00291932" w:rsidRPr="00291932" w:rsidRDefault="00291932" w:rsidP="00291932">
            <w:pPr>
              <w:jc w:val="both"/>
              <w:rPr>
                <w:rFonts w:asciiTheme="minorHAnsi" w:hAnsiTheme="minorHAnsi" w:cstheme="minorHAnsi"/>
                <w:i/>
                <w:iCs/>
                <w:szCs w:val="22"/>
              </w:rPr>
            </w:pPr>
          </w:p>
          <w:p w14:paraId="39F3FDE2" w14:textId="77777777" w:rsidR="00291932" w:rsidRPr="00291932" w:rsidRDefault="00291932" w:rsidP="00291932">
            <w:pPr>
              <w:pStyle w:val="ListParagraph"/>
              <w:numPr>
                <w:ilvl w:val="0"/>
                <w:numId w:val="7"/>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Not adversely affect the amenities of the surrounding area.</w:t>
            </w:r>
          </w:p>
          <w:p w14:paraId="796E584B" w14:textId="0B51D214" w:rsidR="00291932" w:rsidRDefault="00291932" w:rsidP="0046548C">
            <w:pPr>
              <w:contextualSpacing/>
              <w:rPr>
                <w:rFonts w:ascii="Calibri" w:hAnsi="Calibri"/>
                <w:b/>
              </w:rPr>
            </w:pPr>
          </w:p>
          <w:p w14:paraId="76A6DD1D" w14:textId="77777777" w:rsidR="00291932" w:rsidRPr="00291932" w:rsidRDefault="00291932" w:rsidP="00291932">
            <w:pPr>
              <w:jc w:val="both"/>
              <w:rPr>
                <w:rFonts w:asciiTheme="minorHAnsi" w:hAnsiTheme="minorHAnsi" w:cstheme="minorHAnsi"/>
                <w:i/>
                <w:iCs/>
                <w:szCs w:val="22"/>
              </w:rPr>
            </w:pPr>
            <w:r w:rsidRPr="00291932">
              <w:rPr>
                <w:rFonts w:asciiTheme="minorHAnsi" w:hAnsiTheme="minorHAnsi" w:cstheme="minorHAnsi"/>
                <w:i/>
                <w:iCs/>
                <w:szCs w:val="22"/>
              </w:rPr>
              <w:t>ENVIRONMENT</w:t>
            </w:r>
          </w:p>
          <w:p w14:paraId="7A7D960C" w14:textId="77777777" w:rsidR="00291932" w:rsidRPr="00291932" w:rsidRDefault="00291932" w:rsidP="00291932">
            <w:pPr>
              <w:jc w:val="both"/>
              <w:rPr>
                <w:rFonts w:asciiTheme="minorHAnsi" w:hAnsiTheme="minorHAnsi" w:cstheme="minorHAnsi"/>
                <w:i/>
                <w:iCs/>
                <w:szCs w:val="22"/>
              </w:rPr>
            </w:pPr>
          </w:p>
          <w:p w14:paraId="778C766B" w14:textId="77777777" w:rsidR="00291932" w:rsidRPr="00291932" w:rsidRDefault="00291932" w:rsidP="00291932">
            <w:pPr>
              <w:pStyle w:val="ListParagraph"/>
              <w:numPr>
                <w:ilvl w:val="0"/>
                <w:numId w:val="9"/>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All development must protect and enhance heritage assets and their settings.</w:t>
            </w:r>
          </w:p>
          <w:p w14:paraId="5CF4EEF4" w14:textId="77777777" w:rsidR="00291932" w:rsidRDefault="00291932" w:rsidP="0046548C">
            <w:pPr>
              <w:contextualSpacing/>
              <w:rPr>
                <w:rFonts w:ascii="Calibri" w:hAnsi="Calibri"/>
                <w:b/>
              </w:rPr>
            </w:pPr>
          </w:p>
          <w:p w14:paraId="513A3E09" w14:textId="7943967B" w:rsidR="00291932" w:rsidRDefault="00291932" w:rsidP="0046548C">
            <w:pPr>
              <w:contextualSpacing/>
              <w:rPr>
                <w:rFonts w:ascii="Calibri" w:hAnsi="Calibri"/>
                <w:b/>
              </w:rPr>
            </w:pPr>
          </w:p>
          <w:p w14:paraId="50CC1519" w14:textId="21C9C1A3" w:rsidR="00FC36F0" w:rsidRPr="00FC36F0" w:rsidRDefault="00FC36F0" w:rsidP="00FC36F0">
            <w:pPr>
              <w:contextualSpacing/>
              <w:jc w:val="both"/>
              <w:rPr>
                <w:rFonts w:ascii="Calibri" w:hAnsi="Calibri"/>
                <w:bCs/>
              </w:rPr>
            </w:pPr>
            <w:r w:rsidRPr="00FC36F0">
              <w:rPr>
                <w:rFonts w:ascii="Calibri" w:hAnsi="Calibri"/>
                <w:bCs/>
              </w:rPr>
              <w:t xml:space="preserve">The proposed LCD advertising screens would be mounted on a ‘Street Hub’ structure (3/2022/0006: Refused) for the purposes of advertising and as an interactive information point for users.  The screens would occupy a location of high visual prominence within the public realm in a location and area that is devoid of any such similar types of advertisement devices.  </w:t>
            </w:r>
          </w:p>
          <w:p w14:paraId="40524D1A" w14:textId="77777777" w:rsidR="00FC36F0" w:rsidRPr="00FC36F0" w:rsidRDefault="00FC36F0" w:rsidP="00FC36F0">
            <w:pPr>
              <w:contextualSpacing/>
              <w:jc w:val="both"/>
              <w:rPr>
                <w:rFonts w:ascii="Calibri" w:hAnsi="Calibri"/>
                <w:bCs/>
              </w:rPr>
            </w:pPr>
          </w:p>
          <w:p w14:paraId="3064C34D" w14:textId="77777777" w:rsidR="00FC36F0" w:rsidRPr="00FC36F0" w:rsidRDefault="00FC36F0" w:rsidP="00FC36F0">
            <w:pPr>
              <w:contextualSpacing/>
              <w:jc w:val="both"/>
              <w:rPr>
                <w:rFonts w:ascii="Calibri" w:hAnsi="Calibri"/>
                <w:bCs/>
              </w:rPr>
            </w:pPr>
            <w:r w:rsidRPr="00FC36F0">
              <w:rPr>
                <w:rFonts w:ascii="Calibri" w:hAnsi="Calibri"/>
                <w:bCs/>
              </w:rPr>
              <w:t xml:space="preserve">Taking this into account and taking account of the internally illuminated nature of the proposed advertising screens, it is considered that the screens could not be sensitively or successfully visually </w:t>
            </w:r>
            <w:r w:rsidRPr="00FC36F0">
              <w:rPr>
                <w:rFonts w:ascii="Calibri" w:hAnsi="Calibri"/>
                <w:bCs/>
              </w:rPr>
              <w:lastRenderedPageBreak/>
              <w:t xml:space="preserve">assimilated into the immediate townscape, particularly when taking account of the historic character of the immediate and wider area and the inherent historic character of the designated Clitheroe Conservation Area.  </w:t>
            </w:r>
          </w:p>
          <w:p w14:paraId="24A5272F" w14:textId="77777777" w:rsidR="00FC36F0" w:rsidRPr="00FC36F0" w:rsidRDefault="00FC36F0" w:rsidP="00FC36F0">
            <w:pPr>
              <w:contextualSpacing/>
              <w:jc w:val="both"/>
              <w:rPr>
                <w:rFonts w:ascii="Calibri" w:hAnsi="Calibri"/>
                <w:b/>
              </w:rPr>
            </w:pPr>
          </w:p>
          <w:p w14:paraId="6EDCF11D" w14:textId="77777777" w:rsidR="00FC36F0" w:rsidRPr="00FC36F0" w:rsidRDefault="00FC36F0" w:rsidP="00FC36F0">
            <w:pPr>
              <w:contextualSpacing/>
              <w:jc w:val="both"/>
              <w:rPr>
                <w:rFonts w:ascii="Calibri" w:hAnsi="Calibri"/>
                <w:bCs/>
              </w:rPr>
            </w:pPr>
            <w:r w:rsidRPr="00FC36F0">
              <w:rPr>
                <w:rFonts w:ascii="Calibri" w:hAnsi="Calibri"/>
                <w:bCs/>
              </w:rPr>
              <w:t xml:space="preserve">In this respect it is considered that the proposed advertising screens, by virtue of their visual prominence, scale, internal illumination, and overtly modern appearance, would be read as being significantly anomalous, discordant and unsympathetic, particularly when read in conjunction with the immediate townscape within which they would be located, resulting in significant measurable visual harm to the character and visual amenities of the designated Clitheroe conservation Area.  </w:t>
            </w:r>
          </w:p>
          <w:p w14:paraId="2D1AEAD6" w14:textId="77777777" w:rsidR="00FC36F0" w:rsidRPr="00FC36F0" w:rsidRDefault="00FC36F0" w:rsidP="00FC36F0">
            <w:pPr>
              <w:contextualSpacing/>
              <w:jc w:val="both"/>
              <w:rPr>
                <w:rFonts w:ascii="Calibri" w:hAnsi="Calibri"/>
                <w:bCs/>
              </w:rPr>
            </w:pPr>
          </w:p>
          <w:p w14:paraId="0F50190F" w14:textId="77777777" w:rsidR="00825686" w:rsidRPr="00FA58D0" w:rsidRDefault="00825686" w:rsidP="00825686">
            <w:pPr>
              <w:contextualSpacing/>
              <w:jc w:val="both"/>
              <w:rPr>
                <w:rFonts w:asciiTheme="minorHAnsi" w:hAnsiTheme="minorHAnsi"/>
                <w:bCs/>
              </w:rPr>
            </w:pPr>
            <w:r w:rsidRPr="00FA58D0">
              <w:rPr>
                <w:rFonts w:asciiTheme="minorHAnsi" w:hAnsiTheme="minorHAnsi"/>
                <w:bCs/>
              </w:rPr>
              <w:t>Para 200 of the NPPF states any harm to, or loss of, the significance of a designated heritage asset (from its alteration or destruction, or from development within its setting), should require clear and convincing justification. There is no such justification to justify this harm to the conservation area.</w:t>
            </w:r>
          </w:p>
          <w:p w14:paraId="0EDE1B43" w14:textId="77777777" w:rsidR="00825686" w:rsidRPr="00FA58D0" w:rsidRDefault="00825686" w:rsidP="00825686">
            <w:pPr>
              <w:contextualSpacing/>
              <w:jc w:val="both"/>
              <w:rPr>
                <w:rFonts w:asciiTheme="minorHAnsi" w:hAnsiTheme="minorHAnsi"/>
                <w:bCs/>
              </w:rPr>
            </w:pPr>
          </w:p>
          <w:p w14:paraId="79C87F66" w14:textId="77777777" w:rsidR="00825686" w:rsidRPr="00FA58D0" w:rsidRDefault="00825686" w:rsidP="00825686">
            <w:pPr>
              <w:contextualSpacing/>
              <w:jc w:val="both"/>
              <w:rPr>
                <w:rFonts w:asciiTheme="minorHAnsi" w:hAnsiTheme="minorHAnsi"/>
                <w:bCs/>
              </w:rPr>
            </w:pPr>
            <w:r w:rsidRPr="00FA58D0">
              <w:rPr>
                <w:rFonts w:asciiTheme="minorHAnsi" w:hAnsiTheme="minorHAnsi"/>
                <w:bCs/>
              </w:rPr>
              <w:t xml:space="preserve">Para 201 of the NPPF states 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The public benefits from the development are not considered to be substantial to justify the significant harm.  </w:t>
            </w:r>
          </w:p>
          <w:p w14:paraId="1BCC76C0" w14:textId="77777777" w:rsidR="00825686" w:rsidRPr="00FA58D0" w:rsidRDefault="00825686" w:rsidP="00825686">
            <w:pPr>
              <w:contextualSpacing/>
              <w:jc w:val="both"/>
              <w:rPr>
                <w:rFonts w:asciiTheme="minorHAnsi" w:hAnsiTheme="minorHAnsi"/>
                <w:bCs/>
              </w:rPr>
            </w:pPr>
          </w:p>
          <w:p w14:paraId="0DF45F9F" w14:textId="77777777" w:rsidR="00825686" w:rsidRDefault="00825686" w:rsidP="00825686">
            <w:pPr>
              <w:contextualSpacing/>
              <w:jc w:val="both"/>
              <w:rPr>
                <w:rFonts w:asciiTheme="minorHAnsi" w:hAnsiTheme="minorHAnsi"/>
                <w:bCs/>
              </w:rPr>
            </w:pPr>
            <w:r w:rsidRPr="00FA58D0">
              <w:rPr>
                <w:rFonts w:asciiTheme="minorHAnsi" w:hAnsiTheme="minorHAnsi"/>
                <w:bCs/>
              </w:rPr>
              <w:t xml:space="preserve">As such the </w:t>
            </w:r>
            <w:r>
              <w:rPr>
                <w:rFonts w:asciiTheme="minorHAnsi" w:hAnsiTheme="minorHAnsi"/>
                <w:bCs/>
              </w:rPr>
              <w:t>proposed advertising screens are</w:t>
            </w:r>
            <w:r w:rsidRPr="00FA58D0">
              <w:rPr>
                <w:rFonts w:asciiTheme="minorHAnsi" w:hAnsiTheme="minorHAnsi"/>
                <w:bCs/>
              </w:rPr>
              <w:t xml:space="preserve"> considered to be in significant direct conflict with Key Statement EN5 and Policies DMG1 and DME4 of the Ribble Valley Core Strategy and Paragraphs 130, 134, 200 and 201 of the National Planning Policy Framework.</w:t>
            </w:r>
          </w:p>
          <w:p w14:paraId="632BE018" w14:textId="7F4977B3" w:rsidR="00FC36F0" w:rsidRPr="00FA0D9D" w:rsidRDefault="00FC36F0" w:rsidP="00FC36F0">
            <w:pPr>
              <w:contextualSpacing/>
              <w:jc w:val="both"/>
              <w:rPr>
                <w:rFonts w:ascii="Calibri" w:hAnsi="Calibri"/>
                <w:b/>
              </w:rPr>
            </w:pPr>
          </w:p>
        </w:tc>
      </w:tr>
      <w:tr w:rsidR="00C0704D" w:rsidRPr="00D2449B"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23B6FD" w14:textId="0ECD5BD1" w:rsidR="00ED00B7" w:rsidRDefault="00C0704D" w:rsidP="00EF05BA">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774817EC" w14:textId="23CA9F03" w:rsidR="00EF05BA" w:rsidRDefault="00EF05BA" w:rsidP="00EF05BA">
            <w:pPr>
              <w:pStyle w:val="Header"/>
              <w:tabs>
                <w:tab w:val="clear" w:pos="4153"/>
                <w:tab w:val="clear" w:pos="8306"/>
              </w:tabs>
              <w:contextualSpacing/>
              <w:jc w:val="both"/>
              <w:rPr>
                <w:rFonts w:ascii="Calibri" w:hAnsi="Calibri"/>
                <w:b/>
                <w:szCs w:val="22"/>
              </w:rPr>
            </w:pPr>
          </w:p>
          <w:p w14:paraId="2F430DAF" w14:textId="222D4FA2" w:rsidR="00EF05BA" w:rsidRDefault="005B4928" w:rsidP="00EF05BA">
            <w:pPr>
              <w:pStyle w:val="Header"/>
              <w:tabs>
                <w:tab w:val="clear" w:pos="4153"/>
                <w:tab w:val="clear" w:pos="8306"/>
              </w:tabs>
              <w:contextualSpacing/>
              <w:jc w:val="both"/>
              <w:rPr>
                <w:rFonts w:ascii="Calibri" w:hAnsi="Calibri"/>
                <w:bCs/>
                <w:szCs w:val="22"/>
              </w:rPr>
            </w:pPr>
            <w:r w:rsidRPr="005B4928">
              <w:rPr>
                <w:rFonts w:ascii="Calibri" w:hAnsi="Calibri"/>
                <w:bCs/>
                <w:szCs w:val="22"/>
              </w:rPr>
              <w:t>Taking account of the nature of the proposed development and taking account of the relationship of the proposed advertising screens and ‘Street Hub’ with nearby residential receptors. it is not considered that the proposed development will result in any significant measurable detrimental impacts upon nearby existing residential amenities.</w:t>
            </w:r>
          </w:p>
          <w:p w14:paraId="0DB485A3" w14:textId="46FD2290" w:rsidR="00EF05BA" w:rsidRPr="00C0704D" w:rsidRDefault="00EF05BA" w:rsidP="00C0704D">
            <w:pPr>
              <w:contextualSpacing/>
              <w:rPr>
                <w:rFonts w:ascii="Calibri" w:hAnsi="Calibri"/>
                <w:szCs w:val="22"/>
              </w:rPr>
            </w:pPr>
          </w:p>
        </w:tc>
      </w:tr>
      <w:tr w:rsidR="00824DB6" w:rsidRPr="00D2449B"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6F6F951" w14:textId="53A93251" w:rsidR="00824DB6" w:rsidRPr="004038C8" w:rsidRDefault="006E2E2E" w:rsidP="00EA09F9">
            <w:pPr>
              <w:pStyle w:val="Header"/>
              <w:tabs>
                <w:tab w:val="clear" w:pos="4153"/>
                <w:tab w:val="clear" w:pos="8306"/>
              </w:tabs>
              <w:contextualSpacing/>
              <w:jc w:val="both"/>
              <w:rPr>
                <w:rFonts w:ascii="Calibri" w:hAnsi="Calibri"/>
                <w:bCs/>
                <w:szCs w:val="22"/>
              </w:rPr>
            </w:pPr>
            <w:r w:rsidRPr="004038C8">
              <w:rPr>
                <w:rFonts w:ascii="Calibri" w:hAnsi="Calibri"/>
                <w:bCs/>
                <w:szCs w:val="22"/>
              </w:rPr>
              <w:t>The Local Highways authority have noted that the proposed position of the ‘Street Hub’ is currently occupied by existing street furniture and have requested, should consent be granted, that conditions are imposed to limit/control the following matters:</w:t>
            </w:r>
          </w:p>
          <w:p w14:paraId="051F6C4E" w14:textId="218AA7D2" w:rsidR="006E2E2E" w:rsidRPr="004038C8" w:rsidRDefault="006E2E2E" w:rsidP="00EA09F9">
            <w:pPr>
              <w:pStyle w:val="Header"/>
              <w:tabs>
                <w:tab w:val="clear" w:pos="4153"/>
                <w:tab w:val="clear" w:pos="8306"/>
              </w:tabs>
              <w:contextualSpacing/>
              <w:jc w:val="both"/>
              <w:rPr>
                <w:rFonts w:ascii="Calibri" w:hAnsi="Calibri"/>
                <w:bCs/>
                <w:szCs w:val="22"/>
              </w:rPr>
            </w:pPr>
          </w:p>
          <w:p w14:paraId="32CAE16E" w14:textId="0069F81A" w:rsidR="006E2E2E" w:rsidRPr="00961974" w:rsidRDefault="006E2E2E" w:rsidP="006E2E2E">
            <w:pPr>
              <w:pStyle w:val="Header"/>
              <w:contextualSpacing/>
              <w:jc w:val="both"/>
              <w:rPr>
                <w:rFonts w:ascii="Calibri" w:hAnsi="Calibri"/>
                <w:bCs/>
                <w:i/>
                <w:iCs/>
                <w:szCs w:val="22"/>
              </w:rPr>
            </w:pPr>
            <w:r w:rsidRPr="00961974">
              <w:rPr>
                <w:rFonts w:ascii="Calibri" w:hAnsi="Calibri"/>
                <w:bCs/>
                <w:i/>
                <w:iCs/>
                <w:szCs w:val="22"/>
              </w:rPr>
              <w:t>Should the application be approved, the following conditions are requested to ensure the illuminance of the sign and its content are controlled.</w:t>
            </w:r>
          </w:p>
          <w:p w14:paraId="7C5FB124" w14:textId="77777777" w:rsidR="006E2E2E" w:rsidRPr="00961974" w:rsidRDefault="006E2E2E" w:rsidP="006E2E2E">
            <w:pPr>
              <w:pStyle w:val="Header"/>
              <w:contextualSpacing/>
              <w:jc w:val="both"/>
              <w:rPr>
                <w:rFonts w:ascii="Calibri" w:hAnsi="Calibri"/>
                <w:bCs/>
                <w:i/>
                <w:iCs/>
                <w:szCs w:val="22"/>
              </w:rPr>
            </w:pPr>
          </w:p>
          <w:p w14:paraId="76450E4D" w14:textId="77777777" w:rsidR="006E2E2E" w:rsidRPr="00961974" w:rsidRDefault="006E2E2E" w:rsidP="006E2E2E">
            <w:pPr>
              <w:pStyle w:val="Header"/>
              <w:numPr>
                <w:ilvl w:val="0"/>
                <w:numId w:val="2"/>
              </w:numPr>
              <w:contextualSpacing/>
              <w:jc w:val="both"/>
              <w:rPr>
                <w:rFonts w:ascii="Calibri" w:hAnsi="Calibri"/>
                <w:bCs/>
                <w:i/>
                <w:iCs/>
                <w:szCs w:val="22"/>
              </w:rPr>
            </w:pPr>
            <w:r w:rsidRPr="00961974">
              <w:rPr>
                <w:rFonts w:ascii="Calibri" w:hAnsi="Calibri"/>
                <w:bCs/>
                <w:i/>
                <w:iCs/>
                <w:szCs w:val="22"/>
              </w:rPr>
              <w:t>Between sunset and sunrise the intensity of the illumination of the display screen shall not exceed 600cd/m2, and between sunrise and sunset the intensity of the illumination of the display screen shall not exceed 5000 cd/m2</w:t>
            </w:r>
          </w:p>
          <w:p w14:paraId="0E77CF68" w14:textId="57C99993" w:rsidR="006E2E2E" w:rsidRPr="00961974" w:rsidRDefault="006E2E2E" w:rsidP="006E2E2E">
            <w:pPr>
              <w:pStyle w:val="Header"/>
              <w:numPr>
                <w:ilvl w:val="0"/>
                <w:numId w:val="2"/>
              </w:numPr>
              <w:contextualSpacing/>
              <w:jc w:val="both"/>
              <w:rPr>
                <w:rFonts w:ascii="Calibri" w:hAnsi="Calibri"/>
                <w:bCs/>
                <w:i/>
                <w:iCs/>
                <w:szCs w:val="22"/>
              </w:rPr>
            </w:pPr>
            <w:r w:rsidRPr="00961974">
              <w:rPr>
                <w:rFonts w:ascii="Calibri" w:hAnsi="Calibri"/>
                <w:bCs/>
                <w:i/>
                <w:iCs/>
                <w:szCs w:val="22"/>
              </w:rPr>
              <w:t>The display screen shall be fitted with a light intensity monitoring sensor to ensure the illumination intensity is dimmable to take account of ambient light conditions and comply with the maximum recommended lighting intensity. The advertisement will go to a blank (dark) screen in the circumstance of a malfunction;</w:t>
            </w:r>
          </w:p>
          <w:p w14:paraId="087B07B7" w14:textId="1977DE90" w:rsidR="006E2E2E" w:rsidRPr="00961974" w:rsidRDefault="006E2E2E" w:rsidP="004038C8">
            <w:pPr>
              <w:pStyle w:val="Header"/>
              <w:numPr>
                <w:ilvl w:val="0"/>
                <w:numId w:val="2"/>
              </w:numPr>
              <w:contextualSpacing/>
              <w:jc w:val="both"/>
              <w:rPr>
                <w:rFonts w:ascii="Calibri" w:hAnsi="Calibri"/>
                <w:bCs/>
                <w:i/>
                <w:iCs/>
                <w:szCs w:val="22"/>
              </w:rPr>
            </w:pPr>
            <w:r w:rsidRPr="00961974">
              <w:rPr>
                <w:rFonts w:ascii="Calibri" w:hAnsi="Calibri"/>
                <w:bCs/>
                <w:i/>
                <w:iCs/>
                <w:szCs w:val="22"/>
              </w:rPr>
              <w:t>The advertisement provides static images only for the lifetime of the development.</w:t>
            </w:r>
            <w:r w:rsidR="004038C8" w:rsidRPr="00961974">
              <w:rPr>
                <w:rFonts w:ascii="Calibri" w:hAnsi="Calibri"/>
                <w:bCs/>
                <w:i/>
                <w:iCs/>
                <w:szCs w:val="22"/>
              </w:rPr>
              <w:t xml:space="preserve">  </w:t>
            </w:r>
            <w:r w:rsidRPr="00961974">
              <w:rPr>
                <w:rFonts w:ascii="Calibri" w:hAnsi="Calibri"/>
                <w:bCs/>
                <w:i/>
                <w:iCs/>
                <w:szCs w:val="22"/>
              </w:rPr>
              <w:t>The display screen shall not display any moving or apparently moving images, strobe of flashing light effects;</w:t>
            </w:r>
          </w:p>
          <w:p w14:paraId="49D9F199" w14:textId="07185B74" w:rsidR="006E2E2E" w:rsidRPr="00961974" w:rsidRDefault="006E2E2E" w:rsidP="006E2E2E">
            <w:pPr>
              <w:pStyle w:val="Header"/>
              <w:numPr>
                <w:ilvl w:val="0"/>
                <w:numId w:val="2"/>
              </w:numPr>
              <w:contextualSpacing/>
              <w:jc w:val="both"/>
              <w:rPr>
                <w:rFonts w:ascii="Calibri" w:hAnsi="Calibri"/>
                <w:bCs/>
                <w:i/>
                <w:iCs/>
                <w:szCs w:val="22"/>
              </w:rPr>
            </w:pPr>
            <w:r w:rsidRPr="00961974">
              <w:rPr>
                <w:rFonts w:ascii="Calibri" w:hAnsi="Calibri"/>
                <w:bCs/>
                <w:i/>
                <w:iCs/>
                <w:szCs w:val="22"/>
              </w:rPr>
              <w:t xml:space="preserve">The proposed change in image method for the advertisement uses a fade/dissolve process and shall not give the appearance of movement for the lifetime of the development. Any sequential change between advertisements will take place over a period no greater than one second; </w:t>
            </w:r>
          </w:p>
          <w:p w14:paraId="5F54F669" w14:textId="4C7933D4" w:rsidR="006E2E2E" w:rsidRPr="00961974" w:rsidRDefault="006E2E2E" w:rsidP="006E2E2E">
            <w:pPr>
              <w:pStyle w:val="Header"/>
              <w:numPr>
                <w:ilvl w:val="0"/>
                <w:numId w:val="2"/>
              </w:numPr>
              <w:contextualSpacing/>
              <w:jc w:val="both"/>
              <w:rPr>
                <w:rFonts w:ascii="Calibri" w:hAnsi="Calibri"/>
                <w:bCs/>
                <w:i/>
                <w:iCs/>
                <w:szCs w:val="22"/>
              </w:rPr>
            </w:pPr>
            <w:r w:rsidRPr="00961974">
              <w:rPr>
                <w:rFonts w:ascii="Calibri" w:hAnsi="Calibri"/>
                <w:bCs/>
                <w:i/>
                <w:iCs/>
                <w:szCs w:val="22"/>
              </w:rPr>
              <w:lastRenderedPageBreak/>
              <w:t>The advertisements displayed shall not change more frequently than once every 10 seconds. No interactive messages or messaging sequences are to be displayed. There shall be no fine grain material such as email address or telephone numbers.</w:t>
            </w:r>
          </w:p>
          <w:p w14:paraId="60C618D1" w14:textId="6FF40314" w:rsidR="004038C8" w:rsidRPr="00961974" w:rsidRDefault="004038C8" w:rsidP="004038C8">
            <w:pPr>
              <w:pStyle w:val="Header"/>
              <w:numPr>
                <w:ilvl w:val="0"/>
                <w:numId w:val="2"/>
              </w:numPr>
              <w:contextualSpacing/>
              <w:jc w:val="both"/>
              <w:rPr>
                <w:rFonts w:ascii="Calibri" w:hAnsi="Calibri"/>
                <w:bCs/>
                <w:i/>
                <w:iCs/>
                <w:szCs w:val="22"/>
              </w:rPr>
            </w:pPr>
            <w:r w:rsidRPr="00961974">
              <w:rPr>
                <w:rFonts w:ascii="Calibri" w:hAnsi="Calibri"/>
                <w:bCs/>
                <w:i/>
                <w:iCs/>
                <w:szCs w:val="22"/>
              </w:rPr>
              <w:t>The illuminance levels shall be checked once every six months and adjusted if necessary to ensure that the lighting intensity remains within the permitted levels as prescribed above;</w:t>
            </w:r>
          </w:p>
          <w:p w14:paraId="7F2719FC" w14:textId="6E4251E2" w:rsidR="004038C8" w:rsidRPr="00961974" w:rsidRDefault="004038C8" w:rsidP="004038C8">
            <w:pPr>
              <w:pStyle w:val="Header"/>
              <w:numPr>
                <w:ilvl w:val="0"/>
                <w:numId w:val="2"/>
              </w:numPr>
              <w:contextualSpacing/>
              <w:jc w:val="both"/>
              <w:rPr>
                <w:rFonts w:ascii="Calibri" w:hAnsi="Calibri"/>
                <w:bCs/>
                <w:i/>
                <w:iCs/>
                <w:szCs w:val="22"/>
              </w:rPr>
            </w:pPr>
            <w:r w:rsidRPr="00961974">
              <w:rPr>
                <w:rFonts w:ascii="Calibri" w:hAnsi="Calibri"/>
                <w:bCs/>
                <w:i/>
                <w:iCs/>
                <w:szCs w:val="22"/>
              </w:rPr>
              <w:t>The advertisement does not contain any images which may be interpreted as road signs or emit sound, smoke or odours</w:t>
            </w:r>
          </w:p>
          <w:p w14:paraId="337694ED" w14:textId="5C8DCCCF" w:rsidR="006E2E2E" w:rsidRDefault="006E2E2E"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337C4D8" w14:textId="2111203C" w:rsidR="00C0704D" w:rsidRPr="006E2E2E" w:rsidRDefault="006E2E2E" w:rsidP="00E46243">
            <w:pPr>
              <w:contextualSpacing/>
              <w:rPr>
                <w:rFonts w:ascii="Calibri" w:hAnsi="Calibri"/>
                <w:bCs/>
                <w:szCs w:val="22"/>
              </w:rPr>
            </w:pPr>
            <w:r w:rsidRPr="006E2E2E">
              <w:rPr>
                <w:rFonts w:ascii="Calibri" w:hAnsi="Calibri"/>
                <w:bCs/>
                <w:szCs w:val="22"/>
              </w:rPr>
              <w:t>No implications resultant from the proposal.</w:t>
            </w:r>
            <w:r w:rsidRPr="006E2E2E">
              <w:rPr>
                <w:rFonts w:ascii="Calibri" w:hAnsi="Calibri"/>
                <w:bCs/>
                <w:szCs w:val="22"/>
              </w:rPr>
              <w:br/>
            </w: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1E856BC3"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825686">
              <w:rPr>
                <w:rFonts w:asciiTheme="minorHAnsi" w:hAnsiTheme="minorHAnsi"/>
                <w:bCs/>
                <w:szCs w:val="22"/>
              </w:rPr>
              <w:t>advertisement consent</w:t>
            </w:r>
            <w:r w:rsidRPr="009F4443">
              <w:rPr>
                <w:rFonts w:asciiTheme="minorHAnsi" w:hAnsiTheme="minorHAnsi"/>
                <w:bCs/>
                <w:szCs w:val="22"/>
              </w:rPr>
              <w:t xml:space="preserve"> be refused for the following reason(s)</w:t>
            </w:r>
            <w:r>
              <w:rPr>
                <w:rFonts w:asciiTheme="minorHAnsi" w:hAnsiTheme="minorHAnsi"/>
                <w:bCs/>
                <w:szCs w:val="22"/>
              </w:rPr>
              <w:t>.</w:t>
            </w:r>
          </w:p>
        </w:tc>
      </w:tr>
      <w:tr w:rsidR="009F4443"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747F6C" w14:textId="77777777" w:rsidR="002F4A0E" w:rsidRDefault="002F4A0E" w:rsidP="009F4443">
            <w:pPr>
              <w:jc w:val="center"/>
              <w:rPr>
                <w:rFonts w:asciiTheme="minorHAnsi" w:hAnsiTheme="minorHAnsi"/>
                <w:b/>
                <w:szCs w:val="22"/>
              </w:rPr>
            </w:pPr>
          </w:p>
          <w:p w14:paraId="689E810A" w14:textId="0A12FCAF"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9025C2" w14:textId="31490E67" w:rsidR="001440E3" w:rsidRDefault="001440E3" w:rsidP="001440E3">
            <w:pPr>
              <w:rPr>
                <w:rFonts w:asciiTheme="minorHAnsi" w:hAnsiTheme="minorHAnsi"/>
                <w:bCs/>
                <w:szCs w:val="22"/>
              </w:rPr>
            </w:pPr>
          </w:p>
          <w:p w14:paraId="39A373E5" w14:textId="5930F2A7" w:rsidR="00FC36F0" w:rsidRPr="00FC36F0" w:rsidRDefault="00FC36F0" w:rsidP="00FC36F0">
            <w:pPr>
              <w:jc w:val="both"/>
              <w:rPr>
                <w:rFonts w:asciiTheme="minorHAnsi" w:hAnsiTheme="minorHAnsi"/>
                <w:bCs/>
                <w:szCs w:val="22"/>
              </w:rPr>
            </w:pPr>
            <w:r w:rsidRPr="00FC36F0">
              <w:rPr>
                <w:rFonts w:asciiTheme="minorHAnsi" w:hAnsiTheme="minorHAnsi"/>
                <w:bCs/>
                <w:szCs w:val="22"/>
              </w:rPr>
              <w:t>The proposed advertisement screens, by virtue of their visual prominence, scale, internal illumination, and overtly modern appearance, would result in the introduction of a significantly anomalous, discordant and unsympathetic form of advertisement that fails to positively respond to the inherent character of the area, the immediate and wider historic townscape or the inherent character of the designated Clitheroe Conservation Area.  As such the proposal would result in significant visual detriment to the character and visual amenities of the designated Clitheroe conservation Area</w:t>
            </w:r>
            <w:r>
              <w:rPr>
                <w:rFonts w:asciiTheme="minorHAnsi" w:hAnsiTheme="minorHAnsi"/>
                <w:bCs/>
                <w:szCs w:val="22"/>
              </w:rPr>
              <w:t>.</w:t>
            </w:r>
          </w:p>
          <w:p w14:paraId="4EA1FB9F" w14:textId="77777777" w:rsidR="00FC36F0" w:rsidRPr="00FC36F0" w:rsidRDefault="00FC36F0" w:rsidP="00FC36F0">
            <w:pPr>
              <w:jc w:val="both"/>
              <w:rPr>
                <w:rFonts w:asciiTheme="minorHAnsi" w:hAnsiTheme="minorHAnsi"/>
                <w:bCs/>
                <w:szCs w:val="22"/>
              </w:rPr>
            </w:pPr>
          </w:p>
          <w:p w14:paraId="65D3A423" w14:textId="77777777" w:rsidR="00825686" w:rsidRDefault="00825686" w:rsidP="00825686">
            <w:pPr>
              <w:rPr>
                <w:rFonts w:asciiTheme="minorHAnsi" w:hAnsiTheme="minorHAnsi"/>
                <w:bCs/>
                <w:szCs w:val="22"/>
              </w:rPr>
            </w:pPr>
            <w:r>
              <w:rPr>
                <w:rFonts w:asciiTheme="minorHAnsi" w:hAnsiTheme="minorHAnsi"/>
                <w:bCs/>
                <w:szCs w:val="22"/>
              </w:rPr>
              <w:t>Taking account of the above</w:t>
            </w:r>
            <w:r w:rsidRPr="001440E3">
              <w:rPr>
                <w:rFonts w:asciiTheme="minorHAnsi" w:hAnsiTheme="minorHAnsi"/>
                <w:bCs/>
                <w:szCs w:val="22"/>
              </w:rPr>
              <w:t xml:space="preserve"> the proposal is considered to be in </w:t>
            </w:r>
            <w:r>
              <w:rPr>
                <w:rFonts w:asciiTheme="minorHAnsi" w:hAnsiTheme="minorHAnsi"/>
                <w:bCs/>
                <w:szCs w:val="22"/>
              </w:rPr>
              <w:t xml:space="preserve">significant </w:t>
            </w:r>
            <w:r w:rsidRPr="001440E3">
              <w:rPr>
                <w:rFonts w:asciiTheme="minorHAnsi" w:hAnsiTheme="minorHAnsi"/>
                <w:bCs/>
                <w:szCs w:val="22"/>
              </w:rPr>
              <w:t>direct conflict with Key Statement EN5 and Policies DMG1 and DME4 of the Ribble Valley Core Strategy</w:t>
            </w:r>
            <w:r>
              <w:rPr>
                <w:rFonts w:asciiTheme="minorHAnsi" w:hAnsiTheme="minorHAnsi"/>
                <w:bCs/>
                <w:szCs w:val="22"/>
              </w:rPr>
              <w:t>,</w:t>
            </w:r>
            <w:r w:rsidRPr="001440E3">
              <w:rPr>
                <w:rFonts w:asciiTheme="minorHAnsi" w:hAnsiTheme="minorHAnsi"/>
                <w:bCs/>
                <w:szCs w:val="22"/>
              </w:rPr>
              <w:t xml:space="preserve"> Paragraphs 130</w:t>
            </w:r>
            <w:r>
              <w:rPr>
                <w:rFonts w:asciiTheme="minorHAnsi" w:hAnsiTheme="minorHAnsi"/>
                <w:bCs/>
                <w:szCs w:val="22"/>
              </w:rPr>
              <w:t>,</w:t>
            </w:r>
            <w:r w:rsidRPr="001440E3">
              <w:rPr>
                <w:rFonts w:asciiTheme="minorHAnsi" w:hAnsiTheme="minorHAnsi"/>
                <w:bCs/>
                <w:szCs w:val="22"/>
              </w:rPr>
              <w:t xml:space="preserve"> 134</w:t>
            </w:r>
            <w:r>
              <w:rPr>
                <w:rFonts w:asciiTheme="minorHAnsi" w:hAnsiTheme="minorHAnsi"/>
                <w:bCs/>
                <w:szCs w:val="22"/>
              </w:rPr>
              <w:t>, 200 and 201</w:t>
            </w:r>
            <w:r w:rsidRPr="001440E3">
              <w:rPr>
                <w:rFonts w:asciiTheme="minorHAnsi" w:hAnsiTheme="minorHAnsi"/>
                <w:bCs/>
                <w:szCs w:val="22"/>
              </w:rPr>
              <w:t xml:space="preserve"> of the National Planning Policy Framework</w:t>
            </w:r>
            <w:r>
              <w:rPr>
                <w:rFonts w:asciiTheme="minorHAnsi" w:hAnsiTheme="minorHAnsi"/>
                <w:bCs/>
                <w:szCs w:val="22"/>
              </w:rPr>
              <w:t xml:space="preserve"> and</w:t>
            </w:r>
            <w:r w:rsidRPr="00DB00A8">
              <w:rPr>
                <w:rFonts w:ascii="Calibri" w:hAnsi="Calibri"/>
                <w:bCs/>
                <w:szCs w:val="22"/>
              </w:rPr>
              <w:t xml:space="preserve"> the Planning (Listed Building and Conservation Areas) Act 1990</w:t>
            </w:r>
            <w:r>
              <w:rPr>
                <w:rFonts w:ascii="Calibri" w:hAnsi="Calibri"/>
                <w:bCs/>
                <w:szCs w:val="22"/>
              </w:rPr>
              <w:t>.</w:t>
            </w:r>
          </w:p>
          <w:p w14:paraId="337E4514" w14:textId="45D9CFD4" w:rsidR="00FC36F0" w:rsidRPr="009F4443" w:rsidRDefault="00FC36F0" w:rsidP="00FC36F0">
            <w:pPr>
              <w:rPr>
                <w:rFonts w:asciiTheme="minorHAnsi" w:hAnsiTheme="minorHAnsi"/>
                <w:bCs/>
                <w:szCs w:val="22"/>
              </w:rPr>
            </w:pPr>
          </w:p>
        </w:tc>
      </w:tr>
    </w:tbl>
    <w:p w14:paraId="513FB541" w14:textId="77777777" w:rsidR="0031197A" w:rsidRPr="00D2449B" w:rsidRDefault="00E859BD">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26A46"/>
    <w:multiLevelType w:val="hybridMultilevel"/>
    <w:tmpl w:val="A012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7A632C"/>
    <w:multiLevelType w:val="hybridMultilevel"/>
    <w:tmpl w:val="ACBE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D0E84"/>
    <w:multiLevelType w:val="hybridMultilevel"/>
    <w:tmpl w:val="03D8B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F34469"/>
    <w:multiLevelType w:val="hybridMultilevel"/>
    <w:tmpl w:val="6D30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2369A2"/>
    <w:multiLevelType w:val="hybridMultilevel"/>
    <w:tmpl w:val="85DE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A53FC"/>
    <w:multiLevelType w:val="hybridMultilevel"/>
    <w:tmpl w:val="563E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F3D8D"/>
    <w:multiLevelType w:val="hybridMultilevel"/>
    <w:tmpl w:val="F7088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1"/>
  </w:num>
  <w:num w:numId="2" w16cid:durableId="2136101962">
    <w:abstractNumId w:val="5"/>
  </w:num>
  <w:num w:numId="3" w16cid:durableId="257568162">
    <w:abstractNumId w:val="4"/>
  </w:num>
  <w:num w:numId="4" w16cid:durableId="1538541615">
    <w:abstractNumId w:val="8"/>
  </w:num>
  <w:num w:numId="5" w16cid:durableId="1573781848">
    <w:abstractNumId w:val="0"/>
  </w:num>
  <w:num w:numId="6" w16cid:durableId="1015419233">
    <w:abstractNumId w:val="10"/>
  </w:num>
  <w:num w:numId="7" w16cid:durableId="1999267513">
    <w:abstractNumId w:val="3"/>
  </w:num>
  <w:num w:numId="8" w16cid:durableId="609974084">
    <w:abstractNumId w:val="9"/>
  </w:num>
  <w:num w:numId="9" w16cid:durableId="1666664353">
    <w:abstractNumId w:val="2"/>
  </w:num>
  <w:num w:numId="10" w16cid:durableId="457185862">
    <w:abstractNumId w:val="1"/>
  </w:num>
  <w:num w:numId="11" w16cid:durableId="318578925">
    <w:abstractNumId w:val="7"/>
  </w:num>
  <w:num w:numId="12" w16cid:durableId="1108046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440E3"/>
    <w:rsid w:val="00150D0A"/>
    <w:rsid w:val="001657CB"/>
    <w:rsid w:val="001D4F7A"/>
    <w:rsid w:val="00250879"/>
    <w:rsid w:val="00291932"/>
    <w:rsid w:val="0029334A"/>
    <w:rsid w:val="002A01CF"/>
    <w:rsid w:val="002C6277"/>
    <w:rsid w:val="002F2580"/>
    <w:rsid w:val="002F4A0E"/>
    <w:rsid w:val="00321B6E"/>
    <w:rsid w:val="003E287A"/>
    <w:rsid w:val="004038C8"/>
    <w:rsid w:val="0042528A"/>
    <w:rsid w:val="00440CB6"/>
    <w:rsid w:val="0046548C"/>
    <w:rsid w:val="004947BB"/>
    <w:rsid w:val="004A5EA9"/>
    <w:rsid w:val="004C2434"/>
    <w:rsid w:val="004F0649"/>
    <w:rsid w:val="00510FA2"/>
    <w:rsid w:val="00556ECD"/>
    <w:rsid w:val="005B4928"/>
    <w:rsid w:val="005E1C6C"/>
    <w:rsid w:val="005E65DF"/>
    <w:rsid w:val="0062498F"/>
    <w:rsid w:val="006565E0"/>
    <w:rsid w:val="00692B60"/>
    <w:rsid w:val="006A71AD"/>
    <w:rsid w:val="006C2BFA"/>
    <w:rsid w:val="006E2E2E"/>
    <w:rsid w:val="006F6849"/>
    <w:rsid w:val="0070054B"/>
    <w:rsid w:val="007327B7"/>
    <w:rsid w:val="00736FD3"/>
    <w:rsid w:val="00742CC6"/>
    <w:rsid w:val="0077336C"/>
    <w:rsid w:val="00773A66"/>
    <w:rsid w:val="00776AE2"/>
    <w:rsid w:val="007C791C"/>
    <w:rsid w:val="007D7DF4"/>
    <w:rsid w:val="007E0D23"/>
    <w:rsid w:val="007F16D6"/>
    <w:rsid w:val="00811771"/>
    <w:rsid w:val="00824DB6"/>
    <w:rsid w:val="00825686"/>
    <w:rsid w:val="00837F4F"/>
    <w:rsid w:val="00851366"/>
    <w:rsid w:val="008542DE"/>
    <w:rsid w:val="008A28C8"/>
    <w:rsid w:val="008A4741"/>
    <w:rsid w:val="0092213F"/>
    <w:rsid w:val="00961974"/>
    <w:rsid w:val="009F13F2"/>
    <w:rsid w:val="009F4443"/>
    <w:rsid w:val="00A42E82"/>
    <w:rsid w:val="00A53306"/>
    <w:rsid w:val="00A579BB"/>
    <w:rsid w:val="00A63D55"/>
    <w:rsid w:val="00A95D89"/>
    <w:rsid w:val="00B150B6"/>
    <w:rsid w:val="00B93EB5"/>
    <w:rsid w:val="00BB2D7B"/>
    <w:rsid w:val="00BD3F03"/>
    <w:rsid w:val="00BD69B8"/>
    <w:rsid w:val="00C0704D"/>
    <w:rsid w:val="00C25722"/>
    <w:rsid w:val="00C618DB"/>
    <w:rsid w:val="00CD1381"/>
    <w:rsid w:val="00D11007"/>
    <w:rsid w:val="00D17EB1"/>
    <w:rsid w:val="00D2449B"/>
    <w:rsid w:val="00D54E67"/>
    <w:rsid w:val="00DC1433"/>
    <w:rsid w:val="00DD62F6"/>
    <w:rsid w:val="00DE1CCD"/>
    <w:rsid w:val="00DE4547"/>
    <w:rsid w:val="00E46243"/>
    <w:rsid w:val="00E66534"/>
    <w:rsid w:val="00E72F6C"/>
    <w:rsid w:val="00E859BD"/>
    <w:rsid w:val="00EA09F9"/>
    <w:rsid w:val="00EC23C7"/>
    <w:rsid w:val="00ED00B7"/>
    <w:rsid w:val="00EF05BA"/>
    <w:rsid w:val="00EF44E6"/>
    <w:rsid w:val="00F76FEB"/>
    <w:rsid w:val="00FA3BB7"/>
    <w:rsid w:val="00FC36F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2023-03-02T12:08:00Z</cp:lastPrinted>
  <dcterms:created xsi:type="dcterms:W3CDTF">2023-03-02T12:10:00Z</dcterms:created>
  <dcterms:modified xsi:type="dcterms:W3CDTF">2023-03-02T12:10:00Z</dcterms:modified>
</cp:coreProperties>
</file>