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04206"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C9895C9" w14:textId="77777777">
        <w:trPr>
          <w:cantSplit/>
        </w:trPr>
        <w:tc>
          <w:tcPr>
            <w:tcW w:w="6990" w:type="dxa"/>
            <w:gridSpan w:val="4"/>
          </w:tcPr>
          <w:p w14:paraId="5E319693"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F6A80A9" w14:textId="77777777" w:rsidR="004D6A8E" w:rsidRPr="00533C3D" w:rsidRDefault="004D6A8E">
            <w:pPr>
              <w:pStyle w:val="DefaultText"/>
              <w:rPr>
                <w:rFonts w:ascii="Calibri" w:hAnsi="Calibri"/>
                <w:sz w:val="24"/>
                <w:szCs w:val="24"/>
              </w:rPr>
            </w:pPr>
          </w:p>
        </w:tc>
        <w:tc>
          <w:tcPr>
            <w:tcW w:w="1713" w:type="dxa"/>
          </w:tcPr>
          <w:p w14:paraId="23D6A585" w14:textId="77777777" w:rsidR="004D6A8E" w:rsidRPr="00533C3D" w:rsidRDefault="004D6A8E">
            <w:pPr>
              <w:pStyle w:val="DefaultText"/>
              <w:rPr>
                <w:rFonts w:ascii="Calibri" w:hAnsi="Calibri"/>
                <w:sz w:val="24"/>
                <w:szCs w:val="24"/>
              </w:rPr>
            </w:pPr>
          </w:p>
        </w:tc>
      </w:tr>
      <w:tr w:rsidR="004D6A8E" w:rsidRPr="00533C3D" w14:paraId="1DF7E2DC" w14:textId="77777777">
        <w:trPr>
          <w:cantSplit/>
        </w:trPr>
        <w:tc>
          <w:tcPr>
            <w:tcW w:w="4124" w:type="dxa"/>
            <w:gridSpan w:val="2"/>
          </w:tcPr>
          <w:p w14:paraId="04B74240"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575390A" w14:textId="77777777" w:rsidR="004D6A8E" w:rsidRPr="00533C3D" w:rsidRDefault="004D6A8E">
            <w:pPr>
              <w:pStyle w:val="DefaultText"/>
              <w:rPr>
                <w:rFonts w:ascii="Calibri" w:hAnsi="Calibri"/>
                <w:sz w:val="24"/>
                <w:szCs w:val="24"/>
              </w:rPr>
            </w:pPr>
          </w:p>
        </w:tc>
        <w:tc>
          <w:tcPr>
            <w:tcW w:w="1410" w:type="dxa"/>
          </w:tcPr>
          <w:p w14:paraId="7D19F96A" w14:textId="77777777" w:rsidR="004D6A8E" w:rsidRPr="00533C3D" w:rsidRDefault="004D6A8E">
            <w:pPr>
              <w:pStyle w:val="DefaultText"/>
              <w:rPr>
                <w:rFonts w:ascii="Calibri" w:hAnsi="Calibri"/>
                <w:sz w:val="24"/>
                <w:szCs w:val="24"/>
              </w:rPr>
            </w:pPr>
          </w:p>
        </w:tc>
        <w:tc>
          <w:tcPr>
            <w:tcW w:w="1713" w:type="dxa"/>
          </w:tcPr>
          <w:p w14:paraId="68824DF8" w14:textId="77777777" w:rsidR="004D6A8E" w:rsidRPr="00533C3D" w:rsidRDefault="004D6A8E">
            <w:pPr>
              <w:pStyle w:val="DefaultText"/>
              <w:rPr>
                <w:rFonts w:ascii="Calibri" w:hAnsi="Calibri"/>
                <w:sz w:val="24"/>
                <w:szCs w:val="24"/>
              </w:rPr>
            </w:pPr>
          </w:p>
        </w:tc>
        <w:tc>
          <w:tcPr>
            <w:tcW w:w="1713" w:type="dxa"/>
          </w:tcPr>
          <w:p w14:paraId="69F603AD" w14:textId="77777777" w:rsidR="004D6A8E" w:rsidRPr="00533C3D" w:rsidRDefault="004D6A8E">
            <w:pPr>
              <w:pStyle w:val="DefaultText"/>
              <w:rPr>
                <w:rFonts w:ascii="Calibri" w:hAnsi="Calibri"/>
                <w:sz w:val="24"/>
                <w:szCs w:val="24"/>
              </w:rPr>
            </w:pPr>
          </w:p>
        </w:tc>
      </w:tr>
      <w:tr w:rsidR="00BF398E" w:rsidRPr="00533C3D" w14:paraId="293C27EC" w14:textId="77777777" w:rsidTr="003116C7">
        <w:trPr>
          <w:cantSplit/>
        </w:trPr>
        <w:tc>
          <w:tcPr>
            <w:tcW w:w="6990" w:type="dxa"/>
            <w:gridSpan w:val="4"/>
          </w:tcPr>
          <w:p w14:paraId="49C6D1B0"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B671684" w14:textId="77777777" w:rsidR="00BF398E" w:rsidRPr="00533C3D" w:rsidRDefault="00BF398E">
            <w:pPr>
              <w:pStyle w:val="DefaultText"/>
              <w:rPr>
                <w:rFonts w:ascii="Calibri" w:hAnsi="Calibri"/>
                <w:sz w:val="24"/>
                <w:szCs w:val="24"/>
              </w:rPr>
            </w:pPr>
          </w:p>
        </w:tc>
        <w:tc>
          <w:tcPr>
            <w:tcW w:w="1713" w:type="dxa"/>
          </w:tcPr>
          <w:p w14:paraId="6CD7AE07" w14:textId="77777777" w:rsidR="00BF398E" w:rsidRPr="00533C3D" w:rsidRDefault="00BF398E">
            <w:pPr>
              <w:pStyle w:val="DefaultText"/>
              <w:rPr>
                <w:rFonts w:ascii="Calibri" w:hAnsi="Calibri"/>
                <w:sz w:val="24"/>
                <w:szCs w:val="24"/>
              </w:rPr>
            </w:pPr>
          </w:p>
        </w:tc>
      </w:tr>
      <w:tr w:rsidR="00BF398E" w:rsidRPr="00533C3D" w14:paraId="017B02A3" w14:textId="77777777" w:rsidTr="003116C7">
        <w:trPr>
          <w:cantSplit/>
        </w:trPr>
        <w:tc>
          <w:tcPr>
            <w:tcW w:w="8703" w:type="dxa"/>
            <w:gridSpan w:val="5"/>
            <w:tcBorders>
              <w:bottom w:val="single" w:sz="6" w:space="0" w:color="auto"/>
            </w:tcBorders>
          </w:tcPr>
          <w:p w14:paraId="03D45970"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0477C2DB" w14:textId="77777777" w:rsidR="00BF398E" w:rsidRPr="00533C3D" w:rsidRDefault="00BF398E">
            <w:pPr>
              <w:pStyle w:val="DefaultText"/>
              <w:rPr>
                <w:rFonts w:ascii="Calibri" w:hAnsi="Calibri"/>
                <w:sz w:val="24"/>
                <w:szCs w:val="24"/>
              </w:rPr>
            </w:pPr>
          </w:p>
        </w:tc>
      </w:tr>
      <w:tr w:rsidR="004D6A8E" w:rsidRPr="00533C3D" w14:paraId="2BE760FD" w14:textId="77777777">
        <w:trPr>
          <w:cantSplit/>
        </w:trPr>
        <w:tc>
          <w:tcPr>
            <w:tcW w:w="5580" w:type="dxa"/>
            <w:gridSpan w:val="3"/>
          </w:tcPr>
          <w:p w14:paraId="6720C7B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F9B4AB1" w14:textId="77777777" w:rsidR="004D6A8E" w:rsidRPr="00533C3D" w:rsidRDefault="004D6A8E">
            <w:pPr>
              <w:pStyle w:val="DefaultText"/>
              <w:rPr>
                <w:rFonts w:ascii="Calibri" w:hAnsi="Calibri"/>
                <w:sz w:val="24"/>
                <w:szCs w:val="24"/>
              </w:rPr>
            </w:pPr>
          </w:p>
        </w:tc>
        <w:tc>
          <w:tcPr>
            <w:tcW w:w="1713" w:type="dxa"/>
          </w:tcPr>
          <w:p w14:paraId="338D53F9" w14:textId="77777777" w:rsidR="004D6A8E" w:rsidRPr="00533C3D" w:rsidRDefault="004D6A8E">
            <w:pPr>
              <w:pStyle w:val="DefaultText"/>
              <w:rPr>
                <w:rFonts w:ascii="Calibri" w:hAnsi="Calibri"/>
                <w:sz w:val="24"/>
                <w:szCs w:val="24"/>
              </w:rPr>
            </w:pPr>
          </w:p>
        </w:tc>
        <w:tc>
          <w:tcPr>
            <w:tcW w:w="1713" w:type="dxa"/>
          </w:tcPr>
          <w:p w14:paraId="4FDB520B" w14:textId="77777777" w:rsidR="004D6A8E" w:rsidRPr="00533C3D" w:rsidRDefault="004D6A8E">
            <w:pPr>
              <w:pStyle w:val="DefaultText"/>
              <w:rPr>
                <w:rFonts w:ascii="Calibri" w:hAnsi="Calibri"/>
                <w:sz w:val="24"/>
                <w:szCs w:val="24"/>
              </w:rPr>
            </w:pPr>
          </w:p>
        </w:tc>
      </w:tr>
      <w:tr w:rsidR="004D6A8E" w:rsidRPr="00533C3D" w14:paraId="6F98541C" w14:textId="77777777">
        <w:trPr>
          <w:cantSplit/>
        </w:trPr>
        <w:tc>
          <w:tcPr>
            <w:tcW w:w="10416" w:type="dxa"/>
            <w:gridSpan w:val="6"/>
          </w:tcPr>
          <w:p w14:paraId="6680A073"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4F4FAE9" w14:textId="77777777">
        <w:trPr>
          <w:cantSplit/>
        </w:trPr>
        <w:tc>
          <w:tcPr>
            <w:tcW w:w="2411" w:type="dxa"/>
          </w:tcPr>
          <w:p w14:paraId="41DFAB6F"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CC0A581" w14:textId="34F4913B" w:rsidR="004D6A8E" w:rsidRPr="00533C3D" w:rsidRDefault="00D318DC">
            <w:pPr>
              <w:rPr>
                <w:rFonts w:ascii="Calibri" w:hAnsi="Calibri"/>
                <w:sz w:val="24"/>
                <w:szCs w:val="24"/>
              </w:rPr>
            </w:pPr>
            <w:r>
              <w:rPr>
                <w:rFonts w:ascii="Calibri" w:hAnsi="Calibri"/>
                <w:sz w:val="24"/>
                <w:szCs w:val="24"/>
              </w:rPr>
              <w:t>3/2023/0138</w:t>
            </w:r>
          </w:p>
        </w:tc>
        <w:tc>
          <w:tcPr>
            <w:tcW w:w="1410" w:type="dxa"/>
          </w:tcPr>
          <w:p w14:paraId="459A1A15" w14:textId="77777777" w:rsidR="004D6A8E" w:rsidRPr="00533C3D" w:rsidRDefault="004D6A8E">
            <w:pPr>
              <w:pStyle w:val="DefaultText"/>
              <w:rPr>
                <w:rFonts w:ascii="Calibri" w:hAnsi="Calibri"/>
                <w:sz w:val="24"/>
                <w:szCs w:val="24"/>
              </w:rPr>
            </w:pPr>
          </w:p>
        </w:tc>
        <w:tc>
          <w:tcPr>
            <w:tcW w:w="1713" w:type="dxa"/>
          </w:tcPr>
          <w:p w14:paraId="43E777C3" w14:textId="77777777" w:rsidR="004D6A8E" w:rsidRPr="00533C3D" w:rsidRDefault="004D6A8E">
            <w:pPr>
              <w:pStyle w:val="DefaultText"/>
              <w:rPr>
                <w:rFonts w:ascii="Calibri" w:hAnsi="Calibri"/>
                <w:sz w:val="24"/>
                <w:szCs w:val="24"/>
              </w:rPr>
            </w:pPr>
          </w:p>
        </w:tc>
        <w:tc>
          <w:tcPr>
            <w:tcW w:w="1713" w:type="dxa"/>
          </w:tcPr>
          <w:p w14:paraId="21EA4F68" w14:textId="77777777" w:rsidR="004D6A8E" w:rsidRPr="00533C3D" w:rsidRDefault="004D6A8E">
            <w:pPr>
              <w:pStyle w:val="DefaultText"/>
              <w:rPr>
                <w:rFonts w:ascii="Calibri" w:hAnsi="Calibri"/>
                <w:sz w:val="24"/>
                <w:szCs w:val="24"/>
              </w:rPr>
            </w:pPr>
          </w:p>
        </w:tc>
      </w:tr>
      <w:tr w:rsidR="004D6A8E" w:rsidRPr="00533C3D" w14:paraId="6389C7E9" w14:textId="77777777">
        <w:trPr>
          <w:cantSplit/>
        </w:trPr>
        <w:tc>
          <w:tcPr>
            <w:tcW w:w="2411" w:type="dxa"/>
          </w:tcPr>
          <w:p w14:paraId="354A83FA"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6B5E4AB" w14:textId="65D14D52" w:rsidR="004D6A8E" w:rsidRPr="00533C3D" w:rsidRDefault="00D318DC">
            <w:pPr>
              <w:rPr>
                <w:rFonts w:ascii="Calibri" w:hAnsi="Calibri"/>
                <w:sz w:val="24"/>
                <w:szCs w:val="24"/>
              </w:rPr>
            </w:pPr>
            <w:r>
              <w:rPr>
                <w:rFonts w:ascii="Calibri" w:hAnsi="Calibri"/>
                <w:sz w:val="24"/>
                <w:szCs w:val="24"/>
              </w:rPr>
              <w:t>2</w:t>
            </w:r>
            <w:r w:rsidR="006A3139">
              <w:rPr>
                <w:rFonts w:ascii="Calibri" w:hAnsi="Calibri"/>
                <w:sz w:val="24"/>
                <w:szCs w:val="24"/>
              </w:rPr>
              <w:t xml:space="preserve"> October</w:t>
            </w:r>
            <w:r>
              <w:rPr>
                <w:rFonts w:ascii="Calibri" w:hAnsi="Calibri"/>
                <w:sz w:val="24"/>
                <w:szCs w:val="24"/>
              </w:rPr>
              <w:t xml:space="preserve"> 2023</w:t>
            </w:r>
          </w:p>
        </w:tc>
        <w:tc>
          <w:tcPr>
            <w:tcW w:w="1410" w:type="dxa"/>
          </w:tcPr>
          <w:p w14:paraId="0B12153E" w14:textId="77777777" w:rsidR="004D6A8E" w:rsidRPr="00533C3D" w:rsidRDefault="004D6A8E">
            <w:pPr>
              <w:pStyle w:val="DefaultText"/>
              <w:rPr>
                <w:rFonts w:ascii="Calibri" w:hAnsi="Calibri"/>
                <w:sz w:val="24"/>
                <w:szCs w:val="24"/>
              </w:rPr>
            </w:pPr>
          </w:p>
        </w:tc>
        <w:tc>
          <w:tcPr>
            <w:tcW w:w="1713" w:type="dxa"/>
          </w:tcPr>
          <w:p w14:paraId="4FC5A9F0" w14:textId="77777777" w:rsidR="004D6A8E" w:rsidRPr="00533C3D" w:rsidRDefault="004D6A8E">
            <w:pPr>
              <w:pStyle w:val="DefaultText"/>
              <w:rPr>
                <w:rFonts w:ascii="Calibri" w:hAnsi="Calibri"/>
                <w:sz w:val="24"/>
                <w:szCs w:val="24"/>
              </w:rPr>
            </w:pPr>
          </w:p>
        </w:tc>
        <w:tc>
          <w:tcPr>
            <w:tcW w:w="1713" w:type="dxa"/>
          </w:tcPr>
          <w:p w14:paraId="6D1541CA" w14:textId="77777777" w:rsidR="004D6A8E" w:rsidRPr="00533C3D" w:rsidRDefault="004D6A8E">
            <w:pPr>
              <w:pStyle w:val="DefaultText"/>
              <w:rPr>
                <w:rFonts w:ascii="Calibri" w:hAnsi="Calibri"/>
                <w:sz w:val="24"/>
                <w:szCs w:val="24"/>
              </w:rPr>
            </w:pPr>
          </w:p>
        </w:tc>
      </w:tr>
      <w:tr w:rsidR="004D6A8E" w:rsidRPr="00533C3D" w14:paraId="3A237EB4" w14:textId="77777777">
        <w:trPr>
          <w:cantSplit/>
        </w:trPr>
        <w:tc>
          <w:tcPr>
            <w:tcW w:w="2411" w:type="dxa"/>
          </w:tcPr>
          <w:p w14:paraId="37C7144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B61D171" w14:textId="5CAF751F" w:rsidR="004D6A8E" w:rsidRPr="00533C3D" w:rsidRDefault="00D318DC">
            <w:pPr>
              <w:rPr>
                <w:rFonts w:ascii="Calibri" w:hAnsi="Calibri"/>
                <w:sz w:val="24"/>
                <w:szCs w:val="24"/>
              </w:rPr>
            </w:pPr>
            <w:r>
              <w:rPr>
                <w:rFonts w:ascii="Calibri" w:hAnsi="Calibri"/>
                <w:sz w:val="24"/>
                <w:szCs w:val="24"/>
              </w:rPr>
              <w:t>09/05/2023</w:t>
            </w:r>
          </w:p>
        </w:tc>
        <w:tc>
          <w:tcPr>
            <w:tcW w:w="1410" w:type="dxa"/>
          </w:tcPr>
          <w:p w14:paraId="22ACBA3D" w14:textId="77777777" w:rsidR="004D6A8E" w:rsidRPr="00533C3D" w:rsidRDefault="004D6A8E">
            <w:pPr>
              <w:pStyle w:val="DefaultText"/>
              <w:rPr>
                <w:rFonts w:ascii="Calibri" w:hAnsi="Calibri"/>
                <w:sz w:val="24"/>
                <w:szCs w:val="24"/>
              </w:rPr>
            </w:pPr>
          </w:p>
        </w:tc>
        <w:tc>
          <w:tcPr>
            <w:tcW w:w="1713" w:type="dxa"/>
          </w:tcPr>
          <w:p w14:paraId="57717613" w14:textId="77777777" w:rsidR="004D6A8E" w:rsidRPr="00533C3D" w:rsidRDefault="004D6A8E">
            <w:pPr>
              <w:pStyle w:val="DefaultText"/>
              <w:rPr>
                <w:rFonts w:ascii="Calibri" w:hAnsi="Calibri"/>
                <w:sz w:val="24"/>
                <w:szCs w:val="24"/>
              </w:rPr>
            </w:pPr>
          </w:p>
        </w:tc>
        <w:tc>
          <w:tcPr>
            <w:tcW w:w="1713" w:type="dxa"/>
          </w:tcPr>
          <w:p w14:paraId="36CB8E6B" w14:textId="77777777" w:rsidR="004D6A8E" w:rsidRPr="00533C3D" w:rsidRDefault="004D6A8E">
            <w:pPr>
              <w:pStyle w:val="DefaultText"/>
              <w:rPr>
                <w:rFonts w:ascii="Calibri" w:hAnsi="Calibri"/>
                <w:sz w:val="24"/>
                <w:szCs w:val="24"/>
              </w:rPr>
            </w:pPr>
          </w:p>
        </w:tc>
      </w:tr>
      <w:tr w:rsidR="004D6A8E" w:rsidRPr="00533C3D" w14:paraId="3F97C907" w14:textId="77777777">
        <w:trPr>
          <w:cantSplit/>
        </w:trPr>
        <w:tc>
          <w:tcPr>
            <w:tcW w:w="10416" w:type="dxa"/>
            <w:gridSpan w:val="6"/>
          </w:tcPr>
          <w:p w14:paraId="7EC0A570" w14:textId="77777777" w:rsidR="004D6A8E" w:rsidRPr="00533C3D" w:rsidRDefault="004D6A8E">
            <w:pPr>
              <w:pStyle w:val="DefaultText"/>
              <w:rPr>
                <w:rFonts w:ascii="Calibri" w:hAnsi="Calibri"/>
                <w:sz w:val="24"/>
                <w:szCs w:val="24"/>
              </w:rPr>
            </w:pPr>
          </w:p>
        </w:tc>
      </w:tr>
      <w:tr w:rsidR="004D6A8E" w:rsidRPr="00533C3D" w14:paraId="127F4BF0" w14:textId="77777777">
        <w:trPr>
          <w:cantSplit/>
        </w:trPr>
        <w:tc>
          <w:tcPr>
            <w:tcW w:w="2411" w:type="dxa"/>
          </w:tcPr>
          <w:p w14:paraId="3D07D774"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0E142AC" w14:textId="77777777" w:rsidR="004D6A8E" w:rsidRPr="00533C3D" w:rsidRDefault="004D6A8E">
            <w:pPr>
              <w:pStyle w:val="DefaultText"/>
              <w:rPr>
                <w:rFonts w:ascii="Calibri" w:hAnsi="Calibri"/>
                <w:sz w:val="24"/>
                <w:szCs w:val="24"/>
              </w:rPr>
            </w:pPr>
          </w:p>
        </w:tc>
        <w:tc>
          <w:tcPr>
            <w:tcW w:w="1456" w:type="dxa"/>
          </w:tcPr>
          <w:p w14:paraId="0CC7AFE8" w14:textId="77777777" w:rsidR="004D6A8E" w:rsidRPr="00533C3D" w:rsidRDefault="004D6A8E">
            <w:pPr>
              <w:pStyle w:val="DefaultText"/>
              <w:rPr>
                <w:rFonts w:ascii="Calibri" w:hAnsi="Calibri"/>
                <w:sz w:val="24"/>
                <w:szCs w:val="24"/>
              </w:rPr>
            </w:pPr>
          </w:p>
        </w:tc>
        <w:tc>
          <w:tcPr>
            <w:tcW w:w="1410" w:type="dxa"/>
          </w:tcPr>
          <w:p w14:paraId="63B40EA7"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DA2FF6D" w14:textId="77777777" w:rsidR="004D6A8E" w:rsidRPr="00533C3D" w:rsidRDefault="004D6A8E">
            <w:pPr>
              <w:pStyle w:val="DefaultText"/>
              <w:rPr>
                <w:rFonts w:ascii="Calibri" w:hAnsi="Calibri"/>
                <w:sz w:val="24"/>
                <w:szCs w:val="24"/>
              </w:rPr>
            </w:pPr>
          </w:p>
        </w:tc>
        <w:tc>
          <w:tcPr>
            <w:tcW w:w="1713" w:type="dxa"/>
          </w:tcPr>
          <w:p w14:paraId="412DBB82" w14:textId="77777777" w:rsidR="004D6A8E" w:rsidRPr="00533C3D" w:rsidRDefault="004D6A8E">
            <w:pPr>
              <w:pStyle w:val="DefaultText"/>
              <w:rPr>
                <w:rFonts w:ascii="Calibri" w:hAnsi="Calibri"/>
                <w:sz w:val="24"/>
                <w:szCs w:val="24"/>
              </w:rPr>
            </w:pPr>
          </w:p>
        </w:tc>
      </w:tr>
      <w:tr w:rsidR="004D6A8E" w:rsidRPr="00533C3D" w14:paraId="45E64E20" w14:textId="77777777">
        <w:trPr>
          <w:cantSplit/>
        </w:trPr>
        <w:tc>
          <w:tcPr>
            <w:tcW w:w="4124" w:type="dxa"/>
            <w:gridSpan w:val="2"/>
            <w:vMerge w:val="restart"/>
            <w:tcBorders>
              <w:bottom w:val="single" w:sz="4" w:space="0" w:color="auto"/>
            </w:tcBorders>
          </w:tcPr>
          <w:p w14:paraId="3890E445" w14:textId="5E83BFC8" w:rsidR="004D6A8E" w:rsidRPr="00533C3D" w:rsidRDefault="00D318DC">
            <w:pPr>
              <w:rPr>
                <w:rFonts w:ascii="Calibri" w:hAnsi="Calibri"/>
                <w:sz w:val="24"/>
                <w:szCs w:val="24"/>
              </w:rPr>
            </w:pPr>
            <w:r>
              <w:rPr>
                <w:rFonts w:ascii="Calibri" w:hAnsi="Calibri"/>
                <w:sz w:val="24"/>
                <w:szCs w:val="24"/>
              </w:rPr>
              <w:t>Mr James Alpe</w:t>
            </w:r>
          </w:p>
          <w:p w14:paraId="21CE7A9E" w14:textId="77777777" w:rsidR="00D318DC" w:rsidRDefault="00D318DC">
            <w:pPr>
              <w:rPr>
                <w:rFonts w:ascii="Calibri" w:hAnsi="Calibri"/>
                <w:sz w:val="24"/>
                <w:szCs w:val="24"/>
              </w:rPr>
            </w:pPr>
            <w:r>
              <w:rPr>
                <w:rFonts w:ascii="Calibri" w:hAnsi="Calibri"/>
                <w:sz w:val="24"/>
                <w:szCs w:val="24"/>
              </w:rPr>
              <w:t>A V Developments (</w:t>
            </w:r>
            <w:proofErr w:type="gramStart"/>
            <w:r>
              <w:rPr>
                <w:rFonts w:ascii="Calibri" w:hAnsi="Calibri"/>
                <w:sz w:val="24"/>
                <w:szCs w:val="24"/>
              </w:rPr>
              <w:t>North West</w:t>
            </w:r>
            <w:proofErr w:type="gramEnd"/>
            <w:r>
              <w:rPr>
                <w:rFonts w:ascii="Calibri" w:hAnsi="Calibri"/>
                <w:sz w:val="24"/>
                <w:szCs w:val="24"/>
              </w:rPr>
              <w:t>) Ltd</w:t>
            </w:r>
          </w:p>
          <w:p w14:paraId="625304D3" w14:textId="77777777" w:rsidR="00D318DC" w:rsidRDefault="00D318DC">
            <w:pPr>
              <w:rPr>
                <w:rFonts w:ascii="Calibri" w:hAnsi="Calibri"/>
                <w:sz w:val="24"/>
                <w:szCs w:val="24"/>
              </w:rPr>
            </w:pPr>
            <w:r>
              <w:rPr>
                <w:rFonts w:ascii="Calibri" w:hAnsi="Calibri"/>
                <w:sz w:val="24"/>
                <w:szCs w:val="24"/>
              </w:rPr>
              <w:t>C/o A V Town Planning Ltd</w:t>
            </w:r>
          </w:p>
          <w:p w14:paraId="108F290A" w14:textId="77777777" w:rsidR="00D318DC" w:rsidRDefault="00D318DC">
            <w:pPr>
              <w:rPr>
                <w:rFonts w:ascii="Calibri" w:hAnsi="Calibri"/>
                <w:sz w:val="24"/>
                <w:szCs w:val="24"/>
              </w:rPr>
            </w:pPr>
            <w:r>
              <w:rPr>
                <w:rFonts w:ascii="Calibri" w:hAnsi="Calibri"/>
                <w:sz w:val="24"/>
                <w:szCs w:val="24"/>
              </w:rPr>
              <w:t>Unit 3</w:t>
            </w:r>
          </w:p>
          <w:p w14:paraId="53F35648" w14:textId="77777777" w:rsidR="00D318DC" w:rsidRDefault="00D318DC">
            <w:pPr>
              <w:rPr>
                <w:rFonts w:ascii="Calibri" w:hAnsi="Calibri"/>
                <w:sz w:val="24"/>
                <w:szCs w:val="24"/>
              </w:rPr>
            </w:pPr>
            <w:r>
              <w:rPr>
                <w:rFonts w:ascii="Calibri" w:hAnsi="Calibri"/>
                <w:sz w:val="24"/>
                <w:szCs w:val="24"/>
              </w:rPr>
              <w:t>31 33 Kenyon Road</w:t>
            </w:r>
          </w:p>
          <w:p w14:paraId="31A70CDE" w14:textId="77777777" w:rsidR="00D318DC" w:rsidRDefault="00D318DC">
            <w:pPr>
              <w:rPr>
                <w:rFonts w:ascii="Calibri" w:hAnsi="Calibri"/>
                <w:sz w:val="24"/>
                <w:szCs w:val="24"/>
              </w:rPr>
            </w:pPr>
            <w:proofErr w:type="spellStart"/>
            <w:r>
              <w:rPr>
                <w:rFonts w:ascii="Calibri" w:hAnsi="Calibri"/>
                <w:sz w:val="24"/>
                <w:szCs w:val="24"/>
              </w:rPr>
              <w:t>Lomeshaye</w:t>
            </w:r>
            <w:proofErr w:type="spellEnd"/>
          </w:p>
          <w:p w14:paraId="158A13E8" w14:textId="77777777" w:rsidR="00D318DC" w:rsidRDefault="00D318DC">
            <w:pPr>
              <w:rPr>
                <w:rFonts w:ascii="Calibri" w:hAnsi="Calibri"/>
                <w:sz w:val="24"/>
                <w:szCs w:val="24"/>
              </w:rPr>
            </w:pPr>
            <w:r>
              <w:rPr>
                <w:rFonts w:ascii="Calibri" w:hAnsi="Calibri"/>
                <w:sz w:val="24"/>
                <w:szCs w:val="24"/>
              </w:rPr>
              <w:t xml:space="preserve">Nelson </w:t>
            </w:r>
          </w:p>
          <w:p w14:paraId="2991F9BE" w14:textId="6D2A69B2" w:rsidR="004D6A8E" w:rsidRPr="00533C3D" w:rsidRDefault="00D318DC">
            <w:pPr>
              <w:rPr>
                <w:rFonts w:ascii="Calibri" w:hAnsi="Calibri"/>
                <w:sz w:val="24"/>
                <w:szCs w:val="24"/>
              </w:rPr>
            </w:pPr>
            <w:r>
              <w:rPr>
                <w:rFonts w:ascii="Calibri" w:hAnsi="Calibri"/>
                <w:sz w:val="24"/>
                <w:szCs w:val="24"/>
              </w:rPr>
              <w:t>BB9 5SZ</w:t>
            </w:r>
          </w:p>
        </w:tc>
        <w:tc>
          <w:tcPr>
            <w:tcW w:w="1456" w:type="dxa"/>
          </w:tcPr>
          <w:p w14:paraId="6026BD39"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9360D52" w14:textId="22F6FAA6" w:rsidR="004D6A8E" w:rsidRPr="00533C3D" w:rsidRDefault="00D318DC">
            <w:pPr>
              <w:jc w:val="left"/>
              <w:rPr>
                <w:rFonts w:ascii="Calibri" w:hAnsi="Calibri"/>
                <w:sz w:val="24"/>
                <w:szCs w:val="24"/>
              </w:rPr>
            </w:pPr>
            <w:r>
              <w:rPr>
                <w:rFonts w:ascii="Calibri" w:hAnsi="Calibri"/>
                <w:sz w:val="24"/>
                <w:szCs w:val="24"/>
              </w:rPr>
              <w:t xml:space="preserve">Mr </w:t>
            </w:r>
            <w:proofErr w:type="gramStart"/>
            <w:r>
              <w:rPr>
                <w:rFonts w:ascii="Calibri" w:hAnsi="Calibri"/>
                <w:sz w:val="24"/>
                <w:szCs w:val="24"/>
              </w:rPr>
              <w:t>A Kinder</w:t>
            </w:r>
            <w:proofErr w:type="gramEnd"/>
          </w:p>
          <w:p w14:paraId="4FE92ACE" w14:textId="77777777" w:rsidR="00D318DC" w:rsidRDefault="00D318DC">
            <w:pPr>
              <w:jc w:val="left"/>
              <w:rPr>
                <w:rFonts w:ascii="Calibri" w:hAnsi="Calibri"/>
                <w:sz w:val="24"/>
                <w:szCs w:val="24"/>
              </w:rPr>
            </w:pPr>
            <w:r>
              <w:rPr>
                <w:rFonts w:ascii="Calibri" w:hAnsi="Calibri"/>
                <w:sz w:val="24"/>
                <w:szCs w:val="24"/>
              </w:rPr>
              <w:t>AV Town Planning Ltd</w:t>
            </w:r>
          </w:p>
          <w:p w14:paraId="2F2793A0" w14:textId="77777777" w:rsidR="00D318DC" w:rsidRDefault="00D318DC">
            <w:pPr>
              <w:jc w:val="left"/>
              <w:rPr>
                <w:rFonts w:ascii="Calibri" w:hAnsi="Calibri"/>
                <w:sz w:val="24"/>
                <w:szCs w:val="24"/>
              </w:rPr>
            </w:pPr>
            <w:r>
              <w:rPr>
                <w:rFonts w:ascii="Calibri" w:hAnsi="Calibri"/>
                <w:sz w:val="24"/>
                <w:szCs w:val="24"/>
              </w:rPr>
              <w:t>Unit 3</w:t>
            </w:r>
          </w:p>
          <w:p w14:paraId="56FFC41D" w14:textId="77777777" w:rsidR="00D318DC" w:rsidRDefault="00D318DC">
            <w:pPr>
              <w:jc w:val="left"/>
              <w:rPr>
                <w:rFonts w:ascii="Calibri" w:hAnsi="Calibri"/>
                <w:sz w:val="24"/>
                <w:szCs w:val="24"/>
              </w:rPr>
            </w:pPr>
            <w:r>
              <w:rPr>
                <w:rFonts w:ascii="Calibri" w:hAnsi="Calibri"/>
                <w:sz w:val="24"/>
                <w:szCs w:val="24"/>
              </w:rPr>
              <w:t>31-33 Kenyon Road</w:t>
            </w:r>
          </w:p>
          <w:p w14:paraId="5B59CD69" w14:textId="77777777" w:rsidR="00D318DC" w:rsidRDefault="00D318DC">
            <w:pPr>
              <w:jc w:val="left"/>
              <w:rPr>
                <w:rFonts w:ascii="Calibri" w:hAnsi="Calibri"/>
                <w:sz w:val="24"/>
                <w:szCs w:val="24"/>
              </w:rPr>
            </w:pPr>
            <w:proofErr w:type="spellStart"/>
            <w:r>
              <w:rPr>
                <w:rFonts w:ascii="Calibri" w:hAnsi="Calibri"/>
                <w:sz w:val="24"/>
                <w:szCs w:val="24"/>
              </w:rPr>
              <w:t>Lomeshaye</w:t>
            </w:r>
            <w:proofErr w:type="spellEnd"/>
          </w:p>
          <w:p w14:paraId="2B9EEA72" w14:textId="77777777" w:rsidR="00D318DC" w:rsidRDefault="00D318DC">
            <w:pPr>
              <w:jc w:val="left"/>
              <w:rPr>
                <w:rFonts w:ascii="Calibri" w:hAnsi="Calibri"/>
                <w:sz w:val="24"/>
                <w:szCs w:val="24"/>
              </w:rPr>
            </w:pPr>
            <w:r>
              <w:rPr>
                <w:rFonts w:ascii="Calibri" w:hAnsi="Calibri"/>
                <w:sz w:val="24"/>
                <w:szCs w:val="24"/>
              </w:rPr>
              <w:t>Nelson</w:t>
            </w:r>
          </w:p>
          <w:p w14:paraId="39A9E5EB" w14:textId="0A94D815" w:rsidR="004D6A8E" w:rsidRPr="00533C3D" w:rsidRDefault="00D318DC">
            <w:pPr>
              <w:jc w:val="left"/>
              <w:rPr>
                <w:rFonts w:ascii="Calibri" w:hAnsi="Calibri"/>
                <w:sz w:val="24"/>
                <w:szCs w:val="24"/>
              </w:rPr>
            </w:pPr>
            <w:r>
              <w:rPr>
                <w:rFonts w:ascii="Calibri" w:hAnsi="Calibri"/>
                <w:sz w:val="24"/>
                <w:szCs w:val="24"/>
              </w:rPr>
              <w:t>BB9 5SZ</w:t>
            </w:r>
          </w:p>
        </w:tc>
      </w:tr>
      <w:tr w:rsidR="004D6A8E" w:rsidRPr="00533C3D" w14:paraId="6599DA74" w14:textId="77777777">
        <w:trPr>
          <w:cantSplit/>
        </w:trPr>
        <w:tc>
          <w:tcPr>
            <w:tcW w:w="4124" w:type="dxa"/>
            <w:gridSpan w:val="2"/>
            <w:vMerge/>
            <w:tcBorders>
              <w:bottom w:val="single" w:sz="4" w:space="0" w:color="auto"/>
            </w:tcBorders>
          </w:tcPr>
          <w:p w14:paraId="2F4FEEBA" w14:textId="77777777" w:rsidR="004D6A8E" w:rsidRPr="00533C3D" w:rsidRDefault="004D6A8E">
            <w:pPr>
              <w:pStyle w:val="DefaultText"/>
              <w:rPr>
                <w:rFonts w:ascii="Calibri" w:hAnsi="Calibri"/>
                <w:sz w:val="24"/>
                <w:szCs w:val="24"/>
              </w:rPr>
            </w:pPr>
          </w:p>
        </w:tc>
        <w:tc>
          <w:tcPr>
            <w:tcW w:w="1456" w:type="dxa"/>
          </w:tcPr>
          <w:p w14:paraId="28862BE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E4E86E5" w14:textId="77777777" w:rsidR="004D6A8E" w:rsidRPr="00533C3D" w:rsidRDefault="004D6A8E">
            <w:pPr>
              <w:pStyle w:val="DefaultText"/>
              <w:rPr>
                <w:rFonts w:ascii="Calibri" w:hAnsi="Calibri"/>
                <w:sz w:val="24"/>
                <w:szCs w:val="24"/>
              </w:rPr>
            </w:pPr>
          </w:p>
        </w:tc>
      </w:tr>
      <w:tr w:rsidR="004D6A8E" w:rsidRPr="00533C3D" w14:paraId="5C30B250" w14:textId="77777777">
        <w:trPr>
          <w:cantSplit/>
        </w:trPr>
        <w:tc>
          <w:tcPr>
            <w:tcW w:w="4124" w:type="dxa"/>
            <w:gridSpan w:val="2"/>
            <w:vMerge/>
            <w:tcBorders>
              <w:bottom w:val="single" w:sz="4" w:space="0" w:color="auto"/>
            </w:tcBorders>
          </w:tcPr>
          <w:p w14:paraId="5A5E771F" w14:textId="77777777" w:rsidR="004D6A8E" w:rsidRPr="00533C3D" w:rsidRDefault="004D6A8E">
            <w:pPr>
              <w:pStyle w:val="DefaultText"/>
              <w:rPr>
                <w:rFonts w:ascii="Calibri" w:hAnsi="Calibri"/>
                <w:sz w:val="24"/>
                <w:szCs w:val="24"/>
              </w:rPr>
            </w:pPr>
          </w:p>
        </w:tc>
        <w:tc>
          <w:tcPr>
            <w:tcW w:w="1456" w:type="dxa"/>
          </w:tcPr>
          <w:p w14:paraId="750CB81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3FEAC9D" w14:textId="77777777" w:rsidR="004D6A8E" w:rsidRPr="00533C3D" w:rsidRDefault="004D6A8E">
            <w:pPr>
              <w:pStyle w:val="DefaultText"/>
              <w:rPr>
                <w:rFonts w:ascii="Calibri" w:hAnsi="Calibri"/>
                <w:sz w:val="24"/>
                <w:szCs w:val="24"/>
              </w:rPr>
            </w:pPr>
          </w:p>
        </w:tc>
      </w:tr>
      <w:tr w:rsidR="004D6A8E" w:rsidRPr="00533C3D" w14:paraId="6438E7FB" w14:textId="77777777">
        <w:trPr>
          <w:cantSplit/>
        </w:trPr>
        <w:tc>
          <w:tcPr>
            <w:tcW w:w="4124" w:type="dxa"/>
            <w:gridSpan w:val="2"/>
            <w:vMerge/>
            <w:tcBorders>
              <w:bottom w:val="single" w:sz="4" w:space="0" w:color="auto"/>
            </w:tcBorders>
          </w:tcPr>
          <w:p w14:paraId="53359881" w14:textId="77777777" w:rsidR="004D6A8E" w:rsidRPr="00533C3D" w:rsidRDefault="004D6A8E">
            <w:pPr>
              <w:pStyle w:val="DefaultText"/>
              <w:rPr>
                <w:rFonts w:ascii="Calibri" w:hAnsi="Calibri"/>
                <w:sz w:val="24"/>
                <w:szCs w:val="24"/>
              </w:rPr>
            </w:pPr>
          </w:p>
        </w:tc>
        <w:tc>
          <w:tcPr>
            <w:tcW w:w="1456" w:type="dxa"/>
          </w:tcPr>
          <w:p w14:paraId="4A2866D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AFE98CF" w14:textId="77777777" w:rsidR="004D6A8E" w:rsidRPr="00533C3D" w:rsidRDefault="004D6A8E">
            <w:pPr>
              <w:pStyle w:val="DefaultText"/>
              <w:rPr>
                <w:rFonts w:ascii="Calibri" w:hAnsi="Calibri"/>
                <w:sz w:val="24"/>
                <w:szCs w:val="24"/>
              </w:rPr>
            </w:pPr>
          </w:p>
        </w:tc>
      </w:tr>
      <w:tr w:rsidR="004D6A8E" w:rsidRPr="00533C3D" w14:paraId="7EE7B000" w14:textId="77777777">
        <w:trPr>
          <w:cantSplit/>
        </w:trPr>
        <w:tc>
          <w:tcPr>
            <w:tcW w:w="4124" w:type="dxa"/>
            <w:gridSpan w:val="2"/>
            <w:vMerge/>
            <w:tcBorders>
              <w:bottom w:val="single" w:sz="4" w:space="0" w:color="auto"/>
            </w:tcBorders>
          </w:tcPr>
          <w:p w14:paraId="76287D85"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A64426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353BF88" w14:textId="77777777" w:rsidR="004D6A8E" w:rsidRPr="00533C3D" w:rsidRDefault="004D6A8E">
            <w:pPr>
              <w:pStyle w:val="DefaultText"/>
              <w:rPr>
                <w:rFonts w:ascii="Calibri" w:hAnsi="Calibri"/>
                <w:sz w:val="24"/>
                <w:szCs w:val="24"/>
              </w:rPr>
            </w:pPr>
          </w:p>
        </w:tc>
      </w:tr>
    </w:tbl>
    <w:p w14:paraId="1957E9E9"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841"/>
        <w:gridCol w:w="152"/>
        <w:gridCol w:w="1314"/>
        <w:gridCol w:w="1187"/>
        <w:gridCol w:w="1466"/>
        <w:gridCol w:w="1466"/>
        <w:gridCol w:w="3730"/>
        <w:gridCol w:w="290"/>
      </w:tblGrid>
      <w:tr w:rsidR="004D6A8E" w:rsidRPr="00533C3D" w14:paraId="4CA5A579" w14:textId="77777777" w:rsidTr="006A3139">
        <w:trPr>
          <w:gridAfter w:val="1"/>
          <w:wAfter w:w="290" w:type="dxa"/>
          <w:cantSplit/>
        </w:trPr>
        <w:tc>
          <w:tcPr>
            <w:tcW w:w="3494" w:type="dxa"/>
            <w:gridSpan w:val="4"/>
          </w:tcPr>
          <w:p w14:paraId="5CB5578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3EAAAC2" w14:textId="2ABB6182" w:rsidR="004D6A8E" w:rsidRPr="00533C3D" w:rsidRDefault="00D318DC">
            <w:pPr>
              <w:rPr>
                <w:rFonts w:ascii="Calibri" w:hAnsi="Calibri"/>
                <w:sz w:val="24"/>
                <w:szCs w:val="24"/>
              </w:rPr>
            </w:pPr>
            <w:r>
              <w:rPr>
                <w:rFonts w:ascii="Calibri" w:hAnsi="Calibri"/>
                <w:sz w:val="24"/>
                <w:szCs w:val="24"/>
              </w:rPr>
              <w:t xml:space="preserve">Construction of a pair of semi-detached dwellings as a change of house type to the single </w:t>
            </w:r>
            <w:proofErr w:type="gramStart"/>
            <w:r>
              <w:rPr>
                <w:rFonts w:ascii="Calibri" w:hAnsi="Calibri"/>
                <w:sz w:val="24"/>
                <w:szCs w:val="24"/>
              </w:rPr>
              <w:t>large detached</w:t>
            </w:r>
            <w:proofErr w:type="gramEnd"/>
            <w:r>
              <w:rPr>
                <w:rFonts w:ascii="Calibri" w:hAnsi="Calibri"/>
                <w:sz w:val="24"/>
                <w:szCs w:val="24"/>
              </w:rPr>
              <w:t xml:space="preserve"> dwelling on Plot 1 previously approved on application 3/2019/1103.</w:t>
            </w:r>
          </w:p>
        </w:tc>
      </w:tr>
      <w:tr w:rsidR="004D6A8E" w:rsidRPr="00533C3D" w14:paraId="392EF342" w14:textId="77777777" w:rsidTr="006A3139">
        <w:trPr>
          <w:gridAfter w:val="1"/>
          <w:wAfter w:w="290" w:type="dxa"/>
          <w:cantSplit/>
        </w:trPr>
        <w:tc>
          <w:tcPr>
            <w:tcW w:w="841" w:type="dxa"/>
          </w:tcPr>
          <w:p w14:paraId="09C9FA5D"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4966860" w14:textId="02E981B8" w:rsidR="004D6A8E" w:rsidRPr="00533C3D" w:rsidRDefault="00D318DC">
            <w:pPr>
              <w:rPr>
                <w:rFonts w:ascii="Calibri" w:hAnsi="Calibri"/>
                <w:sz w:val="24"/>
                <w:szCs w:val="24"/>
              </w:rPr>
            </w:pPr>
            <w:r>
              <w:rPr>
                <w:rFonts w:ascii="Calibri" w:hAnsi="Calibri"/>
                <w:sz w:val="24"/>
                <w:szCs w:val="24"/>
              </w:rPr>
              <w:t>Twin Brook Farm Up Brooks Clitheroe BB7 1PL</w:t>
            </w:r>
          </w:p>
        </w:tc>
      </w:tr>
      <w:tr w:rsidR="004D6A8E" w:rsidRPr="00533C3D" w14:paraId="2BACFB09" w14:textId="77777777" w:rsidTr="006A3139">
        <w:trPr>
          <w:gridAfter w:val="1"/>
          <w:wAfter w:w="290" w:type="dxa"/>
          <w:cantSplit/>
        </w:trPr>
        <w:tc>
          <w:tcPr>
            <w:tcW w:w="10156" w:type="dxa"/>
            <w:gridSpan w:val="7"/>
          </w:tcPr>
          <w:p w14:paraId="5936F049"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1BA8D139" w14:textId="77777777" w:rsidTr="006A3139">
        <w:trPr>
          <w:gridAfter w:val="1"/>
          <w:wAfter w:w="290" w:type="dxa"/>
          <w:cantSplit/>
        </w:trPr>
        <w:tc>
          <w:tcPr>
            <w:tcW w:w="993" w:type="dxa"/>
            <w:gridSpan w:val="2"/>
          </w:tcPr>
          <w:p w14:paraId="26274BEF" w14:textId="487A93B3" w:rsidR="004D6A8E" w:rsidRPr="00533C3D" w:rsidRDefault="00D318DC">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364B86D" w14:textId="77777777" w:rsidR="00D318DC" w:rsidRDefault="00D318DC">
            <w:pPr>
              <w:rPr>
                <w:rFonts w:ascii="Calibri" w:hAnsi="Calibri"/>
                <w:sz w:val="24"/>
                <w:szCs w:val="24"/>
              </w:rPr>
            </w:pPr>
          </w:p>
          <w:p w14:paraId="5491F1B0" w14:textId="77777777" w:rsidR="00D318DC" w:rsidRDefault="00D318DC">
            <w:pPr>
              <w:rPr>
                <w:rFonts w:ascii="Calibri" w:hAnsi="Calibri"/>
                <w:sz w:val="24"/>
                <w:szCs w:val="24"/>
              </w:rPr>
            </w:pPr>
            <w:r>
              <w:rPr>
                <w:rFonts w:ascii="Calibri" w:hAnsi="Calibri"/>
                <w:sz w:val="24"/>
                <w:szCs w:val="24"/>
              </w:rPr>
              <w:t>The proposal is in direct conflict with Policy DME6 of the Ribble Valley Core Strategy and Paragraph 167 of the National Planning Policy Framework insofar that the submitted Flood Risk Assessment does not comply with the requirements for site-specific flood risk assessments, as set out in the Flood Risk and Coastal Change section of the planning practice guidance (PPG) in that it has not been adequately demonstrated that the  development would be safe without exacerbating flood risk elsewhere if the proposed flood risk mitigation measures are implemented.</w:t>
            </w:r>
          </w:p>
          <w:p w14:paraId="43576471" w14:textId="77777777" w:rsidR="00D318DC" w:rsidRDefault="00D318DC">
            <w:pPr>
              <w:rPr>
                <w:rFonts w:ascii="Calibri" w:hAnsi="Calibri"/>
                <w:sz w:val="24"/>
                <w:szCs w:val="24"/>
              </w:rPr>
            </w:pPr>
          </w:p>
          <w:p w14:paraId="280423BF" w14:textId="77777777" w:rsidR="004D6A8E" w:rsidRDefault="004D6A8E">
            <w:pPr>
              <w:rPr>
                <w:rFonts w:ascii="Calibri" w:hAnsi="Calibri"/>
                <w:sz w:val="24"/>
                <w:szCs w:val="24"/>
              </w:rPr>
            </w:pPr>
          </w:p>
          <w:p w14:paraId="7E5CAC6A" w14:textId="77777777" w:rsidR="006A3139" w:rsidRDefault="006A3139">
            <w:pPr>
              <w:rPr>
                <w:rFonts w:ascii="Calibri" w:hAnsi="Calibri"/>
                <w:sz w:val="24"/>
                <w:szCs w:val="24"/>
              </w:rPr>
            </w:pPr>
          </w:p>
          <w:p w14:paraId="354D0E24" w14:textId="77777777" w:rsidR="006A3139" w:rsidRDefault="006A3139">
            <w:pPr>
              <w:rPr>
                <w:rFonts w:ascii="Calibri" w:hAnsi="Calibri"/>
                <w:sz w:val="24"/>
                <w:szCs w:val="24"/>
              </w:rPr>
            </w:pPr>
          </w:p>
          <w:p w14:paraId="54CC2DB0" w14:textId="77777777" w:rsidR="006A3139" w:rsidRDefault="006A3139">
            <w:pPr>
              <w:rPr>
                <w:rFonts w:ascii="Calibri" w:hAnsi="Calibri"/>
                <w:sz w:val="24"/>
                <w:szCs w:val="24"/>
              </w:rPr>
            </w:pPr>
          </w:p>
          <w:p w14:paraId="326DEB2D" w14:textId="77777777" w:rsidR="006A3139" w:rsidRDefault="006A3139">
            <w:pPr>
              <w:rPr>
                <w:rFonts w:ascii="Calibri" w:hAnsi="Calibri"/>
                <w:sz w:val="24"/>
                <w:szCs w:val="24"/>
              </w:rPr>
            </w:pPr>
          </w:p>
          <w:p w14:paraId="6E15D807" w14:textId="77777777" w:rsidR="006A3139" w:rsidRDefault="006A3139">
            <w:pPr>
              <w:rPr>
                <w:rFonts w:ascii="Calibri" w:hAnsi="Calibri"/>
                <w:sz w:val="24"/>
                <w:szCs w:val="24"/>
              </w:rPr>
            </w:pPr>
          </w:p>
          <w:p w14:paraId="4C98C420" w14:textId="56CC03BA" w:rsidR="006A3139" w:rsidRPr="00533C3D" w:rsidRDefault="006A3139" w:rsidP="006A3139">
            <w:pPr>
              <w:jc w:val="right"/>
              <w:rPr>
                <w:rFonts w:ascii="Calibri" w:hAnsi="Calibri"/>
                <w:sz w:val="24"/>
                <w:szCs w:val="24"/>
              </w:rPr>
            </w:pPr>
            <w:r>
              <w:rPr>
                <w:rFonts w:ascii="Calibri" w:hAnsi="Calibri"/>
                <w:sz w:val="24"/>
                <w:szCs w:val="24"/>
              </w:rPr>
              <w:t>P.T.O.</w:t>
            </w:r>
          </w:p>
        </w:tc>
      </w:tr>
      <w:tr w:rsidR="004D6A8E" w:rsidRPr="00533C3D" w14:paraId="30A8FC9F" w14:textId="77777777" w:rsidTr="006A3139">
        <w:trPr>
          <w:gridAfter w:val="1"/>
          <w:wAfter w:w="290" w:type="dxa"/>
          <w:cantSplit/>
        </w:trPr>
        <w:tc>
          <w:tcPr>
            <w:tcW w:w="993" w:type="dxa"/>
            <w:gridSpan w:val="2"/>
          </w:tcPr>
          <w:p w14:paraId="366F4A21" w14:textId="218103C2" w:rsidR="004D6A8E" w:rsidRPr="00533C3D" w:rsidRDefault="00D318DC">
            <w:pPr>
              <w:rPr>
                <w:rFonts w:ascii="Calibri" w:hAnsi="Calibri"/>
                <w:sz w:val="24"/>
                <w:szCs w:val="24"/>
              </w:rPr>
            </w:pPr>
            <w:r>
              <w:rPr>
                <w:rFonts w:ascii="Calibri" w:hAnsi="Calibri"/>
                <w:sz w:val="24"/>
                <w:szCs w:val="24"/>
              </w:rPr>
              <w:lastRenderedPageBreak/>
              <w:t>2</w:t>
            </w:r>
          </w:p>
        </w:tc>
        <w:tc>
          <w:tcPr>
            <w:tcW w:w="9163" w:type="dxa"/>
            <w:gridSpan w:val="5"/>
          </w:tcPr>
          <w:p w14:paraId="667BA655" w14:textId="17C69DD5" w:rsidR="004D6A8E" w:rsidRPr="00533C3D" w:rsidRDefault="00D318DC">
            <w:pPr>
              <w:rPr>
                <w:rFonts w:ascii="Calibri" w:hAnsi="Calibri"/>
                <w:sz w:val="24"/>
                <w:szCs w:val="24"/>
              </w:rPr>
            </w:pPr>
            <w:r>
              <w:rPr>
                <w:rFonts w:ascii="Calibri" w:hAnsi="Calibri"/>
                <w:sz w:val="24"/>
                <w:szCs w:val="24"/>
              </w:rPr>
              <w:t>The proposed development would constitute inappropriate development in an area at risk of flooding as the proposed application site falls within Flood Zone 3 and inadequate evidence has been submitted to show that there are no reasonably available sites appropriate for the proposed development in areas with a lower probability of flooding. This would not steer development to areas with the lowest probability of flooding, thereby increasing the number of people and properties at risk from flooding and fail the Sequential Test, which is contrary to section 10 of the National Planning Policy Framework and the National Planning Policy Guidance 'Flood Risk and Coastal Change' as well as Policy DME6 of the Ribble Valley Core Strategy.</w:t>
            </w:r>
          </w:p>
        </w:tc>
      </w:tr>
      <w:tr w:rsidR="00BF7ED8" w:rsidRPr="00533C3D" w14:paraId="7BE963DF" w14:textId="77777777" w:rsidTr="006A3139">
        <w:trPr>
          <w:gridAfter w:val="1"/>
          <w:wAfter w:w="290" w:type="dxa"/>
          <w:cantSplit/>
          <w:trHeight w:val="3653"/>
        </w:trPr>
        <w:tc>
          <w:tcPr>
            <w:tcW w:w="993" w:type="dxa"/>
            <w:gridSpan w:val="2"/>
          </w:tcPr>
          <w:p w14:paraId="5DF02F42" w14:textId="6D79F91F" w:rsidR="00BF7ED8" w:rsidRPr="00533C3D" w:rsidRDefault="00D318DC">
            <w:pPr>
              <w:rPr>
                <w:rFonts w:ascii="Calibri" w:hAnsi="Calibri"/>
                <w:sz w:val="24"/>
                <w:szCs w:val="24"/>
              </w:rPr>
            </w:pPr>
            <w:r>
              <w:rPr>
                <w:rFonts w:ascii="Calibri" w:hAnsi="Calibri"/>
                <w:sz w:val="24"/>
                <w:szCs w:val="24"/>
              </w:rPr>
              <w:t>3</w:t>
            </w:r>
          </w:p>
        </w:tc>
        <w:tc>
          <w:tcPr>
            <w:tcW w:w="9163" w:type="dxa"/>
            <w:gridSpan w:val="5"/>
          </w:tcPr>
          <w:p w14:paraId="0D1E06CA" w14:textId="77777777" w:rsidR="00D318DC" w:rsidRDefault="00D318DC">
            <w:pPr>
              <w:rPr>
                <w:rFonts w:ascii="Calibri" w:hAnsi="Calibri"/>
                <w:sz w:val="24"/>
                <w:szCs w:val="24"/>
              </w:rPr>
            </w:pPr>
          </w:p>
          <w:p w14:paraId="0E580D0A" w14:textId="77777777" w:rsidR="00D318DC" w:rsidRDefault="00D318DC">
            <w:pPr>
              <w:rPr>
                <w:rFonts w:ascii="Calibri" w:hAnsi="Calibri"/>
                <w:sz w:val="24"/>
                <w:szCs w:val="24"/>
              </w:rPr>
            </w:pPr>
            <w:r>
              <w:rPr>
                <w:rFonts w:ascii="Calibri" w:hAnsi="Calibri"/>
                <w:sz w:val="24"/>
                <w:szCs w:val="24"/>
              </w:rPr>
              <w:t>The proposal would result in a significant unsympathetic overbearing impact upon the residential garden area associated with 'Twin Brook Barn', by virtue of the proposed buildings height, scale, proximity to the northern shared boundary and presence of raised 'walkways/ramps'.  In this respect it is considered that the sense of enjoyment and privacy afforded to occupiers of the affected existing dwelling would be significantly compromised resulting in an unacceptable level of residential amenity.</w:t>
            </w:r>
          </w:p>
          <w:p w14:paraId="017E4BBF" w14:textId="77777777" w:rsidR="00D318DC" w:rsidRDefault="00D318DC">
            <w:pPr>
              <w:rPr>
                <w:rFonts w:ascii="Calibri" w:hAnsi="Calibri"/>
                <w:sz w:val="24"/>
                <w:szCs w:val="24"/>
              </w:rPr>
            </w:pPr>
          </w:p>
          <w:p w14:paraId="643EFB12" w14:textId="77777777" w:rsidR="00D318DC" w:rsidRDefault="00D318DC">
            <w:pPr>
              <w:rPr>
                <w:rFonts w:ascii="Calibri" w:hAnsi="Calibri"/>
                <w:sz w:val="24"/>
                <w:szCs w:val="24"/>
              </w:rPr>
            </w:pPr>
            <w:r>
              <w:rPr>
                <w:rFonts w:ascii="Calibri" w:hAnsi="Calibri"/>
                <w:sz w:val="24"/>
                <w:szCs w:val="24"/>
              </w:rPr>
              <w:t xml:space="preserve">As such the proposal </w:t>
            </w:r>
            <w:proofErr w:type="gramStart"/>
            <w:r>
              <w:rPr>
                <w:rFonts w:ascii="Calibri" w:hAnsi="Calibri"/>
                <w:sz w:val="24"/>
                <w:szCs w:val="24"/>
              </w:rPr>
              <w:t>is considered to be</w:t>
            </w:r>
            <w:proofErr w:type="gramEnd"/>
            <w:r>
              <w:rPr>
                <w:rFonts w:ascii="Calibri" w:hAnsi="Calibri"/>
                <w:sz w:val="24"/>
                <w:szCs w:val="24"/>
              </w:rPr>
              <w:t xml:space="preserve"> in significant direct conflict with the aims and objectives of Policy DMG1 of the Ribble Valley Core Strategy.</w:t>
            </w:r>
          </w:p>
          <w:p w14:paraId="3D25120B" w14:textId="77777777" w:rsidR="00D318DC" w:rsidRDefault="00D318DC">
            <w:pPr>
              <w:rPr>
                <w:rFonts w:ascii="Calibri" w:hAnsi="Calibri"/>
                <w:sz w:val="24"/>
                <w:szCs w:val="24"/>
              </w:rPr>
            </w:pPr>
          </w:p>
          <w:p w14:paraId="6251EC76" w14:textId="5F32DBBF" w:rsidR="00BF7ED8" w:rsidRPr="00533C3D" w:rsidRDefault="00BF7ED8">
            <w:pPr>
              <w:rPr>
                <w:rFonts w:ascii="Calibri" w:hAnsi="Calibri"/>
                <w:sz w:val="24"/>
                <w:szCs w:val="24"/>
              </w:rPr>
            </w:pPr>
          </w:p>
        </w:tc>
      </w:tr>
      <w:bookmarkEnd w:id="0"/>
      <w:tr w:rsidR="004D6A8E" w:rsidRPr="00533C3D" w14:paraId="09D42BBB" w14:textId="77777777" w:rsidTr="006A3139">
        <w:trPr>
          <w:gridAfter w:val="1"/>
          <w:wAfter w:w="290" w:type="dxa"/>
          <w:cantSplit/>
        </w:trPr>
        <w:tc>
          <w:tcPr>
            <w:tcW w:w="993" w:type="dxa"/>
            <w:gridSpan w:val="2"/>
          </w:tcPr>
          <w:p w14:paraId="53C14EDB"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39FB073B" w14:textId="77777777" w:rsidR="004D6A8E" w:rsidRPr="00533C3D" w:rsidRDefault="004D6A8E">
            <w:pPr>
              <w:rPr>
                <w:rFonts w:ascii="Calibri" w:hAnsi="Calibri"/>
                <w:sz w:val="24"/>
                <w:szCs w:val="24"/>
              </w:rPr>
            </w:pPr>
          </w:p>
        </w:tc>
        <w:tc>
          <w:tcPr>
            <w:tcW w:w="1187" w:type="dxa"/>
          </w:tcPr>
          <w:p w14:paraId="6E513A9F" w14:textId="77777777" w:rsidR="004D6A8E" w:rsidRPr="00533C3D" w:rsidRDefault="004D6A8E">
            <w:pPr>
              <w:rPr>
                <w:rFonts w:ascii="Calibri" w:hAnsi="Calibri"/>
                <w:sz w:val="24"/>
                <w:szCs w:val="24"/>
              </w:rPr>
            </w:pPr>
          </w:p>
        </w:tc>
        <w:tc>
          <w:tcPr>
            <w:tcW w:w="1466" w:type="dxa"/>
          </w:tcPr>
          <w:p w14:paraId="3D42DDF2" w14:textId="77777777" w:rsidR="004D6A8E" w:rsidRPr="00533C3D" w:rsidRDefault="004D6A8E">
            <w:pPr>
              <w:rPr>
                <w:rFonts w:ascii="Calibri" w:hAnsi="Calibri"/>
                <w:sz w:val="24"/>
                <w:szCs w:val="24"/>
              </w:rPr>
            </w:pPr>
          </w:p>
        </w:tc>
        <w:tc>
          <w:tcPr>
            <w:tcW w:w="1466" w:type="dxa"/>
          </w:tcPr>
          <w:p w14:paraId="4949743D" w14:textId="77777777" w:rsidR="004D6A8E" w:rsidRPr="00533C3D" w:rsidRDefault="004D6A8E">
            <w:pPr>
              <w:rPr>
                <w:rFonts w:ascii="Calibri" w:hAnsi="Calibri"/>
                <w:sz w:val="24"/>
                <w:szCs w:val="24"/>
              </w:rPr>
            </w:pPr>
          </w:p>
        </w:tc>
        <w:tc>
          <w:tcPr>
            <w:tcW w:w="3730" w:type="dxa"/>
          </w:tcPr>
          <w:p w14:paraId="21FD3482" w14:textId="77777777" w:rsidR="004D6A8E" w:rsidRPr="00533C3D" w:rsidRDefault="004D6A8E">
            <w:pPr>
              <w:rPr>
                <w:rFonts w:ascii="Calibri" w:hAnsi="Calibri"/>
                <w:sz w:val="24"/>
                <w:szCs w:val="24"/>
              </w:rPr>
            </w:pPr>
          </w:p>
        </w:tc>
      </w:tr>
      <w:tr w:rsidR="004D6A8E" w:rsidRPr="00533C3D" w14:paraId="5FB4952E" w14:textId="77777777" w:rsidTr="006A3139">
        <w:trPr>
          <w:gridAfter w:val="1"/>
          <w:wAfter w:w="290" w:type="dxa"/>
          <w:cantSplit/>
        </w:trPr>
        <w:tc>
          <w:tcPr>
            <w:tcW w:w="993" w:type="dxa"/>
            <w:gridSpan w:val="2"/>
          </w:tcPr>
          <w:p w14:paraId="7DA706D4" w14:textId="77777777" w:rsidR="004D6A8E" w:rsidRDefault="004D6A8E">
            <w:pPr>
              <w:rPr>
                <w:rFonts w:ascii="Calibri" w:hAnsi="Calibri"/>
                <w:sz w:val="24"/>
                <w:szCs w:val="24"/>
              </w:rPr>
            </w:pPr>
            <w:r w:rsidRPr="00533C3D">
              <w:rPr>
                <w:rFonts w:ascii="Calibri" w:hAnsi="Calibri"/>
                <w:sz w:val="24"/>
                <w:szCs w:val="24"/>
              </w:rPr>
              <w:t>1</w:t>
            </w:r>
          </w:p>
          <w:p w14:paraId="0E769C22" w14:textId="77777777" w:rsidR="006A3139" w:rsidRDefault="006A3139">
            <w:pPr>
              <w:rPr>
                <w:rFonts w:ascii="Calibri" w:hAnsi="Calibri"/>
                <w:sz w:val="24"/>
                <w:szCs w:val="24"/>
              </w:rPr>
            </w:pPr>
          </w:p>
          <w:p w14:paraId="64C9F4EB" w14:textId="77777777" w:rsidR="006A3139" w:rsidRDefault="006A3139">
            <w:pPr>
              <w:rPr>
                <w:rFonts w:ascii="Calibri" w:hAnsi="Calibri"/>
                <w:sz w:val="24"/>
                <w:szCs w:val="24"/>
              </w:rPr>
            </w:pPr>
          </w:p>
          <w:p w14:paraId="69A83D8A" w14:textId="77777777" w:rsidR="006A3139" w:rsidRDefault="006A3139">
            <w:pPr>
              <w:rPr>
                <w:rFonts w:ascii="Calibri" w:hAnsi="Calibri"/>
                <w:sz w:val="24"/>
                <w:szCs w:val="24"/>
              </w:rPr>
            </w:pPr>
          </w:p>
          <w:p w14:paraId="2B9E69DF" w14:textId="66C90F9B" w:rsidR="006A3139" w:rsidRPr="00533C3D" w:rsidRDefault="006A3139">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D277EE5" w14:textId="77777777" w:rsidTr="00793BBA">
              <w:trPr>
                <w:cantSplit/>
              </w:trPr>
              <w:tc>
                <w:tcPr>
                  <w:tcW w:w="9163" w:type="dxa"/>
                  <w:hideMark/>
                </w:tcPr>
                <w:p w14:paraId="775047AE"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5DDADCD7" w14:textId="77777777" w:rsidR="00793BBA" w:rsidRPr="000043C6" w:rsidRDefault="00793BBA" w:rsidP="00793BBA">
                  <w:pPr>
                    <w:rPr>
                      <w:rFonts w:ascii="Calibri" w:hAnsi="Calibri" w:cs="Calibri"/>
                    </w:rPr>
                  </w:pPr>
                </w:p>
                <w:p w14:paraId="3056FD0C"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14368024" w14:textId="77777777" w:rsidR="00793BBA" w:rsidRPr="00793BBA" w:rsidRDefault="00793BBA" w:rsidP="00793BBA"/>
                <w:p w14:paraId="09DEA333" w14:textId="77777777" w:rsidR="00793BBA" w:rsidRDefault="00793BBA" w:rsidP="00793BBA">
                  <w:pPr>
                    <w:rPr>
                      <w:rFonts w:ascii="Calibri" w:hAnsi="Calibri"/>
                      <w:sz w:val="24"/>
                      <w:szCs w:val="24"/>
                    </w:rPr>
                  </w:pPr>
                </w:p>
              </w:tc>
            </w:tr>
            <w:tr w:rsidR="00793BBA" w14:paraId="2813A32B" w14:textId="77777777" w:rsidTr="00793BBA">
              <w:trPr>
                <w:cantSplit/>
              </w:trPr>
              <w:tc>
                <w:tcPr>
                  <w:tcW w:w="9163" w:type="dxa"/>
                </w:tcPr>
                <w:p w14:paraId="2F3BE6D7" w14:textId="77777777" w:rsidR="00793BBA" w:rsidRDefault="00793BBA" w:rsidP="00793BBA">
                  <w:pPr>
                    <w:rPr>
                      <w:rFonts w:ascii="Calibri" w:hAnsi="Calibri"/>
                      <w:sz w:val="24"/>
                      <w:szCs w:val="24"/>
                    </w:rPr>
                  </w:pPr>
                </w:p>
              </w:tc>
            </w:tr>
          </w:tbl>
          <w:p w14:paraId="14677307" w14:textId="77777777" w:rsidR="004D6A8E" w:rsidRPr="00533C3D" w:rsidRDefault="004D6A8E">
            <w:pPr>
              <w:rPr>
                <w:rFonts w:ascii="Calibri" w:hAnsi="Calibri"/>
                <w:sz w:val="24"/>
                <w:szCs w:val="24"/>
              </w:rPr>
            </w:pPr>
          </w:p>
        </w:tc>
      </w:tr>
      <w:tr w:rsidR="00BD6012" w14:paraId="50DE8B09" w14:textId="77777777" w:rsidTr="006A3139">
        <w:trPr>
          <w:cantSplit/>
        </w:trPr>
        <w:tc>
          <w:tcPr>
            <w:tcW w:w="10446" w:type="dxa"/>
            <w:gridSpan w:val="8"/>
          </w:tcPr>
          <w:p w14:paraId="5E86CA47"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740AF189" w14:textId="77777777" w:rsidR="00C85FCA" w:rsidRDefault="00C85FCA" w:rsidP="00C85FCA">
            <w:pPr>
              <w:rPr>
                <w:rFonts w:ascii="Arial" w:hAnsi="Arial" w:cs="Arial"/>
              </w:rPr>
            </w:pPr>
          </w:p>
          <w:p w14:paraId="62E11C9D" w14:textId="77777777" w:rsidR="00C85FCA" w:rsidRDefault="00C85FCA" w:rsidP="00C85FCA">
            <w:pPr>
              <w:rPr>
                <w:rFonts w:ascii="Arial" w:hAnsi="Arial" w:cs="Arial"/>
              </w:rPr>
            </w:pPr>
          </w:p>
          <w:p w14:paraId="71139903" w14:textId="77777777" w:rsidR="00C85FCA" w:rsidRDefault="00C85FCA" w:rsidP="00C85FCA">
            <w:pPr>
              <w:rPr>
                <w:rFonts w:ascii="Arial" w:hAnsi="Arial" w:cs="Arial"/>
              </w:rPr>
            </w:pPr>
            <w:r>
              <w:rPr>
                <w:rFonts w:ascii="Arial" w:hAnsi="Arial" w:cs="Arial"/>
              </w:rPr>
              <w:t>NICOLA HOPKINS</w:t>
            </w:r>
          </w:p>
          <w:p w14:paraId="17E1EA19"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D318DC" w14:paraId="4CB8A82F" w14:textId="77777777" w:rsidTr="006A3139">
        <w:trPr>
          <w:cantSplit/>
        </w:trPr>
        <w:tc>
          <w:tcPr>
            <w:tcW w:w="10446" w:type="dxa"/>
            <w:gridSpan w:val="8"/>
          </w:tcPr>
          <w:p w14:paraId="25947E29" w14:textId="77777777" w:rsidR="00D318DC" w:rsidRDefault="00D318DC" w:rsidP="00C85FCA">
            <w:pPr>
              <w:rPr>
                <w:rFonts w:ascii="Brush Script MT" w:hAnsi="Brush Script MT"/>
                <w:sz w:val="44"/>
                <w:szCs w:val="44"/>
              </w:rPr>
            </w:pPr>
          </w:p>
        </w:tc>
      </w:tr>
      <w:tr w:rsidR="00D318DC" w14:paraId="3DDC9605" w14:textId="77777777" w:rsidTr="006A3139">
        <w:trPr>
          <w:cantSplit/>
        </w:trPr>
        <w:tc>
          <w:tcPr>
            <w:tcW w:w="10446" w:type="dxa"/>
            <w:gridSpan w:val="8"/>
          </w:tcPr>
          <w:p w14:paraId="519E3824" w14:textId="77777777" w:rsidR="00D318DC" w:rsidRDefault="00D318DC" w:rsidP="00C85FCA">
            <w:pPr>
              <w:rPr>
                <w:rFonts w:ascii="Brush Script MT" w:hAnsi="Brush Script MT"/>
                <w:sz w:val="44"/>
                <w:szCs w:val="44"/>
              </w:rPr>
            </w:pPr>
          </w:p>
        </w:tc>
      </w:tr>
    </w:tbl>
    <w:p w14:paraId="099D1176" w14:textId="77777777" w:rsidR="006A3139" w:rsidRDefault="006A3139" w:rsidP="005327E5">
      <w:pPr>
        <w:pStyle w:val="TableText"/>
        <w:rPr>
          <w:rFonts w:ascii="Calibri" w:hAnsi="Calibri" w:cs="Calibri"/>
          <w:b/>
        </w:rPr>
      </w:pPr>
    </w:p>
    <w:p w14:paraId="2963AB12" w14:textId="77777777" w:rsidR="006A3139" w:rsidRDefault="006A3139" w:rsidP="005327E5">
      <w:pPr>
        <w:pStyle w:val="TableText"/>
        <w:rPr>
          <w:rFonts w:ascii="Calibri" w:hAnsi="Calibri" w:cs="Calibri"/>
          <w:b/>
        </w:rPr>
      </w:pPr>
    </w:p>
    <w:p w14:paraId="6842F752" w14:textId="77777777" w:rsidR="006A3139" w:rsidRDefault="006A3139" w:rsidP="005327E5">
      <w:pPr>
        <w:pStyle w:val="TableText"/>
        <w:rPr>
          <w:rFonts w:ascii="Calibri" w:hAnsi="Calibri" w:cs="Calibri"/>
          <w:b/>
        </w:rPr>
      </w:pPr>
    </w:p>
    <w:p w14:paraId="4941604B" w14:textId="77777777" w:rsidR="006A3139" w:rsidRDefault="006A3139" w:rsidP="005327E5">
      <w:pPr>
        <w:pStyle w:val="TableText"/>
        <w:rPr>
          <w:rFonts w:ascii="Calibri" w:hAnsi="Calibri" w:cs="Calibri"/>
          <w:b/>
        </w:rPr>
      </w:pPr>
    </w:p>
    <w:p w14:paraId="6C0D7414" w14:textId="77777777" w:rsidR="006A3139" w:rsidRDefault="006A3139" w:rsidP="005327E5">
      <w:pPr>
        <w:pStyle w:val="TableText"/>
        <w:rPr>
          <w:rFonts w:ascii="Calibri" w:hAnsi="Calibri" w:cs="Calibri"/>
          <w:b/>
        </w:rPr>
      </w:pPr>
    </w:p>
    <w:p w14:paraId="1FA393DD" w14:textId="77777777" w:rsidR="006A3139" w:rsidRDefault="006A3139" w:rsidP="005327E5">
      <w:pPr>
        <w:pStyle w:val="TableText"/>
        <w:rPr>
          <w:rFonts w:ascii="Calibri" w:hAnsi="Calibri" w:cs="Calibri"/>
          <w:b/>
        </w:rPr>
      </w:pPr>
    </w:p>
    <w:p w14:paraId="0488BCD4" w14:textId="5B2B1A7A"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0CC0BB5B" w14:textId="77777777" w:rsidR="005327E5" w:rsidRDefault="005327E5" w:rsidP="005327E5">
      <w:pPr>
        <w:pStyle w:val="TableText"/>
        <w:rPr>
          <w:rFonts w:ascii="Calibri" w:hAnsi="Calibri" w:cs="Calibri"/>
        </w:rPr>
      </w:pPr>
    </w:p>
    <w:p w14:paraId="58E03739"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2CB36325" w14:textId="77777777" w:rsidR="001E50F1" w:rsidRDefault="001E50F1" w:rsidP="001E50F1">
      <w:pPr>
        <w:rPr>
          <w:rFonts w:ascii="Calibri" w:hAnsi="Calibri" w:cs="Calibri"/>
          <w:b/>
          <w:bCs/>
          <w:szCs w:val="22"/>
        </w:rPr>
      </w:pPr>
    </w:p>
    <w:p w14:paraId="78EF4952"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EDCC88D"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7068324"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FE1E593"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8312F03" w14:textId="77777777" w:rsidR="001E50F1" w:rsidRDefault="001E50F1" w:rsidP="001E50F1">
      <w:pPr>
        <w:rPr>
          <w:rFonts w:ascii="Calibri" w:hAnsi="Calibri" w:cs="Calibri"/>
          <w:szCs w:val="22"/>
        </w:rPr>
      </w:pPr>
    </w:p>
    <w:p w14:paraId="11E5748A"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AB47BB8" w14:textId="77777777" w:rsidR="001E50F1" w:rsidRDefault="001E50F1" w:rsidP="001E50F1">
      <w:pPr>
        <w:rPr>
          <w:rFonts w:ascii="Calibri" w:hAnsi="Calibri" w:cs="Calibri"/>
          <w:szCs w:val="22"/>
        </w:rPr>
      </w:pPr>
    </w:p>
    <w:p w14:paraId="68FB146A"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034B06CB"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0505CE1"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81C78" w14:textId="77777777" w:rsidR="00D318DC" w:rsidRDefault="00D318DC">
      <w:r>
        <w:separator/>
      </w:r>
    </w:p>
  </w:endnote>
  <w:endnote w:type="continuationSeparator" w:id="0">
    <w:p w14:paraId="3049834A" w14:textId="77777777" w:rsidR="00D318DC" w:rsidRDefault="00D3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86AF"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81A5A" w14:textId="77777777" w:rsidR="00D318DC" w:rsidRDefault="00D318DC">
      <w:r>
        <w:separator/>
      </w:r>
    </w:p>
  </w:footnote>
  <w:footnote w:type="continuationSeparator" w:id="0">
    <w:p w14:paraId="4ACE3863" w14:textId="77777777" w:rsidR="00D318DC" w:rsidRDefault="00D31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980D9"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E70EC76"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D2C265C" w14:textId="77777777" w:rsidR="004D6A8E" w:rsidRPr="00533C3D" w:rsidRDefault="004D6A8E">
    <w:pPr>
      <w:pStyle w:val="DefaultText"/>
      <w:rPr>
        <w:rFonts w:ascii="Calibri" w:hAnsi="Calibri"/>
        <w:sz w:val="24"/>
        <w:szCs w:val="24"/>
      </w:rPr>
    </w:pPr>
  </w:p>
  <w:p w14:paraId="51C879CD" w14:textId="3841CE03"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318DC">
      <w:rPr>
        <w:rFonts w:ascii="Calibri" w:hAnsi="Calibri"/>
        <w:b/>
        <w:sz w:val="24"/>
        <w:szCs w:val="24"/>
      </w:rPr>
      <w:t>3/2023/0138</w:t>
    </w:r>
    <w:r w:rsidRPr="00533C3D">
      <w:rPr>
        <w:rFonts w:ascii="Calibri" w:hAnsi="Calibri"/>
        <w:b/>
        <w:sz w:val="24"/>
        <w:szCs w:val="24"/>
      </w:rPr>
      <w:t xml:space="preserve">                       DECISION DATE:</w:t>
    </w:r>
    <w:r w:rsidR="006A3139">
      <w:rPr>
        <w:rFonts w:ascii="Calibri" w:hAnsi="Calibri"/>
        <w:b/>
        <w:sz w:val="24"/>
        <w:szCs w:val="24"/>
      </w:rPr>
      <w:t xml:space="preserve">  2 October 2023</w:t>
    </w:r>
  </w:p>
  <w:p w14:paraId="12F59A59"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DC"/>
    <w:rsid w:val="000043C6"/>
    <w:rsid w:val="000B583D"/>
    <w:rsid w:val="000B5AE4"/>
    <w:rsid w:val="001E50F1"/>
    <w:rsid w:val="00280C79"/>
    <w:rsid w:val="002B298C"/>
    <w:rsid w:val="003116C7"/>
    <w:rsid w:val="004D6A8E"/>
    <w:rsid w:val="005327E5"/>
    <w:rsid w:val="00533C3D"/>
    <w:rsid w:val="006A3139"/>
    <w:rsid w:val="007448F2"/>
    <w:rsid w:val="00793BBA"/>
    <w:rsid w:val="008001EE"/>
    <w:rsid w:val="008B1E49"/>
    <w:rsid w:val="008C2A1A"/>
    <w:rsid w:val="008E5B94"/>
    <w:rsid w:val="009D443A"/>
    <w:rsid w:val="009F4657"/>
    <w:rsid w:val="00AB36DC"/>
    <w:rsid w:val="00B676C4"/>
    <w:rsid w:val="00B70E27"/>
    <w:rsid w:val="00BD6012"/>
    <w:rsid w:val="00BF398E"/>
    <w:rsid w:val="00BF7ED8"/>
    <w:rsid w:val="00C85FCA"/>
    <w:rsid w:val="00D318DC"/>
    <w:rsid w:val="00D579BC"/>
    <w:rsid w:val="00DB4CFD"/>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E342B"/>
  <w15:chartTrackingRefBased/>
  <w15:docId w15:val="{533F5AA5-A42D-4B5D-9CB6-E07C642C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1140</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7370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2023-10-02T15:49:00Z</cp:lastPrinted>
  <dcterms:created xsi:type="dcterms:W3CDTF">2023-10-02T16:27:00Z</dcterms:created>
  <dcterms:modified xsi:type="dcterms:W3CDTF">2023-10-02T16:27:00Z</dcterms:modified>
</cp:coreProperties>
</file>