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75"/>
        <w:gridCol w:w="658"/>
        <w:gridCol w:w="197"/>
        <w:gridCol w:w="307"/>
        <w:gridCol w:w="723"/>
        <w:gridCol w:w="553"/>
        <w:gridCol w:w="477"/>
        <w:gridCol w:w="699"/>
        <w:gridCol w:w="579"/>
        <w:gridCol w:w="1030"/>
        <w:gridCol w:w="1030"/>
        <w:gridCol w:w="1067"/>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F78F1B0" w:rsidR="00837F4F" w:rsidRPr="00D2449B" w:rsidRDefault="0021641F"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58C3755" w:rsidR="00837F4F" w:rsidRPr="00D2449B" w:rsidRDefault="00D770BD" w:rsidP="00D2449B">
            <w:pPr>
              <w:jc w:val="center"/>
              <w:rPr>
                <w:rFonts w:ascii="Calibri" w:hAnsi="Calibri"/>
                <w:b/>
                <w:szCs w:val="22"/>
              </w:rPr>
            </w:pPr>
            <w:r>
              <w:rPr>
                <w:rFonts w:ascii="Calibri" w:hAnsi="Calibri"/>
                <w:b/>
                <w:szCs w:val="22"/>
              </w:rPr>
              <w:t>22.09.23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7032937" w:rsidR="00837F4F" w:rsidRPr="00D2449B" w:rsidRDefault="00D900F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4E1F06D" w:rsidR="00837F4F" w:rsidRPr="00D2449B" w:rsidRDefault="00D900F8" w:rsidP="00D2449B">
            <w:pPr>
              <w:jc w:val="center"/>
              <w:rPr>
                <w:rFonts w:ascii="Calibri" w:hAnsi="Calibri"/>
                <w:b/>
                <w:szCs w:val="22"/>
              </w:rPr>
            </w:pPr>
            <w:r>
              <w:rPr>
                <w:rFonts w:ascii="Calibri" w:hAnsi="Calibri"/>
                <w:b/>
                <w:szCs w:val="22"/>
              </w:rPr>
              <w:t>2-10-23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9426DB0" w:rsidR="004A5EA9" w:rsidRPr="00250879" w:rsidRDefault="0021641F" w:rsidP="008542DE">
            <w:pPr>
              <w:rPr>
                <w:rFonts w:ascii="Calibri" w:hAnsi="Calibri"/>
                <w:color w:val="548DD4" w:themeColor="text2" w:themeTint="99"/>
                <w:szCs w:val="22"/>
              </w:rPr>
            </w:pPr>
            <w:r>
              <w:rPr>
                <w:rFonts w:ascii="Calibri" w:hAnsi="Calibri"/>
                <w:szCs w:val="22"/>
              </w:rPr>
              <w:t>2023/0138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74FBFE7" w:rsidR="00824DB6" w:rsidRPr="00D770BD" w:rsidRDefault="00D770BD" w:rsidP="002C6277">
            <w:pPr>
              <w:rPr>
                <w:rFonts w:ascii="Calibri" w:hAnsi="Calibri"/>
                <w:szCs w:val="22"/>
              </w:rPr>
            </w:pPr>
            <w:r w:rsidRPr="00D770BD">
              <w:rPr>
                <w:rFonts w:ascii="Calibri" w:hAnsi="Calibri"/>
                <w:szCs w:val="22"/>
              </w:rPr>
              <w:t>05/06/23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770BD" w:rsidRDefault="00824DB6" w:rsidP="002C6277">
            <w:pPr>
              <w:rPr>
                <w:rFonts w:ascii="Calibri" w:hAnsi="Calibri"/>
                <w:b/>
                <w:bCs/>
                <w:szCs w:val="22"/>
              </w:rPr>
            </w:pPr>
            <w:r w:rsidRPr="00D770BD">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58FFB81" w:rsidR="00824DB6" w:rsidRPr="00D770BD" w:rsidRDefault="00D770BD" w:rsidP="002C6277">
            <w:pPr>
              <w:rPr>
                <w:rFonts w:ascii="Calibri" w:hAnsi="Calibri"/>
                <w:szCs w:val="22"/>
              </w:rPr>
            </w:pPr>
            <w:r w:rsidRPr="00D770BD">
              <w:rPr>
                <w:rFonts w:ascii="Calibri" w:hAnsi="Calibri"/>
                <w:szCs w:val="22"/>
              </w:rPr>
              <w:t>05/06/23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61BB55A" w:rsidR="004A5EA9" w:rsidRPr="00250879" w:rsidRDefault="00D770BD" w:rsidP="00811771">
            <w:pPr>
              <w:rPr>
                <w:rFonts w:ascii="Calibri" w:hAnsi="Calibri"/>
                <w:color w:val="548DD4" w:themeColor="text2" w:themeTint="99"/>
                <w:szCs w:val="22"/>
              </w:rPr>
            </w:pPr>
            <w:r w:rsidRPr="00D770BD">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C5323C5" w:rsidR="004A5EA9" w:rsidRPr="002C6277" w:rsidRDefault="0021641F" w:rsidP="0021641F">
            <w:pPr>
              <w:jc w:val="both"/>
              <w:rPr>
                <w:rFonts w:ascii="Calibri" w:hAnsi="Calibri"/>
                <w:szCs w:val="22"/>
              </w:rPr>
            </w:pPr>
            <w:r w:rsidRPr="0021641F">
              <w:rPr>
                <w:rFonts w:ascii="Calibri" w:hAnsi="Calibri"/>
                <w:szCs w:val="22"/>
              </w:rPr>
              <w:t>Construction of a pair of semi-detached dwellings as a change of house type to the single large</w:t>
            </w:r>
            <w:r>
              <w:rPr>
                <w:rFonts w:ascii="Calibri" w:hAnsi="Calibri"/>
                <w:szCs w:val="22"/>
              </w:rPr>
              <w:t>-</w:t>
            </w:r>
            <w:r w:rsidRPr="0021641F">
              <w:rPr>
                <w:rFonts w:ascii="Calibri" w:hAnsi="Calibri"/>
                <w:szCs w:val="22"/>
              </w:rPr>
              <w:t>detached dwelling on Plot 1 previously approved on application 3/2019/1103.</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5867688" w:rsidR="002A01CF" w:rsidRPr="002C6277" w:rsidRDefault="0021641F" w:rsidP="00A42E82">
            <w:pPr>
              <w:rPr>
                <w:rFonts w:ascii="Calibri" w:hAnsi="Calibri"/>
                <w:szCs w:val="22"/>
              </w:rPr>
            </w:pPr>
            <w:r w:rsidRPr="0021641F">
              <w:rPr>
                <w:rFonts w:ascii="Calibri" w:hAnsi="Calibri"/>
                <w:szCs w:val="22"/>
              </w:rPr>
              <w:t>Twin Brook Farm Up Brooks Clitheroe BB7 1PL</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3A71881" w:rsidR="002A01CF" w:rsidRPr="00D770BD" w:rsidRDefault="00D770BD">
            <w:pPr>
              <w:rPr>
                <w:rFonts w:ascii="Calibri" w:hAnsi="Calibri"/>
                <w:bCs/>
                <w:szCs w:val="22"/>
              </w:rPr>
            </w:pPr>
            <w:r w:rsidRPr="00D770BD">
              <w:rPr>
                <w:rFonts w:ascii="Calibri" w:hAnsi="Calibri"/>
                <w:bCs/>
                <w:szCs w:val="22"/>
              </w:rPr>
              <w:t>Clitheroe Town Council have raised no objections to the proposal.</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0E2E3C" w:rsidRPr="00D2449B" w14:paraId="176506A4" w14:textId="77777777" w:rsidTr="00EE6A7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0DBF56" w14:textId="7F75B6CE" w:rsidR="000E2E3C" w:rsidRPr="00417A80" w:rsidRDefault="00417A80">
            <w:pPr>
              <w:rPr>
                <w:rFonts w:ascii="Calibri" w:hAnsi="Calibri"/>
                <w:bCs/>
                <w:szCs w:val="22"/>
              </w:rPr>
            </w:pPr>
            <w:r w:rsidRPr="00417A80">
              <w:rPr>
                <w:rFonts w:ascii="Calibri" w:hAnsi="Calibri"/>
                <w:bCs/>
                <w:szCs w:val="22"/>
              </w:rPr>
              <w:t>The Local Highways Authority have raised no objection to the proposal stating the following:</w:t>
            </w:r>
          </w:p>
          <w:p w14:paraId="00710C63" w14:textId="77777777" w:rsidR="00417A80" w:rsidRPr="00417A80" w:rsidRDefault="00417A80">
            <w:pPr>
              <w:rPr>
                <w:rFonts w:ascii="Calibri" w:hAnsi="Calibri"/>
                <w:bCs/>
                <w:szCs w:val="22"/>
              </w:rPr>
            </w:pPr>
          </w:p>
          <w:p w14:paraId="537D7C54" w14:textId="77777777" w:rsidR="006D4F10" w:rsidRPr="006D4F10" w:rsidRDefault="006D4F10" w:rsidP="006D4F10">
            <w:pPr>
              <w:rPr>
                <w:rFonts w:ascii="Calibri" w:hAnsi="Calibri"/>
                <w:b/>
                <w:i/>
                <w:iCs/>
                <w:szCs w:val="22"/>
              </w:rPr>
            </w:pPr>
            <w:r w:rsidRPr="006D4F10">
              <w:rPr>
                <w:rFonts w:ascii="Calibri" w:hAnsi="Calibri"/>
                <w:b/>
                <w:i/>
                <w:iCs/>
                <w:szCs w:val="22"/>
              </w:rPr>
              <w:t xml:space="preserve">Access </w:t>
            </w:r>
          </w:p>
          <w:p w14:paraId="01A0DA52" w14:textId="0F4D9DA4" w:rsidR="006D4F10" w:rsidRPr="006D4F10" w:rsidRDefault="006D4F10" w:rsidP="006D4F10">
            <w:pPr>
              <w:jc w:val="both"/>
              <w:rPr>
                <w:rFonts w:ascii="Calibri" w:hAnsi="Calibri"/>
                <w:bCs/>
                <w:i/>
                <w:iCs/>
                <w:szCs w:val="22"/>
              </w:rPr>
            </w:pPr>
            <w:r w:rsidRPr="006D4F10">
              <w:rPr>
                <w:rFonts w:ascii="Calibri" w:hAnsi="Calibri"/>
                <w:bCs/>
                <w:i/>
                <w:iCs/>
                <w:szCs w:val="22"/>
              </w:rPr>
              <w:t xml:space="preserve">Up Brooks is a highway maintainable at public expense from its junction with Lincoln Way to the junction with the Twin Brook Farm site where it becomes public footpath 301006a. There are 3 informal passing places on Up Brooks which serves circa 18 dwellings. There have been no collisions recorded in the previous 5 years. This application seeks one additional dwelling which would not be considered to cause a severe impact to highway safety to give reason for an objection to the proposal from the Highway Authority. </w:t>
            </w:r>
          </w:p>
          <w:p w14:paraId="10C7DD7C" w14:textId="77777777" w:rsidR="006D4F10" w:rsidRPr="006D4F10" w:rsidRDefault="006D4F10" w:rsidP="006D4F10">
            <w:pPr>
              <w:rPr>
                <w:rFonts w:ascii="Calibri" w:hAnsi="Calibri"/>
                <w:bCs/>
                <w:i/>
                <w:iCs/>
                <w:szCs w:val="22"/>
              </w:rPr>
            </w:pPr>
          </w:p>
          <w:p w14:paraId="12E41FE8" w14:textId="77777777" w:rsidR="006D4F10" w:rsidRPr="006D4F10" w:rsidRDefault="006D4F10" w:rsidP="006D4F10">
            <w:pPr>
              <w:rPr>
                <w:rFonts w:ascii="Calibri" w:hAnsi="Calibri"/>
                <w:b/>
                <w:i/>
                <w:iCs/>
                <w:szCs w:val="22"/>
              </w:rPr>
            </w:pPr>
            <w:r w:rsidRPr="006D4F10">
              <w:rPr>
                <w:rFonts w:ascii="Calibri" w:hAnsi="Calibri"/>
                <w:b/>
                <w:i/>
                <w:iCs/>
                <w:szCs w:val="22"/>
              </w:rPr>
              <w:t xml:space="preserve">Refuse </w:t>
            </w:r>
          </w:p>
          <w:p w14:paraId="3FD711EB" w14:textId="11362CB9" w:rsidR="00417A80" w:rsidRPr="006D4F10" w:rsidRDefault="006D4F10" w:rsidP="006D4F10">
            <w:pPr>
              <w:jc w:val="both"/>
              <w:rPr>
                <w:rFonts w:ascii="Calibri" w:hAnsi="Calibri"/>
                <w:bCs/>
                <w:i/>
                <w:iCs/>
                <w:szCs w:val="22"/>
              </w:rPr>
            </w:pPr>
            <w:r w:rsidRPr="006D4F10">
              <w:rPr>
                <w:rFonts w:ascii="Calibri" w:hAnsi="Calibri"/>
                <w:bCs/>
                <w:i/>
                <w:iCs/>
                <w:szCs w:val="22"/>
              </w:rPr>
              <w:t>There is a communal bin store on Up Brooks close to the junction of Lincoln Way. The comment uploaded on the website from a resident indicates that the existing store would require enlarging to accommodate the additional waste generated by the new dwellings. Ribble Valley Borough Councils waste team should be consulted to comment on the suitability of the facility.</w:t>
            </w:r>
          </w:p>
          <w:p w14:paraId="52A5C7EC" w14:textId="77777777" w:rsidR="006D4F10" w:rsidRPr="006D4F10" w:rsidRDefault="006D4F10" w:rsidP="006D4F10">
            <w:pPr>
              <w:rPr>
                <w:rFonts w:ascii="Calibri" w:hAnsi="Calibri"/>
                <w:bCs/>
                <w:i/>
                <w:iCs/>
                <w:szCs w:val="22"/>
              </w:rPr>
            </w:pPr>
          </w:p>
          <w:p w14:paraId="127BDD4A" w14:textId="77777777" w:rsidR="006D4F10" w:rsidRPr="006D4F10" w:rsidRDefault="006D4F10" w:rsidP="006D4F10">
            <w:pPr>
              <w:rPr>
                <w:rFonts w:ascii="Calibri" w:hAnsi="Calibri"/>
                <w:b/>
                <w:i/>
                <w:iCs/>
                <w:szCs w:val="22"/>
              </w:rPr>
            </w:pPr>
            <w:r w:rsidRPr="006D4F10">
              <w:rPr>
                <w:rFonts w:ascii="Calibri" w:hAnsi="Calibri"/>
                <w:b/>
                <w:i/>
                <w:iCs/>
                <w:szCs w:val="22"/>
              </w:rPr>
              <w:t xml:space="preserve">Parking </w:t>
            </w:r>
          </w:p>
          <w:p w14:paraId="0F4207D9" w14:textId="1E384E94" w:rsidR="006D4F10" w:rsidRPr="006D4F10" w:rsidRDefault="006D4F10" w:rsidP="006D4F10">
            <w:pPr>
              <w:rPr>
                <w:rFonts w:ascii="Calibri" w:hAnsi="Calibri"/>
                <w:bCs/>
                <w:i/>
                <w:iCs/>
                <w:szCs w:val="22"/>
              </w:rPr>
            </w:pPr>
            <w:r w:rsidRPr="006D4F10">
              <w:rPr>
                <w:rFonts w:ascii="Calibri" w:hAnsi="Calibri"/>
                <w:bCs/>
                <w:i/>
                <w:iCs/>
                <w:szCs w:val="22"/>
              </w:rPr>
              <w:t xml:space="preserve">The 2 x 3 bedroom dwellings would require 2 parking spaces each together with electric vehicle charging and secure, covered cycle stores. There are 3 spaces shown for each dwelling which could be reduced however we would raise no objection to the small overprovision. We would not support any informal parking which may obstruct the public footpath 301006a which runs past the site. </w:t>
            </w:r>
          </w:p>
          <w:p w14:paraId="49BDE3FB" w14:textId="77777777" w:rsidR="006D4F10" w:rsidRPr="006D4F10" w:rsidRDefault="006D4F10" w:rsidP="006D4F10">
            <w:pPr>
              <w:rPr>
                <w:rFonts w:ascii="Calibri" w:hAnsi="Calibri"/>
                <w:bCs/>
                <w:i/>
                <w:iCs/>
                <w:szCs w:val="22"/>
              </w:rPr>
            </w:pPr>
          </w:p>
          <w:p w14:paraId="7333CF71" w14:textId="77777777" w:rsidR="006D4F10" w:rsidRPr="006D4F10" w:rsidRDefault="006D4F10" w:rsidP="006D4F10">
            <w:pPr>
              <w:rPr>
                <w:rFonts w:ascii="Calibri" w:hAnsi="Calibri"/>
                <w:b/>
                <w:i/>
                <w:iCs/>
                <w:szCs w:val="22"/>
              </w:rPr>
            </w:pPr>
            <w:r w:rsidRPr="006D4F10">
              <w:rPr>
                <w:rFonts w:ascii="Calibri" w:hAnsi="Calibri"/>
                <w:b/>
                <w:i/>
                <w:iCs/>
                <w:szCs w:val="22"/>
              </w:rPr>
              <w:t xml:space="preserve">Conclusion </w:t>
            </w:r>
          </w:p>
          <w:p w14:paraId="64E7F2F1" w14:textId="7221D1B2" w:rsidR="006D4F10" w:rsidRPr="006D4F10" w:rsidRDefault="006D4F10" w:rsidP="006D4F10">
            <w:pPr>
              <w:rPr>
                <w:rFonts w:ascii="Calibri" w:hAnsi="Calibri"/>
                <w:bCs/>
                <w:i/>
                <w:iCs/>
                <w:szCs w:val="22"/>
              </w:rPr>
            </w:pPr>
            <w:r w:rsidRPr="006D4F10">
              <w:rPr>
                <w:rFonts w:ascii="Calibri" w:hAnsi="Calibri"/>
                <w:bCs/>
                <w:i/>
                <w:iCs/>
                <w:szCs w:val="22"/>
              </w:rPr>
              <w:t>Lancashire County Council acting as the Highway Authority does not raise an objection regarding the proposed development and are of the opinion that the proposed development will not have a significant impact on highway safety, capacity or amenity in the immediate vicinity of the site.</w:t>
            </w:r>
          </w:p>
          <w:p w14:paraId="5F138A28" w14:textId="77777777" w:rsidR="006D4F10" w:rsidRDefault="006D4F10" w:rsidP="006D4F10">
            <w:pPr>
              <w:rPr>
                <w:rFonts w:ascii="Calibri" w:hAnsi="Calibri"/>
                <w:bCs/>
                <w:szCs w:val="22"/>
              </w:rPr>
            </w:pPr>
          </w:p>
          <w:p w14:paraId="465C7EC3" w14:textId="4C502DE9" w:rsidR="006D4F10" w:rsidRDefault="006D4F10" w:rsidP="006D4F10">
            <w:pPr>
              <w:jc w:val="both"/>
              <w:rPr>
                <w:rFonts w:ascii="Calibri" w:hAnsi="Calibri"/>
                <w:bCs/>
                <w:szCs w:val="22"/>
              </w:rPr>
            </w:pPr>
            <w:r>
              <w:rPr>
                <w:rFonts w:ascii="Calibri" w:hAnsi="Calibri"/>
                <w:bCs/>
                <w:szCs w:val="22"/>
              </w:rPr>
              <w:t>The Local Highways Authority have further requested, that should consent be granted, that conditions be imposed requiring the submission of a Construction Method Statement, that the parking and turning areas be surfaced in a bound porous material and that cycle storage provision be provided for each dwelling.</w:t>
            </w:r>
          </w:p>
          <w:p w14:paraId="359B06EA" w14:textId="616D3613" w:rsidR="00417A80" w:rsidRPr="00417A80" w:rsidRDefault="00417A80">
            <w:pPr>
              <w:rPr>
                <w:rFonts w:ascii="Calibri" w:hAnsi="Calibri"/>
                <w:bCs/>
                <w:szCs w:val="22"/>
              </w:rPr>
            </w:pPr>
          </w:p>
        </w:tc>
      </w:tr>
      <w:tr w:rsidR="000E2E3C" w:rsidRPr="00D2449B" w14:paraId="77066776"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314488" w14:textId="05D730E7" w:rsidR="000E2E3C" w:rsidRPr="00D2449B" w:rsidRDefault="000E2E3C">
            <w:pPr>
              <w:rPr>
                <w:rFonts w:ascii="Calibri" w:hAnsi="Calibri"/>
                <w:b/>
                <w:szCs w:val="22"/>
              </w:rPr>
            </w:pPr>
            <w:r>
              <w:rPr>
                <w:rFonts w:ascii="Calibri" w:hAnsi="Calibri"/>
                <w:b/>
                <w:szCs w:val="22"/>
              </w:rPr>
              <w:lastRenderedPageBreak/>
              <w:t>Environment Agency: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1EF76A" w14:textId="77777777" w:rsidR="000E2E3C" w:rsidRPr="00D2449B" w:rsidRDefault="000E2E3C">
            <w:pPr>
              <w:rPr>
                <w:rFonts w:ascii="Calibri" w:hAnsi="Calibri"/>
                <w:b/>
                <w:szCs w:val="22"/>
              </w:rPr>
            </w:pPr>
          </w:p>
        </w:tc>
      </w:tr>
      <w:tr w:rsidR="000E2E3C" w:rsidRPr="00D2449B" w14:paraId="32FACEFF" w14:textId="77777777" w:rsidTr="0087031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B812CC" w14:textId="77777777" w:rsidR="000E2E3C" w:rsidRPr="0048751E" w:rsidRDefault="00CB106E">
            <w:pPr>
              <w:rPr>
                <w:rFonts w:ascii="Calibri" w:hAnsi="Calibri"/>
                <w:bCs/>
                <w:szCs w:val="22"/>
              </w:rPr>
            </w:pPr>
            <w:r w:rsidRPr="0048751E">
              <w:rPr>
                <w:rFonts w:ascii="Calibri" w:hAnsi="Calibri"/>
                <w:bCs/>
                <w:szCs w:val="22"/>
              </w:rPr>
              <w:t>The Environment Agency have raised an objection to the proposed development stating the following:</w:t>
            </w:r>
          </w:p>
          <w:p w14:paraId="11F7B303" w14:textId="77777777" w:rsidR="00CB106E" w:rsidRDefault="00CB106E">
            <w:pPr>
              <w:rPr>
                <w:rFonts w:ascii="Calibri" w:hAnsi="Calibri"/>
                <w:b/>
                <w:szCs w:val="22"/>
              </w:rPr>
            </w:pPr>
          </w:p>
          <w:p w14:paraId="1B4CC6C1" w14:textId="405AE0F1" w:rsidR="00CB106E" w:rsidRPr="0048751E" w:rsidRDefault="00CB106E" w:rsidP="00CB106E">
            <w:pPr>
              <w:jc w:val="both"/>
              <w:rPr>
                <w:rFonts w:ascii="Calibri" w:hAnsi="Calibri"/>
                <w:bCs/>
                <w:i/>
                <w:iCs/>
                <w:szCs w:val="22"/>
              </w:rPr>
            </w:pPr>
            <w:r w:rsidRPr="0048751E">
              <w:rPr>
                <w:rFonts w:ascii="Calibri" w:hAnsi="Calibri"/>
                <w:bCs/>
                <w:i/>
                <w:iCs/>
                <w:szCs w:val="22"/>
              </w:rPr>
              <w:t xml:space="preserve">In our letter referenced NO/2020/112872/01-L01 and dated 01 September 2020, we commented on a consultation for a previous application at this site. We objected to the development on flood risk grounds based on a technical objection regarding an unacceptable Flood Risk Assessment (FRA). We understand that the application referenced 3/2019/1103 was subsequently granted approval contrary to our objection. </w:t>
            </w:r>
          </w:p>
          <w:p w14:paraId="7F6BE772" w14:textId="77777777" w:rsidR="00CB106E" w:rsidRPr="0048751E" w:rsidRDefault="00CB106E" w:rsidP="00CB106E">
            <w:pPr>
              <w:jc w:val="both"/>
              <w:rPr>
                <w:rFonts w:ascii="Calibri" w:hAnsi="Calibri"/>
                <w:bCs/>
                <w:i/>
                <w:iCs/>
                <w:szCs w:val="22"/>
              </w:rPr>
            </w:pPr>
          </w:p>
          <w:p w14:paraId="2F2BAC61" w14:textId="662980A6" w:rsidR="00CB106E" w:rsidRPr="0048751E" w:rsidRDefault="00CB106E" w:rsidP="00CB106E">
            <w:pPr>
              <w:jc w:val="both"/>
              <w:rPr>
                <w:rFonts w:ascii="Calibri" w:hAnsi="Calibri"/>
                <w:bCs/>
                <w:i/>
                <w:iCs/>
                <w:szCs w:val="22"/>
              </w:rPr>
            </w:pPr>
            <w:r w:rsidRPr="0048751E">
              <w:rPr>
                <w:rFonts w:ascii="Calibri" w:hAnsi="Calibri"/>
                <w:bCs/>
                <w:i/>
                <w:iCs/>
                <w:szCs w:val="22"/>
              </w:rPr>
              <w:t xml:space="preserve">The current application 3/2023/0138 is for the construction of a pair of semi-detached dwellings as a change of house type to the single, large, detached dwelling on Plot 1 previously approved on application 3/2019/1103. The current planning application is accompanied by a Flood Risk Assessment (FRA) prepared by UK Flood Risk, Flood Risk Consultants, referenced; Project Ref: QFRA  2318 and dated 15/03/2023. </w:t>
            </w:r>
          </w:p>
          <w:p w14:paraId="6CE29ED1" w14:textId="77777777" w:rsidR="00CB106E" w:rsidRPr="0048751E" w:rsidRDefault="00CB106E" w:rsidP="00CB106E">
            <w:pPr>
              <w:jc w:val="both"/>
              <w:rPr>
                <w:rFonts w:ascii="Calibri" w:hAnsi="Calibri"/>
                <w:bCs/>
                <w:i/>
                <w:iCs/>
                <w:szCs w:val="22"/>
              </w:rPr>
            </w:pPr>
          </w:p>
          <w:p w14:paraId="78B5573B" w14:textId="77777777" w:rsidR="00CB106E" w:rsidRPr="0048751E" w:rsidRDefault="00CB106E" w:rsidP="00CB106E">
            <w:pPr>
              <w:jc w:val="both"/>
              <w:rPr>
                <w:rFonts w:ascii="Calibri" w:hAnsi="Calibri"/>
                <w:bCs/>
                <w:i/>
                <w:iCs/>
                <w:szCs w:val="22"/>
              </w:rPr>
            </w:pPr>
            <w:r w:rsidRPr="0048751E">
              <w:rPr>
                <w:rFonts w:ascii="Calibri" w:hAnsi="Calibri"/>
                <w:bCs/>
                <w:i/>
                <w:iCs/>
                <w:szCs w:val="22"/>
              </w:rPr>
              <w:t xml:space="preserve">The FRA is produced by the same consultants as for the approved application (3/2019/1103) and can be regarded as an updated FRA to the previous iteration to which we objected. We have reviewed the FRA in so far as it relates to our remit, and while it appears that some of the reasons to which we previously objected have been addressed in the present FRA, namely: calculation of climate change allowances, inclusion of modelled data referred to etc., there remain issues in relation to the suitability of this development, as there is a possibility it will increase flood risk elsewhere. In this instance the potential increase in flood risk elsewhere caused by the impacts of a loss of floodplain storage and the deflection or constriction of flood flow routes are not addressed in the FRA. </w:t>
            </w:r>
          </w:p>
          <w:p w14:paraId="41A03D45" w14:textId="77777777" w:rsidR="00CB106E" w:rsidRPr="0048751E" w:rsidRDefault="00CB106E" w:rsidP="00CB106E">
            <w:pPr>
              <w:jc w:val="both"/>
              <w:rPr>
                <w:rFonts w:ascii="Calibri" w:hAnsi="Calibri"/>
                <w:bCs/>
                <w:i/>
                <w:iCs/>
                <w:szCs w:val="22"/>
              </w:rPr>
            </w:pPr>
          </w:p>
          <w:p w14:paraId="12CA167D" w14:textId="5FE07974" w:rsidR="00CB106E" w:rsidRPr="0048751E" w:rsidRDefault="00CB106E" w:rsidP="00CB106E">
            <w:pPr>
              <w:jc w:val="both"/>
              <w:rPr>
                <w:rFonts w:ascii="Calibri" w:hAnsi="Calibri"/>
                <w:bCs/>
                <w:i/>
                <w:iCs/>
                <w:szCs w:val="22"/>
              </w:rPr>
            </w:pPr>
            <w:r w:rsidRPr="0048751E">
              <w:rPr>
                <w:rFonts w:ascii="Calibri" w:hAnsi="Calibri"/>
                <w:bCs/>
                <w:i/>
                <w:iCs/>
                <w:szCs w:val="22"/>
              </w:rPr>
              <w:t>We are not satisfied that the development would be safe without exacerbating flood risk elsewhere if the proposed flood risk mitigation measures are implemented.</w:t>
            </w:r>
          </w:p>
          <w:p w14:paraId="00076D6A" w14:textId="77777777" w:rsidR="00CB106E" w:rsidRPr="0048751E" w:rsidRDefault="00CB106E" w:rsidP="00CB106E">
            <w:pPr>
              <w:rPr>
                <w:rFonts w:ascii="Calibri" w:hAnsi="Calibri"/>
                <w:b/>
                <w:i/>
                <w:iCs/>
                <w:szCs w:val="22"/>
              </w:rPr>
            </w:pPr>
          </w:p>
          <w:p w14:paraId="38252705" w14:textId="2BDD4FC1" w:rsidR="00CB106E" w:rsidRPr="0048751E" w:rsidRDefault="00CB106E" w:rsidP="00CB106E">
            <w:pPr>
              <w:jc w:val="both"/>
              <w:rPr>
                <w:rFonts w:ascii="Calibri" w:hAnsi="Calibri"/>
                <w:bCs/>
                <w:i/>
                <w:iCs/>
                <w:szCs w:val="22"/>
              </w:rPr>
            </w:pPr>
            <w:r w:rsidRPr="0048751E">
              <w:rPr>
                <w:rFonts w:ascii="Calibri" w:hAnsi="Calibri"/>
                <w:bCs/>
                <w:i/>
                <w:iCs/>
                <w:szCs w:val="22"/>
              </w:rPr>
              <w:t>In the absence of an acceptable flood risk assessment (FRA) we object to this application and recommend that planning permission is refused.</w:t>
            </w:r>
          </w:p>
          <w:p w14:paraId="5741FAE2" w14:textId="77777777" w:rsidR="00CB106E" w:rsidRPr="0048751E" w:rsidRDefault="00CB106E" w:rsidP="00CB106E">
            <w:pPr>
              <w:rPr>
                <w:rFonts w:ascii="Calibri" w:hAnsi="Calibri"/>
                <w:bCs/>
                <w:i/>
                <w:iCs/>
                <w:szCs w:val="22"/>
              </w:rPr>
            </w:pPr>
          </w:p>
          <w:p w14:paraId="2BAA5959" w14:textId="3B331524" w:rsidR="00CB106E" w:rsidRPr="0048751E" w:rsidRDefault="00CB106E" w:rsidP="00CB106E">
            <w:pPr>
              <w:rPr>
                <w:rFonts w:ascii="Calibri" w:hAnsi="Calibri"/>
                <w:bCs/>
                <w:i/>
                <w:iCs/>
                <w:szCs w:val="22"/>
              </w:rPr>
            </w:pPr>
            <w:r w:rsidRPr="0048751E">
              <w:rPr>
                <w:rFonts w:ascii="Calibri" w:hAnsi="Calibri"/>
                <w:bCs/>
                <w:i/>
                <w:iCs/>
                <w:szCs w:val="22"/>
              </w:rPr>
              <w:t xml:space="preserve">The submitted FRA does not comply with the requirements for site-specific flood risk assessments, as set out in paragraphs 30 to 32 of the Flood Risk and Coastal Change section of the planning practice guidance (PPG). The FRA does not therefore adequately assess the flood risks posed by the development. In particular, the FRA fails to: </w:t>
            </w:r>
          </w:p>
          <w:p w14:paraId="00736523" w14:textId="77777777" w:rsidR="00CB106E" w:rsidRPr="0048751E" w:rsidRDefault="00CB106E" w:rsidP="00CB106E">
            <w:pPr>
              <w:rPr>
                <w:rFonts w:ascii="Calibri" w:hAnsi="Calibri"/>
                <w:bCs/>
                <w:i/>
                <w:iCs/>
                <w:szCs w:val="22"/>
              </w:rPr>
            </w:pPr>
          </w:p>
          <w:p w14:paraId="1C5A0CC8" w14:textId="77777777" w:rsidR="00CB106E" w:rsidRPr="0048751E" w:rsidRDefault="00CB106E" w:rsidP="0048751E">
            <w:pPr>
              <w:pStyle w:val="ListParagraph"/>
              <w:numPr>
                <w:ilvl w:val="0"/>
                <w:numId w:val="2"/>
              </w:numPr>
              <w:jc w:val="both"/>
              <w:rPr>
                <w:rFonts w:ascii="Calibri" w:hAnsi="Calibri"/>
                <w:bCs/>
                <w:i/>
                <w:iCs/>
                <w:szCs w:val="22"/>
              </w:rPr>
            </w:pPr>
            <w:r w:rsidRPr="0048751E">
              <w:rPr>
                <w:rFonts w:ascii="Calibri" w:hAnsi="Calibri"/>
                <w:bCs/>
                <w:i/>
                <w:iCs/>
                <w:szCs w:val="22"/>
              </w:rPr>
              <w:t>Provide detail regarding the raising or lowering of ground levels for the proposed road and any other works. As such, flood risk mitigation measures to address flood risk for the lifetime of the development included in the design may be inadequate because they may increase flood risk to the development or other areas in up to the 1% AEP with climate change allowance. Consequently, the development may propose inadequate level-for-level flood storage compensation. N.B. It is noted that the proposals included the use of below floor voids. Paragraph: 049 of the updated Planning Policy Guidance (PPG) on Flood risk and coastal change states that 'Whilst the use of stilts and voids below buildings may be an appropriate approach to mitigating flood risk to the buildings themselves, such techniques should not normally be relied upon for compensating for any loss of floodplain storage. This is because voids do not allow water to freely flow through them, trash screens get blocked, voids get silted up, they have limited capacity, and it is difficult to stop them being used for storing belongings or other materials.'</w:t>
            </w:r>
          </w:p>
          <w:p w14:paraId="0594D962" w14:textId="77777777" w:rsidR="00CB106E" w:rsidRPr="0048751E" w:rsidRDefault="00CB106E" w:rsidP="00CB106E">
            <w:pPr>
              <w:pStyle w:val="ListParagraph"/>
              <w:rPr>
                <w:rFonts w:ascii="Calibri" w:hAnsi="Calibri"/>
                <w:bCs/>
                <w:i/>
                <w:iCs/>
                <w:szCs w:val="22"/>
              </w:rPr>
            </w:pPr>
          </w:p>
          <w:p w14:paraId="03E95F95" w14:textId="77777777" w:rsidR="00417A80" w:rsidRPr="0048751E" w:rsidRDefault="00CB106E" w:rsidP="0048751E">
            <w:pPr>
              <w:pStyle w:val="ListParagraph"/>
              <w:numPr>
                <w:ilvl w:val="0"/>
                <w:numId w:val="2"/>
              </w:numPr>
              <w:jc w:val="both"/>
              <w:rPr>
                <w:rFonts w:ascii="Calibri" w:hAnsi="Calibri"/>
                <w:bCs/>
                <w:i/>
                <w:iCs/>
                <w:szCs w:val="22"/>
              </w:rPr>
            </w:pPr>
            <w:r w:rsidRPr="0048751E">
              <w:rPr>
                <w:rFonts w:ascii="Calibri" w:hAnsi="Calibri"/>
                <w:bCs/>
                <w:i/>
                <w:iCs/>
                <w:szCs w:val="22"/>
              </w:rPr>
              <w:t xml:space="preserve">Any proposals for compensatory voids will need to be agreed with the LPA. The LPA will need to be satisfied that specific measures for ongoing operation and maintenance of stilts / voids, can be safeguarded for the lifetime of the development and in ensuring that any spaces are accessible for whatever maintenance would be required. </w:t>
            </w:r>
          </w:p>
          <w:p w14:paraId="2B04892F" w14:textId="77777777" w:rsidR="00417A80" w:rsidRPr="0048751E" w:rsidRDefault="00417A80" w:rsidP="0048751E">
            <w:pPr>
              <w:pStyle w:val="ListParagraph"/>
              <w:jc w:val="both"/>
              <w:rPr>
                <w:rFonts w:ascii="Calibri" w:hAnsi="Calibri"/>
                <w:bCs/>
                <w:i/>
                <w:iCs/>
                <w:szCs w:val="22"/>
              </w:rPr>
            </w:pPr>
          </w:p>
          <w:p w14:paraId="6C091930" w14:textId="77777777" w:rsidR="00417A80" w:rsidRPr="0048751E" w:rsidRDefault="00CB106E" w:rsidP="0048751E">
            <w:pPr>
              <w:pStyle w:val="ListParagraph"/>
              <w:numPr>
                <w:ilvl w:val="0"/>
                <w:numId w:val="2"/>
              </w:numPr>
              <w:jc w:val="both"/>
              <w:rPr>
                <w:rFonts w:ascii="Calibri" w:hAnsi="Calibri"/>
                <w:bCs/>
                <w:i/>
                <w:iCs/>
                <w:szCs w:val="22"/>
              </w:rPr>
            </w:pPr>
            <w:r w:rsidRPr="0048751E">
              <w:rPr>
                <w:rFonts w:ascii="Calibri" w:hAnsi="Calibri"/>
                <w:bCs/>
                <w:i/>
                <w:iCs/>
                <w:szCs w:val="22"/>
              </w:rPr>
              <w:lastRenderedPageBreak/>
              <w:t xml:space="preserve">Detail the access and egress routes or procedures in a 1% AEP with allowance for climate change event. Therefore, the safety of people from the identified flood hazards has not been adequately considered. </w:t>
            </w:r>
          </w:p>
          <w:p w14:paraId="34182466" w14:textId="77777777" w:rsidR="00417A80" w:rsidRPr="0048751E" w:rsidRDefault="00417A80" w:rsidP="0048751E">
            <w:pPr>
              <w:pStyle w:val="ListParagraph"/>
              <w:jc w:val="both"/>
              <w:rPr>
                <w:rFonts w:ascii="Calibri" w:hAnsi="Calibri"/>
                <w:bCs/>
                <w:i/>
                <w:iCs/>
                <w:szCs w:val="22"/>
              </w:rPr>
            </w:pPr>
          </w:p>
          <w:p w14:paraId="4C156E04" w14:textId="77777777" w:rsidR="00417A80" w:rsidRPr="0048751E" w:rsidRDefault="00CB106E" w:rsidP="0048751E">
            <w:pPr>
              <w:pStyle w:val="ListParagraph"/>
              <w:numPr>
                <w:ilvl w:val="0"/>
                <w:numId w:val="2"/>
              </w:numPr>
              <w:jc w:val="both"/>
              <w:rPr>
                <w:rFonts w:ascii="Calibri" w:hAnsi="Calibri"/>
                <w:bCs/>
                <w:i/>
                <w:iCs/>
                <w:szCs w:val="22"/>
              </w:rPr>
            </w:pPr>
            <w:r w:rsidRPr="0048751E">
              <w:rPr>
                <w:rFonts w:ascii="Calibri" w:hAnsi="Calibri"/>
                <w:bCs/>
                <w:i/>
                <w:iCs/>
                <w:szCs w:val="22"/>
              </w:rPr>
              <w:t>Meet guidance provided in the PPG regarding finished floor levels which states: “Finished floor levels should be a minimum of whichever is higher of:</w:t>
            </w:r>
          </w:p>
          <w:p w14:paraId="6D2A7B59" w14:textId="77777777" w:rsidR="00417A80" w:rsidRPr="0048751E" w:rsidRDefault="00417A80" w:rsidP="0048751E">
            <w:pPr>
              <w:pStyle w:val="ListParagraph"/>
              <w:jc w:val="both"/>
              <w:rPr>
                <w:rFonts w:ascii="Calibri" w:hAnsi="Calibri"/>
                <w:bCs/>
                <w:i/>
                <w:iCs/>
                <w:szCs w:val="22"/>
              </w:rPr>
            </w:pPr>
          </w:p>
          <w:p w14:paraId="1F016C80" w14:textId="77777777" w:rsidR="00417A80" w:rsidRPr="0048751E" w:rsidRDefault="00CB106E" w:rsidP="0048751E">
            <w:pPr>
              <w:pStyle w:val="ListParagraph"/>
              <w:numPr>
                <w:ilvl w:val="0"/>
                <w:numId w:val="2"/>
              </w:numPr>
              <w:jc w:val="both"/>
              <w:rPr>
                <w:rFonts w:ascii="Calibri" w:hAnsi="Calibri"/>
                <w:bCs/>
                <w:i/>
                <w:iCs/>
                <w:szCs w:val="22"/>
              </w:rPr>
            </w:pPr>
            <w:r w:rsidRPr="0048751E">
              <w:rPr>
                <w:rFonts w:ascii="Calibri" w:hAnsi="Calibri"/>
                <w:bCs/>
                <w:i/>
                <w:iCs/>
                <w:szCs w:val="22"/>
              </w:rPr>
              <w:t>300 millimetres (mm) above the general ground level of the site</w:t>
            </w:r>
          </w:p>
          <w:p w14:paraId="14AC385A" w14:textId="77777777" w:rsidR="00417A80" w:rsidRPr="0048751E" w:rsidRDefault="00417A80" w:rsidP="0048751E">
            <w:pPr>
              <w:pStyle w:val="ListParagraph"/>
              <w:jc w:val="both"/>
              <w:rPr>
                <w:rFonts w:ascii="Calibri" w:hAnsi="Calibri"/>
                <w:bCs/>
                <w:i/>
                <w:iCs/>
                <w:szCs w:val="22"/>
              </w:rPr>
            </w:pPr>
          </w:p>
          <w:p w14:paraId="4D52CB20" w14:textId="77777777" w:rsidR="00417A80" w:rsidRPr="0048751E" w:rsidRDefault="00CB106E" w:rsidP="0048751E">
            <w:pPr>
              <w:pStyle w:val="ListParagraph"/>
              <w:numPr>
                <w:ilvl w:val="0"/>
                <w:numId w:val="2"/>
              </w:numPr>
              <w:jc w:val="both"/>
              <w:rPr>
                <w:rFonts w:ascii="Calibri" w:hAnsi="Calibri"/>
                <w:bCs/>
                <w:i/>
                <w:iCs/>
                <w:szCs w:val="22"/>
              </w:rPr>
            </w:pPr>
            <w:r w:rsidRPr="0048751E">
              <w:rPr>
                <w:rFonts w:ascii="Calibri" w:hAnsi="Calibri"/>
                <w:bCs/>
                <w:i/>
                <w:iCs/>
                <w:szCs w:val="22"/>
              </w:rPr>
              <w:t>600mm above the estimated river or sea flood level”</w:t>
            </w:r>
          </w:p>
          <w:p w14:paraId="7C476343" w14:textId="77777777" w:rsidR="00417A80" w:rsidRPr="0048751E" w:rsidRDefault="00417A80" w:rsidP="0048751E">
            <w:pPr>
              <w:pStyle w:val="ListParagraph"/>
              <w:jc w:val="both"/>
              <w:rPr>
                <w:rFonts w:ascii="Calibri" w:hAnsi="Calibri"/>
                <w:bCs/>
                <w:i/>
                <w:iCs/>
                <w:szCs w:val="22"/>
              </w:rPr>
            </w:pPr>
          </w:p>
          <w:p w14:paraId="74C5F389" w14:textId="5235A1F3" w:rsidR="00CB106E" w:rsidRPr="0048751E" w:rsidRDefault="00CB106E" w:rsidP="0048751E">
            <w:pPr>
              <w:pStyle w:val="ListParagraph"/>
              <w:numPr>
                <w:ilvl w:val="0"/>
                <w:numId w:val="2"/>
              </w:numPr>
              <w:jc w:val="both"/>
              <w:rPr>
                <w:rFonts w:ascii="Calibri" w:hAnsi="Calibri"/>
                <w:bCs/>
                <w:i/>
                <w:iCs/>
                <w:szCs w:val="22"/>
              </w:rPr>
            </w:pPr>
            <w:r w:rsidRPr="0048751E">
              <w:rPr>
                <w:rFonts w:ascii="Calibri" w:hAnsi="Calibri"/>
                <w:bCs/>
                <w:i/>
                <w:iCs/>
                <w:szCs w:val="22"/>
              </w:rPr>
              <w:t xml:space="preserve">Inadequate justification for the use of lower finished floor levels been provided. Due to the high risk of flooding at this location, it is considered that the recommended freeboard in the PPG should be upheld. </w:t>
            </w:r>
          </w:p>
          <w:p w14:paraId="691CBB57" w14:textId="77777777" w:rsidR="00CB106E" w:rsidRPr="0048751E" w:rsidRDefault="00CB106E" w:rsidP="00CB106E">
            <w:pPr>
              <w:rPr>
                <w:rFonts w:ascii="Calibri" w:hAnsi="Calibri"/>
                <w:bCs/>
                <w:i/>
                <w:iCs/>
                <w:szCs w:val="22"/>
              </w:rPr>
            </w:pPr>
            <w:r w:rsidRPr="0048751E">
              <w:rPr>
                <w:rFonts w:ascii="Calibri" w:hAnsi="Calibri"/>
                <w:bCs/>
                <w:i/>
                <w:iCs/>
                <w:szCs w:val="22"/>
              </w:rPr>
              <w:t xml:space="preserve"> </w:t>
            </w:r>
          </w:p>
          <w:p w14:paraId="0E4BDA17" w14:textId="77777777" w:rsidR="00CB106E" w:rsidRPr="0048751E" w:rsidRDefault="00CB106E" w:rsidP="00CB106E">
            <w:pPr>
              <w:rPr>
                <w:rFonts w:ascii="Calibri" w:hAnsi="Calibri"/>
                <w:bCs/>
                <w:i/>
                <w:iCs/>
                <w:szCs w:val="22"/>
              </w:rPr>
            </w:pPr>
            <w:r w:rsidRPr="0048751E">
              <w:rPr>
                <w:rFonts w:ascii="Calibri" w:hAnsi="Calibri"/>
                <w:bCs/>
                <w:i/>
                <w:iCs/>
                <w:szCs w:val="22"/>
              </w:rPr>
              <w:t xml:space="preserve">In addition: </w:t>
            </w:r>
          </w:p>
          <w:p w14:paraId="44A7BA56" w14:textId="77777777" w:rsidR="00417A80" w:rsidRPr="0048751E" w:rsidRDefault="00417A80" w:rsidP="00CB106E">
            <w:pPr>
              <w:rPr>
                <w:rFonts w:ascii="Calibri" w:hAnsi="Calibri"/>
                <w:bCs/>
                <w:i/>
                <w:iCs/>
                <w:szCs w:val="22"/>
              </w:rPr>
            </w:pPr>
          </w:p>
          <w:p w14:paraId="15568361" w14:textId="62E16877" w:rsidR="0048751E" w:rsidRPr="00A80993" w:rsidRDefault="00CB106E" w:rsidP="00A80993">
            <w:pPr>
              <w:pStyle w:val="ListParagraph"/>
              <w:numPr>
                <w:ilvl w:val="0"/>
                <w:numId w:val="3"/>
              </w:numPr>
              <w:jc w:val="both"/>
              <w:rPr>
                <w:rFonts w:ascii="Calibri" w:hAnsi="Calibri"/>
                <w:b/>
                <w:szCs w:val="22"/>
              </w:rPr>
            </w:pPr>
            <w:r w:rsidRPr="0048751E">
              <w:rPr>
                <w:rFonts w:ascii="Calibri" w:hAnsi="Calibri"/>
                <w:bCs/>
                <w:i/>
                <w:iCs/>
                <w:szCs w:val="22"/>
              </w:rPr>
              <w:t>The FRA has outlined that the finished floor levels will be raised by 1.2m above ground level, however, this is not shown on the proposed plans. The proposed building 1 dwg. Referenced ALP/22A-01 and dated 14/12/22, indicates floor level 1050mm above ground level, however there is not annotation on the drawing to suggest what this level is. The proposed finished flood level shown on the drawing should be same as that recommended in the FRA, which is stated as no lower than 83.50mAOD, i.e. a minimum of 300mm above the design flood event</w:t>
            </w:r>
            <w:r w:rsidRPr="0048751E">
              <w:rPr>
                <w:rFonts w:ascii="Calibri" w:hAnsi="Calibri"/>
                <w:b/>
                <w:i/>
                <w:iCs/>
                <w:szCs w:val="22"/>
              </w:rPr>
              <w:t>.</w:t>
            </w:r>
            <w:r w:rsidRPr="00417A80">
              <w:rPr>
                <w:rFonts w:ascii="Calibri" w:hAnsi="Calibri"/>
                <w:b/>
                <w:szCs w:val="22"/>
              </w:rPr>
              <w:t xml:space="preserve"> </w:t>
            </w:r>
          </w:p>
        </w:tc>
      </w:tr>
      <w:tr w:rsidR="000E2E3C" w:rsidRPr="00D2449B" w14:paraId="185B9C76"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C6567A" w14:textId="2F009509" w:rsidR="000E2E3C" w:rsidRDefault="000E2E3C">
            <w:pPr>
              <w:rPr>
                <w:rFonts w:ascii="Calibri" w:hAnsi="Calibri"/>
                <w:b/>
                <w:szCs w:val="22"/>
              </w:rPr>
            </w:pPr>
            <w:r>
              <w:rPr>
                <w:rFonts w:ascii="Calibri" w:hAnsi="Calibri"/>
                <w:b/>
                <w:szCs w:val="22"/>
              </w:rPr>
              <w:lastRenderedPageBreak/>
              <w:t>LCC PROW Team:</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F04A35" w14:textId="77777777" w:rsidR="000E2E3C" w:rsidRPr="00D2449B" w:rsidRDefault="000E2E3C">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1DEACC" w14:textId="3ECF8E20" w:rsidR="000E2E3C" w:rsidRDefault="000E2E3C" w:rsidP="000E2E3C">
            <w:pPr>
              <w:rPr>
                <w:rFonts w:ascii="Calibri" w:hAnsi="Calibri"/>
                <w:szCs w:val="22"/>
              </w:rPr>
            </w:pPr>
            <w:r w:rsidRPr="000E2E3C">
              <w:rPr>
                <w:rFonts w:ascii="Calibri" w:hAnsi="Calibri"/>
                <w:szCs w:val="22"/>
              </w:rPr>
              <w:t xml:space="preserve">Lancashire County Council Public Rights of </w:t>
            </w:r>
            <w:r>
              <w:rPr>
                <w:rFonts w:ascii="Calibri" w:hAnsi="Calibri"/>
                <w:szCs w:val="22"/>
              </w:rPr>
              <w:t>W</w:t>
            </w:r>
            <w:r w:rsidRPr="000E2E3C">
              <w:rPr>
                <w:rFonts w:ascii="Calibri" w:hAnsi="Calibri"/>
                <w:szCs w:val="22"/>
              </w:rPr>
              <w:t xml:space="preserve">ay has </w:t>
            </w:r>
            <w:r>
              <w:rPr>
                <w:rFonts w:ascii="Calibri" w:hAnsi="Calibri"/>
                <w:szCs w:val="22"/>
              </w:rPr>
              <w:t xml:space="preserve">raised </w:t>
            </w:r>
            <w:r w:rsidRPr="000E2E3C">
              <w:rPr>
                <w:rFonts w:ascii="Calibri" w:hAnsi="Calibri"/>
                <w:szCs w:val="22"/>
              </w:rPr>
              <w:t xml:space="preserve">no objection to the application </w:t>
            </w:r>
            <w:r>
              <w:rPr>
                <w:rFonts w:ascii="Calibri" w:hAnsi="Calibri"/>
                <w:szCs w:val="22"/>
              </w:rPr>
              <w:t>offering the following observations:</w:t>
            </w:r>
          </w:p>
          <w:p w14:paraId="21070051" w14:textId="77777777" w:rsidR="000E2E3C" w:rsidRPr="000E2E3C" w:rsidRDefault="000E2E3C" w:rsidP="000E2E3C">
            <w:pPr>
              <w:rPr>
                <w:rFonts w:ascii="Calibri" w:hAnsi="Calibri"/>
                <w:szCs w:val="22"/>
              </w:rPr>
            </w:pPr>
          </w:p>
          <w:p w14:paraId="05AB6FF7" w14:textId="0AFCFB42" w:rsidR="000E2E3C" w:rsidRPr="008F45AC" w:rsidRDefault="000E2E3C" w:rsidP="008F45AC">
            <w:pPr>
              <w:jc w:val="both"/>
              <w:rPr>
                <w:rFonts w:ascii="Calibri" w:hAnsi="Calibri"/>
                <w:i/>
                <w:iCs/>
                <w:szCs w:val="22"/>
              </w:rPr>
            </w:pPr>
            <w:r w:rsidRPr="008F45AC">
              <w:rPr>
                <w:rFonts w:ascii="Calibri" w:hAnsi="Calibri"/>
                <w:i/>
                <w:iCs/>
                <w:szCs w:val="22"/>
              </w:rPr>
              <w:t xml:space="preserve">Footpath FP0301006a runs along the southern boundary of the development. To protect the safety of those using the public right a minimum width of 2m is to be maintained and free from obstruction. The public right of way should not be used to store materials, vehicles or machinery and if found to do so would be deemed an obstruction and the applicant would be subject to enforcement proceedings to remove. </w:t>
            </w:r>
          </w:p>
          <w:p w14:paraId="78BB55A7" w14:textId="77777777" w:rsidR="000E2E3C" w:rsidRPr="008F45AC" w:rsidRDefault="000E2E3C" w:rsidP="008F45AC">
            <w:pPr>
              <w:jc w:val="both"/>
              <w:rPr>
                <w:rFonts w:ascii="Calibri" w:hAnsi="Calibri"/>
                <w:i/>
                <w:iCs/>
                <w:szCs w:val="22"/>
              </w:rPr>
            </w:pPr>
          </w:p>
          <w:p w14:paraId="1CF2FA79" w14:textId="6B7D3DCD" w:rsidR="000E2E3C" w:rsidRPr="008F45AC" w:rsidRDefault="000E2E3C" w:rsidP="008F45AC">
            <w:pPr>
              <w:jc w:val="both"/>
              <w:rPr>
                <w:rFonts w:ascii="Calibri" w:hAnsi="Calibri"/>
                <w:b/>
                <w:bCs/>
                <w:i/>
                <w:iCs/>
                <w:szCs w:val="22"/>
              </w:rPr>
            </w:pPr>
            <w:r w:rsidRPr="008F45AC">
              <w:rPr>
                <w:rFonts w:ascii="Calibri" w:hAnsi="Calibri"/>
                <w:b/>
                <w:bCs/>
                <w:i/>
                <w:iCs/>
                <w:szCs w:val="22"/>
              </w:rPr>
              <w:t xml:space="preserve">Ground </w:t>
            </w:r>
            <w:r w:rsidR="00CB106E" w:rsidRPr="008F45AC">
              <w:rPr>
                <w:rFonts w:ascii="Calibri" w:hAnsi="Calibri"/>
                <w:b/>
                <w:bCs/>
                <w:i/>
                <w:iCs/>
                <w:szCs w:val="22"/>
              </w:rPr>
              <w:t>L</w:t>
            </w:r>
            <w:r w:rsidRPr="008F45AC">
              <w:rPr>
                <w:rFonts w:ascii="Calibri" w:hAnsi="Calibri"/>
                <w:b/>
                <w:bCs/>
                <w:i/>
                <w:iCs/>
                <w:szCs w:val="22"/>
              </w:rPr>
              <w:t>evel/</w:t>
            </w:r>
            <w:r w:rsidR="00CB106E" w:rsidRPr="008F45AC">
              <w:rPr>
                <w:rFonts w:ascii="Calibri" w:hAnsi="Calibri"/>
                <w:b/>
                <w:bCs/>
                <w:i/>
                <w:iCs/>
                <w:szCs w:val="22"/>
              </w:rPr>
              <w:t>D</w:t>
            </w:r>
            <w:r w:rsidRPr="008F45AC">
              <w:rPr>
                <w:rFonts w:ascii="Calibri" w:hAnsi="Calibri"/>
                <w:b/>
                <w:bCs/>
                <w:i/>
                <w:iCs/>
                <w:szCs w:val="22"/>
              </w:rPr>
              <w:t xml:space="preserve">rainage </w:t>
            </w:r>
          </w:p>
          <w:p w14:paraId="77FB0C0D" w14:textId="5DA4317B" w:rsidR="000E2E3C" w:rsidRPr="008F45AC" w:rsidRDefault="000E2E3C" w:rsidP="008F45AC">
            <w:pPr>
              <w:jc w:val="both"/>
              <w:rPr>
                <w:rFonts w:ascii="Calibri" w:hAnsi="Calibri"/>
                <w:i/>
                <w:iCs/>
                <w:szCs w:val="22"/>
              </w:rPr>
            </w:pPr>
            <w:r w:rsidRPr="008F45AC">
              <w:rPr>
                <w:rFonts w:ascii="Calibri" w:hAnsi="Calibri"/>
                <w:i/>
                <w:iCs/>
                <w:szCs w:val="22"/>
              </w:rPr>
              <w:t>Any changes in ground level or installation of drainage should ensure that surface water is not channelled towards or onto a public right of way either within the proposed development site or in close proximity – this is to ensure public rights of way are not exposed to potential flooding or future</w:t>
            </w:r>
            <w:r w:rsidR="00CB106E" w:rsidRPr="008F45AC">
              <w:rPr>
                <w:rFonts w:ascii="Calibri" w:hAnsi="Calibri"/>
                <w:i/>
                <w:iCs/>
                <w:szCs w:val="22"/>
              </w:rPr>
              <w:t xml:space="preserve"> </w:t>
            </w:r>
            <w:r w:rsidRPr="008F45AC">
              <w:rPr>
                <w:rFonts w:ascii="Calibri" w:hAnsi="Calibri"/>
                <w:i/>
                <w:iCs/>
                <w:szCs w:val="22"/>
              </w:rPr>
              <w:t>maintenance issues</w:t>
            </w:r>
            <w:r w:rsidR="00CB106E" w:rsidRPr="008F45AC">
              <w:rPr>
                <w:rFonts w:ascii="Calibri" w:hAnsi="Calibri"/>
                <w:i/>
                <w:iCs/>
                <w:szCs w:val="22"/>
              </w:rPr>
              <w:t>.</w:t>
            </w:r>
          </w:p>
          <w:p w14:paraId="684DFB74" w14:textId="77777777" w:rsidR="00CB106E" w:rsidRPr="008F45AC" w:rsidRDefault="00CB106E" w:rsidP="008F45AC">
            <w:pPr>
              <w:jc w:val="both"/>
              <w:rPr>
                <w:rFonts w:ascii="Calibri" w:hAnsi="Calibri"/>
                <w:i/>
                <w:iCs/>
                <w:szCs w:val="22"/>
              </w:rPr>
            </w:pPr>
          </w:p>
          <w:p w14:paraId="750A4B7A" w14:textId="7F0B1C6A" w:rsidR="000E2E3C" w:rsidRPr="008F45AC" w:rsidRDefault="000E2E3C" w:rsidP="008F45AC">
            <w:pPr>
              <w:jc w:val="both"/>
              <w:rPr>
                <w:rFonts w:ascii="Calibri" w:hAnsi="Calibri"/>
                <w:b/>
                <w:bCs/>
                <w:i/>
                <w:iCs/>
                <w:szCs w:val="22"/>
              </w:rPr>
            </w:pPr>
            <w:r w:rsidRPr="008F45AC">
              <w:rPr>
                <w:rFonts w:ascii="Calibri" w:hAnsi="Calibri"/>
                <w:b/>
                <w:bCs/>
                <w:i/>
                <w:iCs/>
                <w:szCs w:val="22"/>
              </w:rPr>
              <w:t xml:space="preserve">Landscaping </w:t>
            </w:r>
          </w:p>
          <w:p w14:paraId="204C204F" w14:textId="1C6D4A3A" w:rsidR="000E2E3C" w:rsidRPr="008F45AC" w:rsidRDefault="000E2E3C" w:rsidP="008F45AC">
            <w:pPr>
              <w:jc w:val="both"/>
              <w:rPr>
                <w:rFonts w:ascii="Calibri" w:hAnsi="Calibri"/>
                <w:i/>
                <w:iCs/>
                <w:szCs w:val="22"/>
              </w:rPr>
            </w:pPr>
            <w:r w:rsidRPr="008F45AC">
              <w:rPr>
                <w:rFonts w:ascii="Calibri" w:hAnsi="Calibri"/>
                <w:i/>
                <w:iCs/>
                <w:szCs w:val="22"/>
              </w:rPr>
              <w:t xml:space="preserve">If the applicant intends landscaping they need to ensure that any trees or bushes are at least 3 metres away from a public right of way to prevent any health and safety issues and potential maintenance issues e.g. Overhanging branches or roots coming through the surface of the footpath concerned either within the proposed development or in close proximity. </w:t>
            </w:r>
          </w:p>
          <w:p w14:paraId="74EBF622" w14:textId="77777777" w:rsidR="00CB106E" w:rsidRPr="008F45AC" w:rsidRDefault="00CB106E" w:rsidP="008F45AC">
            <w:pPr>
              <w:jc w:val="both"/>
              <w:rPr>
                <w:rFonts w:ascii="Calibri" w:hAnsi="Calibri"/>
                <w:i/>
                <w:iCs/>
                <w:szCs w:val="22"/>
              </w:rPr>
            </w:pPr>
          </w:p>
          <w:p w14:paraId="2380344B" w14:textId="6428D6EA" w:rsidR="000E2E3C" w:rsidRPr="008F45AC" w:rsidRDefault="000E2E3C" w:rsidP="008F45AC">
            <w:pPr>
              <w:jc w:val="both"/>
              <w:rPr>
                <w:rFonts w:ascii="Calibri" w:hAnsi="Calibri"/>
                <w:b/>
                <w:bCs/>
                <w:i/>
                <w:iCs/>
                <w:szCs w:val="22"/>
              </w:rPr>
            </w:pPr>
            <w:r w:rsidRPr="008F45AC">
              <w:rPr>
                <w:rFonts w:ascii="Calibri" w:hAnsi="Calibri"/>
                <w:b/>
                <w:bCs/>
                <w:i/>
                <w:iCs/>
                <w:szCs w:val="22"/>
              </w:rPr>
              <w:t xml:space="preserve">Temporary </w:t>
            </w:r>
            <w:r w:rsidR="00CB106E" w:rsidRPr="008F45AC">
              <w:rPr>
                <w:rFonts w:ascii="Calibri" w:hAnsi="Calibri"/>
                <w:b/>
                <w:bCs/>
                <w:i/>
                <w:iCs/>
                <w:szCs w:val="22"/>
              </w:rPr>
              <w:t>C</w:t>
            </w:r>
            <w:r w:rsidRPr="008F45AC">
              <w:rPr>
                <w:rFonts w:ascii="Calibri" w:hAnsi="Calibri"/>
                <w:b/>
                <w:bCs/>
                <w:i/>
                <w:iCs/>
                <w:szCs w:val="22"/>
              </w:rPr>
              <w:t xml:space="preserve">losure </w:t>
            </w:r>
          </w:p>
          <w:p w14:paraId="44F681DA" w14:textId="2BAE3CC4" w:rsidR="000E2E3C" w:rsidRPr="008F45AC" w:rsidRDefault="000E2E3C" w:rsidP="008F45AC">
            <w:pPr>
              <w:jc w:val="both"/>
              <w:rPr>
                <w:rFonts w:ascii="Calibri" w:hAnsi="Calibri"/>
                <w:i/>
                <w:iCs/>
                <w:szCs w:val="22"/>
              </w:rPr>
            </w:pPr>
            <w:r w:rsidRPr="008F45AC">
              <w:rPr>
                <w:rFonts w:ascii="Calibri" w:hAnsi="Calibri"/>
                <w:i/>
                <w:iCs/>
                <w:szCs w:val="22"/>
              </w:rPr>
              <w:t>If works relating to the proposed development are likely to cause a health and safety risk to users of a public right of way a temporary closure order must be made and in effect prior to commencing those works. Applications should be made 4 weeks before commencement to avoid delay to the works.</w:t>
            </w:r>
          </w:p>
          <w:p w14:paraId="6E1FBDBF" w14:textId="77777777" w:rsidR="00CB106E" w:rsidRPr="008F45AC" w:rsidRDefault="00CB106E" w:rsidP="008F45AC">
            <w:pPr>
              <w:jc w:val="both"/>
              <w:rPr>
                <w:rFonts w:ascii="Calibri" w:hAnsi="Calibri"/>
                <w:i/>
                <w:iCs/>
                <w:szCs w:val="22"/>
              </w:rPr>
            </w:pPr>
          </w:p>
          <w:p w14:paraId="3FE06B40" w14:textId="77777777" w:rsidR="000E2E3C" w:rsidRPr="008F45AC" w:rsidRDefault="000E2E3C" w:rsidP="008F45AC">
            <w:pPr>
              <w:jc w:val="both"/>
              <w:rPr>
                <w:rFonts w:ascii="Calibri" w:hAnsi="Calibri"/>
                <w:b/>
                <w:bCs/>
                <w:i/>
                <w:iCs/>
                <w:szCs w:val="22"/>
              </w:rPr>
            </w:pPr>
            <w:r w:rsidRPr="008F45AC">
              <w:rPr>
                <w:rFonts w:ascii="Calibri" w:hAnsi="Calibri"/>
                <w:b/>
                <w:bCs/>
                <w:i/>
                <w:iCs/>
                <w:szCs w:val="22"/>
              </w:rPr>
              <w:t xml:space="preserve">Diversion </w:t>
            </w:r>
          </w:p>
          <w:p w14:paraId="313BB6B8" w14:textId="7DFE7073" w:rsidR="000E2E3C" w:rsidRPr="008F45AC" w:rsidRDefault="000E2E3C" w:rsidP="008F45AC">
            <w:pPr>
              <w:jc w:val="both"/>
              <w:rPr>
                <w:rFonts w:ascii="Calibri" w:hAnsi="Calibri"/>
                <w:i/>
                <w:iCs/>
                <w:szCs w:val="22"/>
              </w:rPr>
            </w:pPr>
            <w:r w:rsidRPr="008F45AC">
              <w:rPr>
                <w:rFonts w:ascii="Calibri" w:hAnsi="Calibri"/>
                <w:i/>
                <w:iCs/>
                <w:szCs w:val="22"/>
              </w:rPr>
              <w:t>If a diversion is needed or intended the applicant needs to ensure that the diversion is in place prior to any work commencing on a public right of way. Any disturbance of the existing route, without the appropriate confirmed Diversion Order would be liable to enforcement action taken against the</w:t>
            </w:r>
            <w:r w:rsidR="00CB106E" w:rsidRPr="008F45AC">
              <w:rPr>
                <w:rFonts w:ascii="Calibri" w:hAnsi="Calibri"/>
                <w:i/>
                <w:iCs/>
                <w:szCs w:val="22"/>
              </w:rPr>
              <w:t xml:space="preserve"> </w:t>
            </w:r>
            <w:r w:rsidRPr="008F45AC">
              <w:rPr>
                <w:rFonts w:ascii="Calibri" w:hAnsi="Calibri"/>
                <w:i/>
                <w:iCs/>
                <w:szCs w:val="22"/>
              </w:rPr>
              <w:t xml:space="preserve">developer. </w:t>
            </w:r>
          </w:p>
          <w:p w14:paraId="4440F224" w14:textId="77777777" w:rsidR="00CB106E" w:rsidRPr="008F45AC" w:rsidRDefault="00CB106E" w:rsidP="008F45AC">
            <w:pPr>
              <w:jc w:val="both"/>
              <w:rPr>
                <w:rFonts w:ascii="Calibri" w:hAnsi="Calibri"/>
                <w:i/>
                <w:iCs/>
                <w:szCs w:val="22"/>
              </w:rPr>
            </w:pPr>
          </w:p>
          <w:p w14:paraId="5ADD7181" w14:textId="77777777" w:rsidR="000E2E3C" w:rsidRPr="008F45AC" w:rsidRDefault="000E2E3C" w:rsidP="008F45AC">
            <w:pPr>
              <w:jc w:val="both"/>
              <w:rPr>
                <w:rFonts w:ascii="Calibri" w:hAnsi="Calibri"/>
                <w:b/>
                <w:bCs/>
                <w:i/>
                <w:iCs/>
                <w:szCs w:val="22"/>
              </w:rPr>
            </w:pPr>
            <w:r w:rsidRPr="008F45AC">
              <w:rPr>
                <w:rFonts w:ascii="Calibri" w:hAnsi="Calibri"/>
                <w:b/>
                <w:bCs/>
                <w:i/>
                <w:iCs/>
                <w:szCs w:val="22"/>
              </w:rPr>
              <w:lastRenderedPageBreak/>
              <w:t xml:space="preserve">Obstruction </w:t>
            </w:r>
          </w:p>
          <w:p w14:paraId="644FA803" w14:textId="0A963270" w:rsidR="000E2E3C" w:rsidRPr="008F45AC" w:rsidRDefault="000E2E3C" w:rsidP="008F45AC">
            <w:pPr>
              <w:jc w:val="both"/>
              <w:rPr>
                <w:rFonts w:ascii="Calibri" w:hAnsi="Calibri"/>
                <w:i/>
                <w:iCs/>
                <w:szCs w:val="22"/>
              </w:rPr>
            </w:pPr>
            <w:r w:rsidRPr="008F45AC">
              <w:rPr>
                <w:rFonts w:ascii="Calibri" w:hAnsi="Calibri"/>
                <w:i/>
                <w:iCs/>
                <w:szCs w:val="22"/>
              </w:rPr>
              <w:t xml:space="preserve">A public right of way should not be used to store materials, vehicles or machinery and if found to do so would be deemed an obstruction and the applicant would be subject to enforcement proceedings to remove. </w:t>
            </w:r>
          </w:p>
          <w:p w14:paraId="5EED64F6" w14:textId="3F19A09E" w:rsidR="000E2E3C" w:rsidRPr="008F45AC" w:rsidRDefault="000E2E3C" w:rsidP="008F45AC">
            <w:pPr>
              <w:jc w:val="both"/>
              <w:rPr>
                <w:rFonts w:ascii="Calibri" w:hAnsi="Calibri"/>
                <w:i/>
                <w:iCs/>
                <w:szCs w:val="22"/>
              </w:rPr>
            </w:pPr>
          </w:p>
          <w:p w14:paraId="54472475" w14:textId="77777777" w:rsidR="000E2E3C" w:rsidRPr="008F45AC" w:rsidRDefault="000E2E3C" w:rsidP="008F45AC">
            <w:pPr>
              <w:jc w:val="both"/>
              <w:rPr>
                <w:rFonts w:ascii="Calibri" w:hAnsi="Calibri"/>
                <w:b/>
                <w:bCs/>
                <w:i/>
                <w:iCs/>
                <w:szCs w:val="22"/>
              </w:rPr>
            </w:pPr>
            <w:r w:rsidRPr="008F45AC">
              <w:rPr>
                <w:rFonts w:ascii="Calibri" w:hAnsi="Calibri"/>
                <w:b/>
                <w:bCs/>
                <w:i/>
                <w:iCs/>
                <w:szCs w:val="22"/>
              </w:rPr>
              <w:t xml:space="preserve">Publicity of Application </w:t>
            </w:r>
          </w:p>
          <w:p w14:paraId="55E19BAE" w14:textId="77777777" w:rsidR="00C0704D" w:rsidRPr="008F45AC" w:rsidRDefault="000E2E3C" w:rsidP="008F45AC">
            <w:pPr>
              <w:jc w:val="both"/>
              <w:rPr>
                <w:rFonts w:ascii="Calibri" w:hAnsi="Calibri"/>
                <w:i/>
                <w:iCs/>
                <w:szCs w:val="22"/>
              </w:rPr>
            </w:pPr>
            <w:r w:rsidRPr="008F45AC">
              <w:rPr>
                <w:rFonts w:ascii="Calibri" w:hAnsi="Calibri"/>
                <w:i/>
                <w:iCs/>
                <w:szCs w:val="22"/>
              </w:rPr>
              <w:t>All applications that affect a public right of way (footpath, bridleway or byway), must be publicised by site notice in at least one place on or near the land to which the application relates for not less than 21 days; and by publication of the notice in a newspaper circulating in the locality in which the land to which the application relates is situated.</w:t>
            </w:r>
          </w:p>
          <w:p w14:paraId="6149AC5C" w14:textId="3BA069F1" w:rsidR="00CB106E" w:rsidRPr="00C0704D" w:rsidRDefault="00CB106E" w:rsidP="000E2E3C">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lastRenderedPageBreak/>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EEC7D0" w14:textId="77777777" w:rsidR="00D770BD" w:rsidRDefault="00D770BD" w:rsidP="00692B60">
            <w:pPr>
              <w:rPr>
                <w:rFonts w:ascii="Calibri" w:hAnsi="Calibri"/>
                <w:szCs w:val="22"/>
              </w:rPr>
            </w:pPr>
          </w:p>
          <w:p w14:paraId="20745FDF" w14:textId="58DBB8A9" w:rsidR="00C0704D" w:rsidRDefault="00D770BD" w:rsidP="00692B60">
            <w:pPr>
              <w:rPr>
                <w:rFonts w:ascii="Calibri" w:hAnsi="Calibri"/>
                <w:szCs w:val="22"/>
              </w:rPr>
            </w:pPr>
            <w:r>
              <w:rPr>
                <w:rFonts w:ascii="Calibri" w:hAnsi="Calibri"/>
                <w:szCs w:val="22"/>
              </w:rPr>
              <w:t>Two letters of representation have been received objecting on the following grounds:</w:t>
            </w:r>
          </w:p>
          <w:p w14:paraId="1A8B21F0" w14:textId="77777777" w:rsidR="00D770BD" w:rsidRDefault="00D770BD" w:rsidP="00692B60">
            <w:pPr>
              <w:rPr>
                <w:rFonts w:ascii="Calibri" w:hAnsi="Calibri"/>
                <w:szCs w:val="22"/>
              </w:rPr>
            </w:pPr>
          </w:p>
          <w:p w14:paraId="68704446" w14:textId="1DD7CBC3" w:rsidR="00D770BD" w:rsidRDefault="00D770BD" w:rsidP="00D770BD">
            <w:pPr>
              <w:pStyle w:val="ListParagraph"/>
              <w:numPr>
                <w:ilvl w:val="0"/>
                <w:numId w:val="3"/>
              </w:numPr>
              <w:rPr>
                <w:rFonts w:ascii="Calibri" w:hAnsi="Calibri"/>
                <w:szCs w:val="22"/>
              </w:rPr>
            </w:pPr>
            <w:r>
              <w:rPr>
                <w:rFonts w:ascii="Calibri" w:hAnsi="Calibri"/>
                <w:szCs w:val="22"/>
              </w:rPr>
              <w:t>Inaccurate site plan information</w:t>
            </w:r>
          </w:p>
          <w:p w14:paraId="665E5775" w14:textId="073DB4F0" w:rsidR="00D770BD" w:rsidRDefault="00D770BD" w:rsidP="00D770BD">
            <w:pPr>
              <w:pStyle w:val="ListParagraph"/>
              <w:numPr>
                <w:ilvl w:val="0"/>
                <w:numId w:val="3"/>
              </w:numPr>
              <w:rPr>
                <w:rFonts w:ascii="Calibri" w:hAnsi="Calibri"/>
                <w:szCs w:val="22"/>
              </w:rPr>
            </w:pPr>
            <w:r>
              <w:rPr>
                <w:rFonts w:ascii="Calibri" w:hAnsi="Calibri"/>
                <w:szCs w:val="22"/>
              </w:rPr>
              <w:t>Parking area will result in loss of vegetated buffer</w:t>
            </w:r>
          </w:p>
          <w:p w14:paraId="10BFA164" w14:textId="61DEA988" w:rsidR="00D770BD" w:rsidRDefault="00D770BD" w:rsidP="00D770BD">
            <w:pPr>
              <w:pStyle w:val="ListParagraph"/>
              <w:numPr>
                <w:ilvl w:val="0"/>
                <w:numId w:val="3"/>
              </w:numPr>
              <w:rPr>
                <w:rFonts w:ascii="Calibri" w:hAnsi="Calibri"/>
                <w:szCs w:val="22"/>
              </w:rPr>
            </w:pPr>
            <w:r>
              <w:rPr>
                <w:rFonts w:ascii="Calibri" w:hAnsi="Calibri"/>
                <w:szCs w:val="22"/>
              </w:rPr>
              <w:t>Loss of privacy</w:t>
            </w:r>
          </w:p>
          <w:p w14:paraId="3A6215F1" w14:textId="4762DDE5" w:rsidR="00D770BD" w:rsidRDefault="00D770BD" w:rsidP="00D770BD">
            <w:pPr>
              <w:pStyle w:val="ListParagraph"/>
              <w:numPr>
                <w:ilvl w:val="0"/>
                <w:numId w:val="3"/>
              </w:numPr>
              <w:rPr>
                <w:rFonts w:ascii="Calibri" w:hAnsi="Calibri"/>
                <w:szCs w:val="22"/>
              </w:rPr>
            </w:pPr>
            <w:r>
              <w:rPr>
                <w:rFonts w:ascii="Calibri" w:hAnsi="Calibri"/>
                <w:szCs w:val="22"/>
              </w:rPr>
              <w:t>Loss of light</w:t>
            </w:r>
          </w:p>
          <w:p w14:paraId="6512FA18" w14:textId="49FB177F" w:rsidR="00D770BD" w:rsidRPr="00D770BD" w:rsidRDefault="00D770BD" w:rsidP="00D770BD">
            <w:pPr>
              <w:pStyle w:val="ListParagraph"/>
              <w:numPr>
                <w:ilvl w:val="0"/>
                <w:numId w:val="3"/>
              </w:numPr>
              <w:rPr>
                <w:rFonts w:ascii="Calibri" w:hAnsi="Calibri"/>
                <w:szCs w:val="22"/>
              </w:rPr>
            </w:pPr>
            <w:r>
              <w:rPr>
                <w:rFonts w:ascii="Calibri" w:hAnsi="Calibri"/>
                <w:szCs w:val="22"/>
              </w:rPr>
              <w:t>Affects a Public Right of Way</w:t>
            </w:r>
          </w:p>
          <w:p w14:paraId="581BB273" w14:textId="409F58BD" w:rsidR="00D770BD" w:rsidRPr="00C0704D" w:rsidRDefault="00D770BD" w:rsidP="00692B60">
            <w:pPr>
              <w:rPr>
                <w:rFonts w:ascii="Calibri" w:hAnsi="Calibri"/>
                <w:szCs w:val="22"/>
              </w:rPr>
            </w:pP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7FE6859" w14:textId="77777777" w:rsidR="00992C6F" w:rsidRDefault="00992C6F" w:rsidP="00992C6F">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65F5D434" w14:textId="77777777" w:rsidR="00992C6F" w:rsidRDefault="00992C6F" w:rsidP="00992C6F">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F6E201" w14:textId="1BD57BEF" w:rsidR="00992C6F" w:rsidRPr="00C618DB" w:rsidRDefault="00992C6F" w:rsidP="00992C6F">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415AD730"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54FE1AE3"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7447CCED" w14:textId="77777777"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B5:</w:t>
            </w:r>
            <w:r>
              <w:rPr>
                <w:rFonts w:ascii="Calibri" w:hAnsi="Calibri"/>
                <w:szCs w:val="22"/>
              </w:rPr>
              <w:tab/>
              <w:t>Footpaths and Bridleways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3EF0339" w:rsidR="0046548C" w:rsidRPr="000E2E3C" w:rsidRDefault="000E2E3C" w:rsidP="00C0704D">
            <w:pPr>
              <w:pStyle w:val="PLANNING"/>
              <w:rPr>
                <w:rFonts w:ascii="Calibri" w:hAnsi="Calibri"/>
                <w:b/>
                <w:bCs/>
                <w:szCs w:val="22"/>
              </w:rPr>
            </w:pPr>
            <w:r w:rsidRPr="000E2E3C">
              <w:rPr>
                <w:rFonts w:ascii="Calibri" w:hAnsi="Calibri"/>
                <w:b/>
                <w:bCs/>
                <w:szCs w:val="22"/>
              </w:rPr>
              <w:t>3/2023/0265:</w:t>
            </w:r>
          </w:p>
          <w:p w14:paraId="3EF6FA59" w14:textId="3FB2EA62" w:rsidR="000E2E3C" w:rsidRPr="000E2E3C" w:rsidRDefault="000E2E3C" w:rsidP="00C0704D">
            <w:pPr>
              <w:pStyle w:val="PLANNING"/>
              <w:rPr>
                <w:rFonts w:ascii="Calibri" w:hAnsi="Calibri"/>
                <w:szCs w:val="22"/>
              </w:rPr>
            </w:pPr>
            <w:r w:rsidRPr="000E2E3C">
              <w:rPr>
                <w:rFonts w:ascii="Calibri" w:hAnsi="Calibri"/>
                <w:szCs w:val="22"/>
              </w:rPr>
              <w:t>Approval of details reserved by conditions 3 (Demolition Method Statement) and 11 (Construction Method Statement) of planning permission 3/2019/1103.  (Approved)</w:t>
            </w:r>
          </w:p>
          <w:p w14:paraId="1959ABBF" w14:textId="77777777" w:rsidR="000E2E3C" w:rsidRPr="000E2E3C" w:rsidRDefault="000E2E3C" w:rsidP="00C0704D">
            <w:pPr>
              <w:pStyle w:val="PLANNING"/>
              <w:rPr>
                <w:rFonts w:ascii="Calibri" w:hAnsi="Calibri"/>
                <w:b/>
                <w:bCs/>
                <w:szCs w:val="22"/>
              </w:rPr>
            </w:pPr>
          </w:p>
          <w:p w14:paraId="78A08FC8" w14:textId="5CF77B73" w:rsidR="000E2E3C" w:rsidRPr="000E2E3C" w:rsidRDefault="000E2E3C" w:rsidP="000E2E3C">
            <w:pPr>
              <w:pStyle w:val="PLANNING"/>
              <w:rPr>
                <w:rFonts w:ascii="Calibri" w:hAnsi="Calibri"/>
                <w:b/>
                <w:bCs/>
                <w:szCs w:val="22"/>
              </w:rPr>
            </w:pPr>
            <w:r w:rsidRPr="000E2E3C">
              <w:rPr>
                <w:rFonts w:ascii="Calibri" w:hAnsi="Calibri"/>
                <w:b/>
                <w:bCs/>
                <w:szCs w:val="22"/>
              </w:rPr>
              <w:t>3/2019/1103:</w:t>
            </w:r>
          </w:p>
          <w:p w14:paraId="39F84800" w14:textId="1272441A" w:rsidR="000E2E3C" w:rsidRPr="000E2E3C" w:rsidRDefault="000E2E3C" w:rsidP="000E2E3C">
            <w:pPr>
              <w:pStyle w:val="PLANNING"/>
              <w:rPr>
                <w:rFonts w:ascii="Calibri" w:hAnsi="Calibri"/>
                <w:szCs w:val="22"/>
              </w:rPr>
            </w:pPr>
            <w:r w:rsidRPr="000E2E3C">
              <w:rPr>
                <w:rFonts w:ascii="Calibri" w:hAnsi="Calibri"/>
                <w:szCs w:val="22"/>
              </w:rPr>
              <w:t>Demolition of existing house and erection of two two-storey detached dwellings with attached garages.  (Approved)</w:t>
            </w:r>
          </w:p>
          <w:p w14:paraId="683A1172" w14:textId="77777777" w:rsidR="000E2E3C" w:rsidRPr="000E2E3C" w:rsidRDefault="000E2E3C" w:rsidP="000E2E3C">
            <w:pPr>
              <w:pStyle w:val="PLANNING"/>
              <w:rPr>
                <w:rFonts w:ascii="Calibri" w:hAnsi="Calibri"/>
                <w:b/>
                <w:bCs/>
                <w:szCs w:val="22"/>
              </w:rPr>
            </w:pPr>
          </w:p>
          <w:p w14:paraId="49EAF768" w14:textId="246A9D7E" w:rsidR="000E2E3C" w:rsidRPr="000E2E3C" w:rsidRDefault="000E2E3C" w:rsidP="000E2E3C">
            <w:pPr>
              <w:pStyle w:val="PLANNING"/>
              <w:rPr>
                <w:rFonts w:ascii="Calibri" w:hAnsi="Calibri"/>
                <w:b/>
                <w:bCs/>
                <w:szCs w:val="22"/>
              </w:rPr>
            </w:pPr>
            <w:r w:rsidRPr="000E2E3C">
              <w:rPr>
                <w:rFonts w:ascii="Calibri" w:hAnsi="Calibri"/>
                <w:b/>
                <w:bCs/>
                <w:szCs w:val="22"/>
              </w:rPr>
              <w:t>3/2008/0902:</w:t>
            </w:r>
          </w:p>
          <w:p w14:paraId="0E12E4A3" w14:textId="04BF7037" w:rsidR="0046548C" w:rsidRPr="000E2E3C" w:rsidRDefault="000E2E3C" w:rsidP="00C0704D">
            <w:pPr>
              <w:pStyle w:val="PLANNING"/>
              <w:rPr>
                <w:rFonts w:ascii="Calibri" w:hAnsi="Calibri"/>
                <w:szCs w:val="22"/>
              </w:rPr>
            </w:pPr>
            <w:r w:rsidRPr="000E2E3C">
              <w:rPr>
                <w:rFonts w:ascii="Calibri" w:hAnsi="Calibri"/>
                <w:szCs w:val="22"/>
              </w:rPr>
              <w:t>Conversion of barn into living accommodation.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3E1C8D08" w14:textId="77777777" w:rsidR="00C0704D" w:rsidRDefault="00C0704D" w:rsidP="00B93EB5">
            <w:pPr>
              <w:pStyle w:val="Header"/>
              <w:tabs>
                <w:tab w:val="clear" w:pos="4153"/>
                <w:tab w:val="clear" w:pos="8306"/>
              </w:tabs>
              <w:contextualSpacing/>
              <w:jc w:val="both"/>
              <w:rPr>
                <w:rFonts w:ascii="Calibri" w:hAnsi="Calibri"/>
                <w:bCs/>
                <w:szCs w:val="22"/>
              </w:rPr>
            </w:pPr>
          </w:p>
          <w:p w14:paraId="685B2EF7" w14:textId="38F0D201" w:rsidR="00BE6BCC" w:rsidRDefault="00490994" w:rsidP="00BE6BCC">
            <w:pPr>
              <w:pStyle w:val="Header"/>
              <w:tabs>
                <w:tab w:val="clear" w:pos="4153"/>
                <w:tab w:val="clear" w:pos="8306"/>
              </w:tabs>
              <w:contextualSpacing/>
              <w:jc w:val="both"/>
              <w:rPr>
                <w:rFonts w:ascii="Calibri" w:hAnsi="Calibri"/>
                <w:bCs/>
                <w:szCs w:val="22"/>
              </w:rPr>
            </w:pPr>
            <w:r w:rsidRPr="00490994">
              <w:rPr>
                <w:rFonts w:ascii="Calibri" w:hAnsi="Calibri"/>
                <w:bCs/>
                <w:szCs w:val="22"/>
              </w:rPr>
              <w:t xml:space="preserve">The application relates to an area of land partially within the residential curtilage of Twin Brook Farm, Clitheroe.  The site is bounded to the east by existing business units and to the south by Mearley Brook.  Public Rights of Way FP9 and FP6A interface with the site at its southern extents with FP6A running east to west partially within the site.  </w:t>
            </w:r>
          </w:p>
          <w:p w14:paraId="62370E9F" w14:textId="77777777" w:rsidR="00BE6BCC" w:rsidRPr="006C2BFA" w:rsidRDefault="00BE6BCC" w:rsidP="008F45AC">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84BE7AE" w14:textId="193BD3F2" w:rsidR="00C0704D" w:rsidRDefault="006A0AD6" w:rsidP="005D4CBD">
            <w:pPr>
              <w:jc w:val="both"/>
              <w:rPr>
                <w:rFonts w:ascii="Calibri" w:hAnsi="Calibri"/>
                <w:szCs w:val="22"/>
              </w:rPr>
            </w:pPr>
            <w:r>
              <w:rPr>
                <w:rFonts w:ascii="Calibri" w:hAnsi="Calibri"/>
                <w:szCs w:val="22"/>
              </w:rPr>
              <w:t>The application seeks consent for a pairing of semi-detached dwellings with associated car-parking and landscaping.  It is proposed that the dwellings will benefit from a raised finished floor level (1050mm above existing ground level) to accommodate floor voids with the height of the apex of the roof of the dwellings being 8.69m.</w:t>
            </w:r>
          </w:p>
          <w:p w14:paraId="2B267348" w14:textId="77777777" w:rsidR="006A0AD6" w:rsidRDefault="006A0AD6" w:rsidP="005D4CBD">
            <w:pPr>
              <w:jc w:val="both"/>
              <w:rPr>
                <w:rFonts w:ascii="Calibri" w:hAnsi="Calibri"/>
                <w:szCs w:val="22"/>
              </w:rPr>
            </w:pPr>
          </w:p>
          <w:p w14:paraId="7D9586F7" w14:textId="78248797" w:rsidR="00660729" w:rsidRDefault="005D4CBD" w:rsidP="005D4CBD">
            <w:pPr>
              <w:jc w:val="both"/>
              <w:rPr>
                <w:rFonts w:ascii="Calibri" w:hAnsi="Calibri"/>
                <w:szCs w:val="22"/>
              </w:rPr>
            </w:pPr>
            <w:r>
              <w:rPr>
                <w:rFonts w:ascii="Calibri" w:hAnsi="Calibri"/>
                <w:szCs w:val="22"/>
              </w:rPr>
              <w:t>It is proposed that the dwellings will be faced in ‘random natural limestone’ and ivory cement render, with quoin detailing, stone window jambs heads and sills, with the roof being faced in ‘Marley’ concrete tiles.  Both dwellings will provide for three bedrooms, one of which is accommodated within the roofspace.</w:t>
            </w:r>
            <w:r w:rsidR="00660729">
              <w:rPr>
                <w:rFonts w:ascii="Calibri" w:hAnsi="Calibri"/>
                <w:szCs w:val="22"/>
              </w:rPr>
              <w:t xml:space="preserve">   The application site also includes an area of land that extends eastward directly adjacent and to the south of business units located to the east.  Within this area of land and extended track/roadway is shown with three parking bays.</w:t>
            </w:r>
          </w:p>
          <w:p w14:paraId="1B20488F" w14:textId="507C9979" w:rsidR="006A0AD6" w:rsidRPr="00D54E67" w:rsidRDefault="006A0AD6" w:rsidP="002F2580">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3F97D5F" w14:textId="36F8C4FD" w:rsidR="0046548C" w:rsidRPr="00FE0EA2" w:rsidRDefault="00196068" w:rsidP="008542DE">
            <w:pPr>
              <w:pStyle w:val="Header"/>
              <w:tabs>
                <w:tab w:val="clear" w:pos="4153"/>
                <w:tab w:val="clear" w:pos="8306"/>
              </w:tabs>
              <w:contextualSpacing/>
              <w:jc w:val="both"/>
              <w:rPr>
                <w:rFonts w:ascii="Calibri" w:hAnsi="Calibri"/>
                <w:bCs/>
                <w:szCs w:val="22"/>
              </w:rPr>
            </w:pPr>
            <w:r w:rsidRPr="00FE0EA2">
              <w:rPr>
                <w:rFonts w:ascii="Calibri" w:hAnsi="Calibri"/>
                <w:bCs/>
                <w:szCs w:val="22"/>
              </w:rPr>
              <w:t xml:space="preserve">The principle of the development of the site for residential purposes, has been established as </w:t>
            </w:r>
            <w:r w:rsidR="001B2D64" w:rsidRPr="00FE0EA2">
              <w:rPr>
                <w:rFonts w:ascii="Calibri" w:hAnsi="Calibri"/>
                <w:bCs/>
                <w:szCs w:val="22"/>
              </w:rPr>
              <w:t xml:space="preserve">being </w:t>
            </w:r>
            <w:r w:rsidRPr="00FE0EA2">
              <w:rPr>
                <w:rFonts w:ascii="Calibri" w:hAnsi="Calibri"/>
                <w:bCs/>
                <w:szCs w:val="22"/>
              </w:rPr>
              <w:t xml:space="preserve">acceptable </w:t>
            </w:r>
            <w:r w:rsidR="001B2D64" w:rsidRPr="00FE0EA2">
              <w:rPr>
                <w:rFonts w:ascii="Calibri" w:hAnsi="Calibri"/>
                <w:bCs/>
                <w:szCs w:val="22"/>
              </w:rPr>
              <w:t>through the granting of extant planning permission 3/2019/1103</w:t>
            </w:r>
            <w:r w:rsidR="009B2DF2" w:rsidRPr="00FE0EA2">
              <w:rPr>
                <w:rFonts w:ascii="Calibri" w:hAnsi="Calibri"/>
                <w:bCs/>
                <w:szCs w:val="22"/>
              </w:rPr>
              <w:t xml:space="preserve">.  As such, notwithstanding other development management considerations, the development of the site for residential purposes raises no significant direct conflict with the development strategy for the borough in respect of </w:t>
            </w:r>
            <w:r w:rsidR="00FE0EA2" w:rsidRPr="00FE0EA2">
              <w:rPr>
                <w:rFonts w:ascii="Calibri" w:hAnsi="Calibri"/>
                <w:bCs/>
                <w:szCs w:val="22"/>
              </w:rPr>
              <w:t>the spatial or locational aspirations for new residential development within the plan area.</w:t>
            </w:r>
          </w:p>
          <w:p w14:paraId="07A958AF" w14:textId="4E1FAEA4" w:rsidR="00196068" w:rsidRDefault="00196068"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033A0D27" w14:textId="77777777" w:rsidR="00FE0EA2" w:rsidRDefault="00FE0EA2" w:rsidP="00EA09F9">
            <w:pPr>
              <w:pStyle w:val="Header"/>
              <w:tabs>
                <w:tab w:val="clear" w:pos="4153"/>
                <w:tab w:val="clear" w:pos="8306"/>
              </w:tabs>
              <w:contextualSpacing/>
              <w:jc w:val="both"/>
              <w:rPr>
                <w:rFonts w:ascii="Calibri" w:hAnsi="Calibri"/>
                <w:b/>
                <w:szCs w:val="22"/>
              </w:rPr>
            </w:pPr>
          </w:p>
          <w:p w14:paraId="1C866127" w14:textId="1C224283" w:rsidR="00ED00B7" w:rsidRDefault="00FE0EA2" w:rsidP="0067309E">
            <w:pPr>
              <w:contextualSpacing/>
              <w:jc w:val="both"/>
              <w:rPr>
                <w:rFonts w:ascii="Calibri" w:hAnsi="Calibri"/>
                <w:szCs w:val="22"/>
              </w:rPr>
            </w:pPr>
            <w:r>
              <w:rPr>
                <w:rFonts w:ascii="Calibri" w:hAnsi="Calibri"/>
                <w:szCs w:val="22"/>
              </w:rPr>
              <w:t>The submitted details propose the erection of a pair of semi-detached residential dwellings, benefitting cumulatively from a footprint measuring 16.6m by 8m (not including central feature gable)</w:t>
            </w:r>
            <w:r w:rsidR="00F91040">
              <w:rPr>
                <w:rFonts w:ascii="Calibri" w:hAnsi="Calibri"/>
                <w:szCs w:val="22"/>
              </w:rPr>
              <w:t>, with a</w:t>
            </w:r>
            <w:r w:rsidR="008A3B33">
              <w:rPr>
                <w:rFonts w:ascii="Calibri" w:hAnsi="Calibri"/>
                <w:szCs w:val="22"/>
              </w:rPr>
              <w:t xml:space="preserve"> roof apex </w:t>
            </w:r>
            <w:r w:rsidR="00F91040">
              <w:rPr>
                <w:rFonts w:ascii="Calibri" w:hAnsi="Calibri"/>
                <w:szCs w:val="22"/>
              </w:rPr>
              <w:t xml:space="preserve">height of </w:t>
            </w:r>
            <w:r w:rsidR="008A3B33">
              <w:rPr>
                <w:rFonts w:ascii="Calibri" w:hAnsi="Calibri"/>
                <w:szCs w:val="22"/>
              </w:rPr>
              <w:t>8.69m.</w:t>
            </w:r>
            <w:r w:rsidR="008902F4">
              <w:rPr>
                <w:rFonts w:ascii="Calibri" w:hAnsi="Calibri"/>
                <w:szCs w:val="22"/>
              </w:rPr>
              <w:t xml:space="preserve">  In this respect the footprint of the proposed building is 3.6m wider than the previously consented singular dwelling that was proposed to occupy the site which measured 13m in width.</w:t>
            </w:r>
          </w:p>
          <w:p w14:paraId="19755F40" w14:textId="77777777" w:rsidR="008902F4" w:rsidRDefault="008902F4" w:rsidP="00C0704D">
            <w:pPr>
              <w:contextualSpacing/>
              <w:rPr>
                <w:rFonts w:ascii="Calibri" w:hAnsi="Calibri"/>
                <w:szCs w:val="22"/>
              </w:rPr>
            </w:pPr>
          </w:p>
          <w:p w14:paraId="45A23497" w14:textId="091AD38A" w:rsidR="008902F4" w:rsidRDefault="008902F4" w:rsidP="008902F4">
            <w:pPr>
              <w:contextualSpacing/>
              <w:jc w:val="both"/>
              <w:rPr>
                <w:rFonts w:ascii="Calibri" w:hAnsi="Calibri"/>
                <w:szCs w:val="22"/>
              </w:rPr>
            </w:pPr>
            <w:r>
              <w:rPr>
                <w:rFonts w:ascii="Calibri" w:hAnsi="Calibri"/>
                <w:szCs w:val="22"/>
              </w:rPr>
              <w:t xml:space="preserve">In this respect, taking account of the proximity of the </w:t>
            </w:r>
            <w:r w:rsidR="00BE0C11">
              <w:rPr>
                <w:rFonts w:ascii="Calibri" w:hAnsi="Calibri"/>
                <w:szCs w:val="22"/>
              </w:rPr>
              <w:t xml:space="preserve">proposed </w:t>
            </w:r>
            <w:r>
              <w:rPr>
                <w:rFonts w:ascii="Calibri" w:hAnsi="Calibri"/>
                <w:szCs w:val="22"/>
              </w:rPr>
              <w:t>building to the neighbouring shared boundary with Twin Brook Barn to the north.  It is considered that the increased width of the building, when compared to the extant approval, will result in measurable additional impacts that would not be resultant from the extant permission.</w:t>
            </w:r>
          </w:p>
          <w:p w14:paraId="103E5C2A" w14:textId="77777777" w:rsidR="00FE0EA2" w:rsidRDefault="00FE0EA2" w:rsidP="00C0704D">
            <w:pPr>
              <w:contextualSpacing/>
              <w:rPr>
                <w:rFonts w:ascii="Calibri" w:hAnsi="Calibri"/>
                <w:szCs w:val="22"/>
              </w:rPr>
            </w:pPr>
          </w:p>
          <w:p w14:paraId="26C62C09" w14:textId="44ED08EC" w:rsidR="00BE0C11" w:rsidRDefault="00BE0C11" w:rsidP="00BE0C11">
            <w:pPr>
              <w:contextualSpacing/>
              <w:jc w:val="both"/>
              <w:rPr>
                <w:rFonts w:ascii="Calibri" w:hAnsi="Calibri"/>
                <w:szCs w:val="22"/>
              </w:rPr>
            </w:pPr>
            <w:r>
              <w:rPr>
                <w:rFonts w:ascii="Calibri" w:hAnsi="Calibri"/>
                <w:szCs w:val="22"/>
              </w:rPr>
              <w:t xml:space="preserve">Whilst the submitted details do not propose in an increase of the height of the building(s) over and above that of the extant permission, the additional width of the proposed building, in concert with the overall scale of the building(s) is likely to be read and experienced a significant overbearing structure from the neighbouring affected garden area to the north. </w:t>
            </w:r>
          </w:p>
          <w:p w14:paraId="1D3C69BA" w14:textId="77777777" w:rsidR="00BE0C11" w:rsidRDefault="00BE0C11" w:rsidP="00C0704D">
            <w:pPr>
              <w:contextualSpacing/>
              <w:rPr>
                <w:rFonts w:ascii="Calibri" w:hAnsi="Calibri"/>
                <w:szCs w:val="22"/>
              </w:rPr>
            </w:pPr>
          </w:p>
          <w:p w14:paraId="5EA1CFD2" w14:textId="77777777" w:rsidR="00BE0C11" w:rsidRDefault="00BE0C11" w:rsidP="00BE0C11">
            <w:pPr>
              <w:contextualSpacing/>
              <w:jc w:val="both"/>
              <w:rPr>
                <w:rFonts w:ascii="Calibri" w:hAnsi="Calibri"/>
                <w:szCs w:val="22"/>
              </w:rPr>
            </w:pPr>
            <w:r>
              <w:rPr>
                <w:rFonts w:ascii="Calibri" w:hAnsi="Calibri"/>
                <w:szCs w:val="22"/>
              </w:rPr>
              <w:t xml:space="preserve">As such it is considered that the </w:t>
            </w:r>
            <w:r w:rsidRPr="00BE0C11">
              <w:rPr>
                <w:rFonts w:ascii="Calibri" w:hAnsi="Calibri"/>
                <w:szCs w:val="22"/>
              </w:rPr>
              <w:t xml:space="preserve">proposal would result in a significant unsympathetic overbearing impact upon the residential garden area associated with ‘Twin Brook Barn’, by virtue of the proposed buildings height, scale, proximity to the northern shared boundary and presence of raised ‘walkways/ramps’ within close-proximity. </w:t>
            </w:r>
          </w:p>
          <w:p w14:paraId="45B6EC4F" w14:textId="77777777" w:rsidR="00BE0C11" w:rsidRDefault="00BE0C11" w:rsidP="00BE0C11">
            <w:pPr>
              <w:contextualSpacing/>
              <w:jc w:val="both"/>
              <w:rPr>
                <w:rFonts w:ascii="Calibri" w:hAnsi="Calibri"/>
                <w:szCs w:val="22"/>
              </w:rPr>
            </w:pPr>
          </w:p>
          <w:p w14:paraId="30F627DC" w14:textId="15947EAD" w:rsidR="0067309E" w:rsidRDefault="00BE0C11" w:rsidP="00BE0C11">
            <w:pPr>
              <w:contextualSpacing/>
              <w:jc w:val="both"/>
              <w:rPr>
                <w:rFonts w:ascii="Calibri" w:hAnsi="Calibri"/>
                <w:szCs w:val="22"/>
              </w:rPr>
            </w:pPr>
            <w:r w:rsidRPr="00BE0C11">
              <w:rPr>
                <w:rFonts w:ascii="Calibri" w:hAnsi="Calibri"/>
                <w:szCs w:val="22"/>
              </w:rPr>
              <w:t>In this respect it is considered that the sense of enjoyment and privacy afforded to occupiers of the affected existing dwelling would be significantly compromised resulting in an unacceptable level of residential amenity</w:t>
            </w:r>
            <w:r>
              <w:rPr>
                <w:rFonts w:ascii="Calibri" w:hAnsi="Calibri"/>
                <w:szCs w:val="22"/>
              </w:rPr>
              <w:t xml:space="preserve"> in </w:t>
            </w:r>
            <w:r w:rsidRPr="00BE0C11">
              <w:rPr>
                <w:rFonts w:ascii="Calibri" w:hAnsi="Calibri"/>
                <w:szCs w:val="22"/>
              </w:rPr>
              <w:t>significant direct conflict with the aims and objectives of Policy DMG1 of the Ribble Valley Core Strategy.</w:t>
            </w:r>
          </w:p>
          <w:p w14:paraId="0DB485A3" w14:textId="6F92610A" w:rsidR="0067309E" w:rsidRPr="00C0704D" w:rsidRDefault="0067309E" w:rsidP="00C0704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44B9D17" w14:textId="7B481C58" w:rsidR="00BE6BCC" w:rsidRPr="00700FC2" w:rsidRDefault="00700FC2" w:rsidP="00BE6BCC">
            <w:pPr>
              <w:pStyle w:val="Header"/>
              <w:tabs>
                <w:tab w:val="clear" w:pos="4153"/>
                <w:tab w:val="clear" w:pos="8306"/>
              </w:tabs>
              <w:contextualSpacing/>
              <w:jc w:val="both"/>
              <w:rPr>
                <w:rFonts w:ascii="Calibri" w:hAnsi="Calibri"/>
                <w:bCs/>
                <w:szCs w:val="22"/>
              </w:rPr>
            </w:pPr>
            <w:r w:rsidRPr="00700FC2">
              <w:rPr>
                <w:rFonts w:ascii="Calibri" w:hAnsi="Calibri"/>
                <w:bCs/>
                <w:szCs w:val="22"/>
              </w:rPr>
              <w:t>The proposed building(s) are of a somewhat similar elevational language to that of the previously consented dwelling, albeit the building(s) are cumulatively wider and benefit from a winder central feature gable.  In this respect and in relation to matters of elevational language, it is not considered that the design of the proposal will result in any additional harm to the character and visual amenities of the immediate area over and above that of the currently extant consent.</w:t>
            </w:r>
          </w:p>
          <w:p w14:paraId="10A3648A" w14:textId="77777777" w:rsidR="0067309E" w:rsidRDefault="0067309E" w:rsidP="005E1C6C">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76AEF61" w14:textId="19EFA158" w:rsidR="00D57913" w:rsidRPr="00D57913" w:rsidRDefault="00D57913" w:rsidP="00EA09F9">
            <w:pPr>
              <w:pStyle w:val="Header"/>
              <w:tabs>
                <w:tab w:val="clear" w:pos="4153"/>
                <w:tab w:val="clear" w:pos="8306"/>
              </w:tabs>
              <w:contextualSpacing/>
              <w:jc w:val="both"/>
              <w:rPr>
                <w:rFonts w:ascii="Calibri" w:hAnsi="Calibri"/>
                <w:bCs/>
                <w:szCs w:val="22"/>
              </w:rPr>
            </w:pPr>
            <w:r w:rsidRPr="00D57913">
              <w:rPr>
                <w:rFonts w:ascii="Calibri" w:hAnsi="Calibri"/>
                <w:bCs/>
                <w:szCs w:val="22"/>
              </w:rPr>
              <w:t>Primary vehicular and pedestrian access to the dwellings will be afforded via a private track to the south of the site, with vehicular parking provision being via a side driveway arrangement with further parking provision being proposed to the east of the proposed dwellings.</w:t>
            </w:r>
          </w:p>
          <w:p w14:paraId="124A3C74" w14:textId="77777777" w:rsidR="00D57913" w:rsidRDefault="00D57913" w:rsidP="00EA09F9">
            <w:pPr>
              <w:pStyle w:val="Header"/>
              <w:tabs>
                <w:tab w:val="clear" w:pos="4153"/>
                <w:tab w:val="clear" w:pos="8306"/>
              </w:tabs>
              <w:contextualSpacing/>
              <w:jc w:val="both"/>
              <w:rPr>
                <w:rFonts w:ascii="Calibri" w:hAnsi="Calibri"/>
                <w:b/>
                <w:szCs w:val="22"/>
              </w:rPr>
            </w:pPr>
          </w:p>
          <w:p w14:paraId="3084A2D6" w14:textId="6FC23BB0" w:rsidR="00824DB6" w:rsidRPr="00D57913" w:rsidRDefault="00D57913" w:rsidP="00D57913">
            <w:pPr>
              <w:pStyle w:val="Header"/>
              <w:contextualSpacing/>
              <w:jc w:val="both"/>
              <w:rPr>
                <w:rFonts w:ascii="Calibri" w:hAnsi="Calibri"/>
                <w:bCs/>
                <w:szCs w:val="22"/>
              </w:rPr>
            </w:pPr>
            <w:r w:rsidRPr="00D57913">
              <w:rPr>
                <w:rFonts w:ascii="Calibri" w:hAnsi="Calibri"/>
                <w:bCs/>
                <w:szCs w:val="22"/>
              </w:rPr>
              <w:t>The Local Highways Authority have raised no objection to the proposal stating that that the proposed development will not have a significant impact on highway safety, capacity or amenity in the immediate vicinity of the site.</w:t>
            </w:r>
            <w:r>
              <w:rPr>
                <w:rFonts w:ascii="Calibri" w:hAnsi="Calibri"/>
                <w:bCs/>
                <w:szCs w:val="22"/>
              </w:rPr>
              <w:t xml:space="preserve">  </w:t>
            </w:r>
            <w:r w:rsidRPr="00D57913">
              <w:rPr>
                <w:rFonts w:ascii="Calibri" w:hAnsi="Calibri"/>
                <w:bCs/>
                <w:szCs w:val="22"/>
              </w:rPr>
              <w:t>The Local Highways Authority have further requested, that should consent be granted, that conditions be imposed requiring the submission of a Construction Method Statement, that the parking and turning areas be surfaced in a bound porous material and that cycle storage provision be provided for each dwelling.</w:t>
            </w:r>
          </w:p>
          <w:p w14:paraId="337694ED" w14:textId="19AE4519" w:rsidR="00D57913" w:rsidRDefault="00D57913"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9268B03" w14:textId="4B19BF49" w:rsidR="00C0704D" w:rsidRPr="00D57913" w:rsidRDefault="00D57913" w:rsidP="00E46243">
            <w:pPr>
              <w:contextualSpacing/>
              <w:rPr>
                <w:rFonts w:ascii="Calibri" w:hAnsi="Calibri"/>
                <w:bCs/>
                <w:szCs w:val="22"/>
              </w:rPr>
            </w:pPr>
            <w:r w:rsidRPr="00D57913">
              <w:rPr>
                <w:rFonts w:ascii="Calibri" w:hAnsi="Calibri"/>
                <w:bCs/>
                <w:szCs w:val="22"/>
              </w:rPr>
              <w:t>No implications resultant from the proposal.</w:t>
            </w:r>
          </w:p>
          <w:p w14:paraId="6337C4D8" w14:textId="77777777" w:rsidR="0067309E" w:rsidRDefault="0067309E" w:rsidP="00E46243">
            <w:pPr>
              <w:contextualSpacing/>
              <w:rPr>
                <w:rFonts w:ascii="Calibri" w:hAnsi="Calibri"/>
                <w:b/>
                <w:szCs w:val="22"/>
              </w:rPr>
            </w:pPr>
          </w:p>
        </w:tc>
      </w:tr>
      <w:tr w:rsidR="00C0704D" w:rsidRPr="00D2449B"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3D4943E8" w:rsidR="00C0704D" w:rsidRDefault="00C9590A" w:rsidP="00EA09F9">
            <w:pPr>
              <w:pStyle w:val="Header"/>
              <w:tabs>
                <w:tab w:val="clear" w:pos="4153"/>
                <w:tab w:val="clear" w:pos="8306"/>
              </w:tabs>
              <w:contextualSpacing/>
              <w:jc w:val="both"/>
              <w:rPr>
                <w:rFonts w:ascii="Calibri" w:hAnsi="Calibri"/>
                <w:b/>
                <w:szCs w:val="22"/>
              </w:rPr>
            </w:pPr>
            <w:r>
              <w:rPr>
                <w:rFonts w:ascii="Calibri" w:hAnsi="Calibri"/>
                <w:b/>
                <w:szCs w:val="22"/>
              </w:rPr>
              <w:t>Flood Risk:</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19FACF68" w14:textId="55250F12" w:rsidR="00BE6BCC" w:rsidRPr="00BE6BCC" w:rsidRDefault="00BE6BCC" w:rsidP="00BE6BCC">
            <w:pPr>
              <w:pStyle w:val="Header"/>
              <w:tabs>
                <w:tab w:val="clear" w:pos="4153"/>
                <w:tab w:val="clear" w:pos="8306"/>
              </w:tabs>
              <w:contextualSpacing/>
              <w:jc w:val="both"/>
              <w:rPr>
                <w:rFonts w:ascii="Calibri" w:hAnsi="Calibri"/>
                <w:bCs/>
                <w:szCs w:val="22"/>
              </w:rPr>
            </w:pPr>
            <w:r w:rsidRPr="00BE6BCC">
              <w:rPr>
                <w:rFonts w:ascii="Calibri" w:hAnsi="Calibri"/>
                <w:bCs/>
                <w:szCs w:val="22"/>
              </w:rPr>
              <w:t>The application site lies within Flood Zones 2 and 3, as such there is the need for a sequential test to be undertaken</w:t>
            </w:r>
            <w:r w:rsidR="00A13F95">
              <w:rPr>
                <w:rFonts w:ascii="Calibri" w:hAnsi="Calibri"/>
                <w:bCs/>
                <w:szCs w:val="22"/>
              </w:rPr>
              <w:t xml:space="preserve"> in order to satisfy the NPPF and steer development to areas at lower risk of flooding</w:t>
            </w:r>
            <w:r w:rsidRPr="00BE6BCC">
              <w:rPr>
                <w:rFonts w:ascii="Calibri" w:hAnsi="Calibri"/>
                <w:bCs/>
                <w:szCs w:val="22"/>
              </w:rPr>
              <w:t xml:space="preserve">.  However, no details in respect of this matter have been submitted.  </w:t>
            </w:r>
          </w:p>
          <w:p w14:paraId="28B0A4A0" w14:textId="77777777" w:rsidR="00BE6BCC" w:rsidRPr="00BE6BCC" w:rsidRDefault="00BE6BCC" w:rsidP="00BE6BCC">
            <w:pPr>
              <w:pStyle w:val="Header"/>
              <w:tabs>
                <w:tab w:val="clear" w:pos="4153"/>
                <w:tab w:val="clear" w:pos="8306"/>
              </w:tabs>
              <w:contextualSpacing/>
              <w:jc w:val="both"/>
              <w:rPr>
                <w:rFonts w:ascii="Calibri" w:hAnsi="Calibri"/>
                <w:bCs/>
                <w:szCs w:val="22"/>
              </w:rPr>
            </w:pPr>
          </w:p>
          <w:p w14:paraId="3D25F832" w14:textId="43CCE33D" w:rsidR="0067309E" w:rsidRDefault="00BE6BCC" w:rsidP="00BE6BCC">
            <w:pPr>
              <w:pStyle w:val="Header"/>
              <w:contextualSpacing/>
              <w:jc w:val="both"/>
              <w:rPr>
                <w:rFonts w:ascii="Calibri" w:hAnsi="Calibri"/>
                <w:bCs/>
                <w:szCs w:val="22"/>
              </w:rPr>
            </w:pPr>
            <w:r w:rsidRPr="00BE6BCC">
              <w:rPr>
                <w:rFonts w:ascii="Calibri" w:hAnsi="Calibri"/>
                <w:bCs/>
                <w:szCs w:val="22"/>
              </w:rPr>
              <w:t>It is noted that the submitted Flood Risk Assessment wrongly states that ‘the proposal consists of demolition of existing house and replacement with two new dwellings’ with the report further stating that ‘as the proposal consists of redevelopment of the site with replacement buildings, the Sequential Test will not be required’.</w:t>
            </w:r>
            <w:r>
              <w:rPr>
                <w:rFonts w:ascii="Calibri" w:hAnsi="Calibri"/>
                <w:bCs/>
                <w:szCs w:val="22"/>
              </w:rPr>
              <w:t xml:space="preserve">  </w:t>
            </w:r>
            <w:r w:rsidRPr="00BE6BCC">
              <w:rPr>
                <w:rFonts w:ascii="Calibri" w:hAnsi="Calibri"/>
                <w:bCs/>
                <w:szCs w:val="22"/>
              </w:rPr>
              <w:t>The site to which the application relates does not currently accommodate a dwelling and there are no buildings accommodated within the sites red-edge, as such the proposal does not involve ‘replacement buildings’.</w:t>
            </w:r>
          </w:p>
          <w:p w14:paraId="123ED228" w14:textId="77777777" w:rsidR="00BE6BCC" w:rsidRDefault="00BE6BCC" w:rsidP="00BE6BCC">
            <w:pPr>
              <w:pStyle w:val="Header"/>
              <w:contextualSpacing/>
              <w:jc w:val="both"/>
              <w:rPr>
                <w:rFonts w:ascii="Calibri" w:hAnsi="Calibri"/>
                <w:bCs/>
                <w:szCs w:val="22"/>
              </w:rPr>
            </w:pPr>
          </w:p>
          <w:p w14:paraId="2351BA05" w14:textId="1E744235" w:rsidR="00A13F95" w:rsidRDefault="00BE6BCC" w:rsidP="00490994">
            <w:pPr>
              <w:pStyle w:val="Header"/>
              <w:contextualSpacing/>
              <w:jc w:val="both"/>
              <w:rPr>
                <w:rFonts w:ascii="Calibri" w:hAnsi="Calibri"/>
                <w:bCs/>
                <w:szCs w:val="22"/>
              </w:rPr>
            </w:pPr>
            <w:r>
              <w:rPr>
                <w:rFonts w:ascii="Calibri" w:hAnsi="Calibri"/>
                <w:bCs/>
                <w:szCs w:val="22"/>
              </w:rPr>
              <w:t>In this respect the applicant has failed to meet the requirements to undertake an appropriate sequential testing exercise</w:t>
            </w:r>
            <w:r w:rsidR="00490994">
              <w:rPr>
                <w:rFonts w:ascii="Calibri" w:hAnsi="Calibri"/>
                <w:bCs/>
                <w:szCs w:val="22"/>
              </w:rPr>
              <w:t xml:space="preserve">.  </w:t>
            </w:r>
            <w:r w:rsidR="00A80993">
              <w:rPr>
                <w:rFonts w:ascii="Calibri" w:hAnsi="Calibri"/>
                <w:bCs/>
                <w:szCs w:val="22"/>
              </w:rPr>
              <w:t>Whilst the extant permission is a material consideration</w:t>
            </w:r>
            <w:r w:rsidR="00A13F95">
              <w:rPr>
                <w:rFonts w:ascii="Calibri" w:hAnsi="Calibri"/>
                <w:bCs/>
                <w:szCs w:val="22"/>
              </w:rPr>
              <w:t>,</w:t>
            </w:r>
            <w:r w:rsidR="00A80993">
              <w:rPr>
                <w:rFonts w:ascii="Calibri" w:hAnsi="Calibri"/>
                <w:bCs/>
                <w:szCs w:val="22"/>
              </w:rPr>
              <w:t xml:space="preserve"> that previous permission </w:t>
            </w:r>
            <w:r w:rsidR="00A13F95">
              <w:rPr>
                <w:rFonts w:ascii="Calibri" w:hAnsi="Calibri"/>
                <w:bCs/>
                <w:szCs w:val="22"/>
              </w:rPr>
              <w:t>did involve replacement buildings and proposed</w:t>
            </w:r>
            <w:r w:rsidR="00A80993">
              <w:rPr>
                <w:rFonts w:ascii="Calibri" w:hAnsi="Calibri"/>
                <w:bCs/>
                <w:szCs w:val="22"/>
              </w:rPr>
              <w:t xml:space="preserve"> a single dwelling on the same part of the site, therefore the proposal </w:t>
            </w:r>
            <w:r w:rsidR="00A13F95">
              <w:rPr>
                <w:rFonts w:ascii="Calibri" w:hAnsi="Calibri"/>
                <w:bCs/>
                <w:szCs w:val="22"/>
              </w:rPr>
              <w:t>is</w:t>
            </w:r>
            <w:r w:rsidR="00A80993">
              <w:rPr>
                <w:rFonts w:ascii="Calibri" w:hAnsi="Calibri"/>
                <w:bCs/>
                <w:szCs w:val="22"/>
              </w:rPr>
              <w:t xml:space="preserve"> a </w:t>
            </w:r>
            <w:r w:rsidR="00A13F95">
              <w:rPr>
                <w:rFonts w:ascii="Calibri" w:hAnsi="Calibri"/>
                <w:bCs/>
                <w:szCs w:val="22"/>
              </w:rPr>
              <w:t>different type of development resulting in a</w:t>
            </w:r>
            <w:r w:rsidR="00A80993">
              <w:rPr>
                <w:rFonts w:ascii="Calibri" w:hAnsi="Calibri"/>
                <w:bCs/>
                <w:szCs w:val="22"/>
              </w:rPr>
              <w:t xml:space="preserve">n </w:t>
            </w:r>
            <w:r w:rsidR="00A13F95">
              <w:rPr>
                <w:rFonts w:ascii="Calibri" w:hAnsi="Calibri"/>
                <w:bCs/>
                <w:szCs w:val="22"/>
              </w:rPr>
              <w:t>increase in no. of</w:t>
            </w:r>
            <w:r w:rsidR="00A80993">
              <w:rPr>
                <w:rFonts w:ascii="Calibri" w:hAnsi="Calibri"/>
                <w:bCs/>
                <w:szCs w:val="22"/>
              </w:rPr>
              <w:t xml:space="preserve"> dwellings and occupants at </w:t>
            </w:r>
            <w:r w:rsidR="00A80993">
              <w:rPr>
                <w:rFonts w:ascii="Calibri" w:hAnsi="Calibri"/>
                <w:bCs/>
                <w:szCs w:val="22"/>
              </w:rPr>
              <w:lastRenderedPageBreak/>
              <w:t xml:space="preserve">risk. </w:t>
            </w:r>
            <w:r w:rsidR="00A13F95">
              <w:rPr>
                <w:rFonts w:ascii="Calibri" w:hAnsi="Calibri"/>
                <w:bCs/>
                <w:szCs w:val="22"/>
              </w:rPr>
              <w:t>It is therefore a material consideration of limited weight in this case which does not negate the need to undertake a sequential test.</w:t>
            </w:r>
          </w:p>
          <w:p w14:paraId="4A1BCB48" w14:textId="77777777" w:rsidR="00A13F95" w:rsidRDefault="00A13F95" w:rsidP="00490994">
            <w:pPr>
              <w:pStyle w:val="Header"/>
              <w:contextualSpacing/>
              <w:jc w:val="both"/>
              <w:rPr>
                <w:rFonts w:ascii="Calibri" w:hAnsi="Calibri"/>
                <w:bCs/>
                <w:szCs w:val="22"/>
              </w:rPr>
            </w:pPr>
          </w:p>
          <w:p w14:paraId="6E855611" w14:textId="2BD17D6D" w:rsidR="00F332A7" w:rsidRPr="00490994" w:rsidRDefault="00D900F8" w:rsidP="00490994">
            <w:pPr>
              <w:pStyle w:val="Header"/>
              <w:contextualSpacing/>
              <w:jc w:val="both"/>
              <w:rPr>
                <w:rFonts w:ascii="Calibri" w:hAnsi="Calibri"/>
                <w:bCs/>
                <w:szCs w:val="22"/>
              </w:rPr>
            </w:pPr>
            <w:r>
              <w:rPr>
                <w:rFonts w:ascii="Calibri" w:hAnsi="Calibri"/>
                <w:bCs/>
                <w:szCs w:val="22"/>
              </w:rPr>
              <w:t>Furthermore t</w:t>
            </w:r>
            <w:r w:rsidR="00F332A7" w:rsidRPr="0024078D">
              <w:rPr>
                <w:rFonts w:asciiTheme="minorHAnsi" w:hAnsiTheme="minorHAnsi" w:cstheme="minorHAnsi"/>
                <w:bCs/>
                <w:szCs w:val="22"/>
              </w:rPr>
              <w:t>he Environment Agency have</w:t>
            </w:r>
            <w:r w:rsidR="00F332A7" w:rsidRPr="0024078D">
              <w:rPr>
                <w:rFonts w:asciiTheme="minorHAnsi" w:hAnsiTheme="minorHAnsi" w:cstheme="minorHAnsi"/>
              </w:rPr>
              <w:t xml:space="preserve"> raised an objection to the proposal stating that </w:t>
            </w:r>
            <w:r w:rsidR="0024078D">
              <w:rPr>
                <w:rFonts w:asciiTheme="minorHAnsi" w:hAnsiTheme="minorHAnsi" w:cstheme="minorHAnsi"/>
              </w:rPr>
              <w:t>t</w:t>
            </w:r>
            <w:r w:rsidR="00F332A7" w:rsidRPr="0024078D">
              <w:rPr>
                <w:rFonts w:asciiTheme="minorHAnsi" w:hAnsiTheme="minorHAnsi" w:cstheme="minorHAnsi"/>
                <w:bCs/>
                <w:szCs w:val="22"/>
              </w:rPr>
              <w:t xml:space="preserve">he submitted </w:t>
            </w:r>
            <w:r>
              <w:rPr>
                <w:rFonts w:asciiTheme="minorHAnsi" w:hAnsiTheme="minorHAnsi" w:cstheme="minorHAnsi"/>
                <w:bCs/>
                <w:szCs w:val="22"/>
              </w:rPr>
              <w:t>Flood Risk Assessment (</w:t>
            </w:r>
            <w:r w:rsidR="00F332A7" w:rsidRPr="0024078D">
              <w:rPr>
                <w:rFonts w:asciiTheme="minorHAnsi" w:hAnsiTheme="minorHAnsi" w:cstheme="minorHAnsi"/>
                <w:bCs/>
                <w:szCs w:val="22"/>
              </w:rPr>
              <w:t>FRA</w:t>
            </w:r>
            <w:r>
              <w:rPr>
                <w:rFonts w:asciiTheme="minorHAnsi" w:hAnsiTheme="minorHAnsi" w:cstheme="minorHAnsi"/>
                <w:bCs/>
                <w:szCs w:val="22"/>
              </w:rPr>
              <w:t>)</w:t>
            </w:r>
            <w:r w:rsidR="00F332A7" w:rsidRPr="0024078D">
              <w:rPr>
                <w:rFonts w:asciiTheme="minorHAnsi" w:hAnsiTheme="minorHAnsi" w:cstheme="minorHAnsi"/>
                <w:bCs/>
                <w:szCs w:val="22"/>
              </w:rPr>
              <w:t xml:space="preserve"> does not comply with the requirements for site-specific flood risk assessments, as set out in paragraphs 30 to 32 of the Flood Risk and Coastal Change section of the planning practice guidance (PPG) as such the FRA does not therefore adequately assess the flood risks posed by the development.</w:t>
            </w:r>
            <w:r w:rsidR="00A13F95">
              <w:rPr>
                <w:rFonts w:asciiTheme="minorHAnsi" w:hAnsiTheme="minorHAnsi" w:cstheme="minorHAnsi"/>
                <w:bCs/>
                <w:szCs w:val="22"/>
              </w:rPr>
              <w:t xml:space="preserve"> Again the extant permission is considered to be a material consideration of limited weight in this instance as the development footprint is greater and more occupants would be at risk.</w:t>
            </w:r>
          </w:p>
          <w:p w14:paraId="1C2B65DB" w14:textId="77777777" w:rsidR="00F332A7" w:rsidRPr="0024078D" w:rsidRDefault="00F332A7" w:rsidP="00E46243">
            <w:pPr>
              <w:contextualSpacing/>
              <w:rPr>
                <w:rFonts w:asciiTheme="minorHAnsi" w:hAnsiTheme="minorHAnsi" w:cstheme="minorHAnsi"/>
                <w:bCs/>
                <w:szCs w:val="22"/>
              </w:rPr>
            </w:pPr>
          </w:p>
          <w:p w14:paraId="1FA21671" w14:textId="5FEC5CB4" w:rsidR="00F332A7" w:rsidRPr="007448CE" w:rsidRDefault="0024078D" w:rsidP="0024078D">
            <w:pPr>
              <w:contextualSpacing/>
              <w:jc w:val="both"/>
              <w:rPr>
                <w:rFonts w:ascii="Calibri" w:hAnsi="Calibri"/>
                <w:bCs/>
                <w:szCs w:val="22"/>
              </w:rPr>
            </w:pPr>
            <w:r w:rsidRPr="007448CE">
              <w:rPr>
                <w:rFonts w:ascii="Calibri" w:hAnsi="Calibri"/>
                <w:bCs/>
                <w:szCs w:val="22"/>
              </w:rPr>
              <w:t xml:space="preserve">As such, and taking into account that the applicant has failed to undertake an adequate sequential testing exercise, and given that the submitted Flood Risk Assessment (FRA) does not comply with the requirements for site-specific flood risk assessments, as set out in paragraphs 30 to 32 of the Flood Risk and Coastal Change section of the planning practice guidance (PPG), the proposal is considered to be in direct conflict with Policy DME6 of the Ribble Valley Core Strategy and </w:t>
            </w:r>
            <w:r w:rsidR="007448CE" w:rsidRPr="007448CE">
              <w:rPr>
                <w:rFonts w:ascii="Calibri" w:hAnsi="Calibri"/>
                <w:bCs/>
                <w:szCs w:val="22"/>
              </w:rPr>
              <w:t>paragraph 167 of the National Planning Policy Framework.</w:t>
            </w:r>
          </w:p>
          <w:p w14:paraId="7AC53BDF" w14:textId="1D879204" w:rsidR="0024078D" w:rsidRPr="007E0D23" w:rsidRDefault="0024078D" w:rsidP="00E46243">
            <w:pPr>
              <w:contextualSpacing/>
              <w:rPr>
                <w:rFonts w:ascii="Calibri" w:hAnsi="Calibri"/>
                <w:bCs/>
                <w:color w:val="548DD4" w:themeColor="text2" w:themeTint="99"/>
                <w:szCs w:val="22"/>
              </w:rPr>
            </w:pPr>
          </w:p>
        </w:tc>
      </w:tr>
      <w:tr w:rsidR="00D57913" w:rsidRPr="00D2449B" w14:paraId="32049B6E"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C21458" w14:textId="77777777" w:rsidR="00D57913" w:rsidRDefault="00D57913"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393AFA0" w14:textId="77777777" w:rsidR="00D57913" w:rsidRDefault="00D57913" w:rsidP="00EA09F9">
            <w:pPr>
              <w:pStyle w:val="Header"/>
              <w:tabs>
                <w:tab w:val="clear" w:pos="4153"/>
                <w:tab w:val="clear" w:pos="8306"/>
              </w:tabs>
              <w:contextualSpacing/>
              <w:jc w:val="both"/>
              <w:rPr>
                <w:rFonts w:ascii="Calibri" w:hAnsi="Calibri"/>
                <w:b/>
                <w:szCs w:val="22"/>
              </w:rPr>
            </w:pPr>
          </w:p>
          <w:p w14:paraId="3F30FB72" w14:textId="0C66F83A" w:rsidR="00D57913" w:rsidRPr="00700FC2" w:rsidRDefault="00D57913" w:rsidP="00EA09F9">
            <w:pPr>
              <w:pStyle w:val="Header"/>
              <w:tabs>
                <w:tab w:val="clear" w:pos="4153"/>
                <w:tab w:val="clear" w:pos="8306"/>
              </w:tabs>
              <w:contextualSpacing/>
              <w:jc w:val="both"/>
              <w:rPr>
                <w:rFonts w:ascii="Calibri" w:hAnsi="Calibri"/>
                <w:bCs/>
                <w:szCs w:val="22"/>
              </w:rPr>
            </w:pPr>
            <w:r w:rsidRPr="00700FC2">
              <w:rPr>
                <w:rFonts w:ascii="Calibri" w:hAnsi="Calibri"/>
                <w:bCs/>
                <w:szCs w:val="22"/>
              </w:rPr>
              <w:t xml:space="preserve">It is noted that the submitted details show the red edge of the extents of the application site extending </w:t>
            </w:r>
            <w:r w:rsidR="00AE4E50" w:rsidRPr="00700FC2">
              <w:rPr>
                <w:rFonts w:ascii="Calibri" w:hAnsi="Calibri"/>
                <w:bCs/>
                <w:szCs w:val="22"/>
              </w:rPr>
              <w:t xml:space="preserve">eastwards </w:t>
            </w:r>
            <w:r w:rsidR="00700FC2" w:rsidRPr="00700FC2">
              <w:rPr>
                <w:rFonts w:ascii="Calibri" w:hAnsi="Calibri"/>
                <w:bCs/>
                <w:szCs w:val="22"/>
              </w:rPr>
              <w:t>with a track/road and potential ‘turning area’ also being shown.  No information has been provided in respect of the necessitated need for this track or as to whether the applicant is intending to utilise this area as residential curtilage associated with the dwelling.</w:t>
            </w:r>
          </w:p>
          <w:p w14:paraId="31876398" w14:textId="1E808126" w:rsidR="00D57913" w:rsidRDefault="00D57913"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65FA93C7"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67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57BDAA" w14:textId="77777777" w:rsidR="009F4443" w:rsidRPr="007448CE" w:rsidRDefault="0068583D" w:rsidP="0068583D">
            <w:pPr>
              <w:jc w:val="both"/>
              <w:rPr>
                <w:rFonts w:asciiTheme="minorHAnsi" w:hAnsiTheme="minorHAnsi"/>
                <w:bCs/>
                <w:szCs w:val="22"/>
              </w:rPr>
            </w:pPr>
            <w:r w:rsidRPr="007448CE">
              <w:rPr>
                <w:rFonts w:asciiTheme="minorHAnsi" w:hAnsiTheme="minorHAnsi"/>
                <w:bCs/>
                <w:szCs w:val="22"/>
              </w:rPr>
              <w:t>The proposal is in direct conflict with Policy DME6 of the Ribble Valley Core Strategy and Paragraph 167 of the National Planning Policy Framework insofar that the submitted Flood Risk Assessment does not comply with the requirements for site-specific flood risk assessments, as set out in the Flood Risk and Coastal Change section of the planning practice guidance (PPG) in that it has not been adequately demonstrated that the  development would be safe without exacerbating flood risk elsewhere if the proposed flood risk mitigation measures are implemented.</w:t>
            </w:r>
          </w:p>
          <w:p w14:paraId="337E4514" w14:textId="1107BB5B" w:rsidR="00AE4E50" w:rsidRPr="00D770BD" w:rsidRDefault="00AE4E50" w:rsidP="0068583D">
            <w:pPr>
              <w:jc w:val="both"/>
              <w:rPr>
                <w:rFonts w:asciiTheme="minorHAnsi" w:hAnsiTheme="minorHAnsi"/>
                <w:bCs/>
                <w:color w:val="00B0F0"/>
                <w:szCs w:val="22"/>
              </w:rPr>
            </w:pPr>
          </w:p>
        </w:tc>
      </w:tr>
      <w:tr w:rsidR="00D900F8" w:rsidRPr="00D2449B" w14:paraId="0EB25E18"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E7CEBF" w14:textId="0EEF0915" w:rsidR="00D900F8" w:rsidRDefault="00D900F8" w:rsidP="009F4443">
            <w:pPr>
              <w:jc w:val="center"/>
              <w:rPr>
                <w:rFonts w:asciiTheme="minorHAnsi" w:hAnsiTheme="minorHAnsi"/>
                <w:b/>
                <w:szCs w:val="22"/>
              </w:rPr>
            </w:pPr>
            <w:r>
              <w:rPr>
                <w:rFonts w:asciiTheme="minorHAnsi" w:hAnsiTheme="minorHAnsi"/>
                <w:b/>
                <w:szCs w:val="22"/>
              </w:rPr>
              <w:t>02</w:t>
            </w:r>
          </w:p>
        </w:tc>
        <w:tc>
          <w:tcPr>
            <w:tcW w:w="867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D085AC" w14:textId="77777777" w:rsidR="00D900F8" w:rsidRPr="00D900F8" w:rsidRDefault="00D900F8" w:rsidP="004D6B59">
            <w:pPr>
              <w:jc w:val="both"/>
              <w:rPr>
                <w:rFonts w:asciiTheme="minorHAnsi" w:hAnsiTheme="minorHAnsi" w:cstheme="minorHAnsi"/>
                <w:szCs w:val="22"/>
              </w:rPr>
            </w:pPr>
            <w:r w:rsidRPr="00D900F8">
              <w:rPr>
                <w:rFonts w:asciiTheme="minorHAnsi" w:hAnsiTheme="minorHAnsi" w:cstheme="minorHAnsi"/>
                <w:szCs w:val="22"/>
              </w:rPr>
              <w:t>The proposed development would constitute inappropriate development in an area at risk of flooding as the proposed application site falls within Flood Zone 3 and inadequate evidence has been submitted to show that there are no reasonably available sites appropriate for the proposed development in areas with a lower probability of flooding. This would not steer development to areas with the lowest probability of flooding, thereby increasing the number of people and properties at risk from flooding and fail the Sequential Test, which is contrary to section 10 of the National Planning Policy Framework and the National Planning Policy Guidance 'Flood Risk and Coastal Change'</w:t>
            </w:r>
            <w:r w:rsidRPr="00D900F8">
              <w:rPr>
                <w:rFonts w:ascii="Calibri" w:hAnsi="Calibri"/>
                <w:szCs w:val="22"/>
              </w:rPr>
              <w:t xml:space="preserve"> as well as Policy DME6 of the Ribble Valley Core Strategy</w:t>
            </w:r>
            <w:r w:rsidRPr="00D900F8">
              <w:rPr>
                <w:rFonts w:asciiTheme="minorHAnsi" w:hAnsiTheme="minorHAnsi" w:cstheme="minorHAnsi"/>
                <w:szCs w:val="22"/>
              </w:rPr>
              <w:t>.</w:t>
            </w:r>
          </w:p>
          <w:p w14:paraId="75F337D8" w14:textId="77777777" w:rsidR="00D900F8" w:rsidRPr="00D900F8" w:rsidRDefault="00D900F8" w:rsidP="0068583D">
            <w:pPr>
              <w:jc w:val="both"/>
              <w:rPr>
                <w:rFonts w:asciiTheme="minorHAnsi" w:hAnsiTheme="minorHAnsi"/>
                <w:bCs/>
                <w:color w:val="00B0F0"/>
                <w:szCs w:val="22"/>
              </w:rPr>
            </w:pPr>
          </w:p>
        </w:tc>
      </w:tr>
      <w:tr w:rsidR="009F4443" w:rsidRPr="00D2449B" w14:paraId="15027259"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5B506E" w14:textId="77777777" w:rsidR="00AE4E50" w:rsidRDefault="00AE4E50" w:rsidP="009F4443">
            <w:pPr>
              <w:jc w:val="center"/>
              <w:rPr>
                <w:rFonts w:asciiTheme="minorHAnsi" w:hAnsiTheme="minorHAnsi"/>
                <w:b/>
                <w:szCs w:val="22"/>
              </w:rPr>
            </w:pPr>
          </w:p>
          <w:p w14:paraId="78C19535" w14:textId="789FE3BE" w:rsidR="009F4443" w:rsidRPr="009F4443" w:rsidRDefault="009F4443" w:rsidP="009F4443">
            <w:pPr>
              <w:jc w:val="center"/>
              <w:rPr>
                <w:rFonts w:asciiTheme="minorHAnsi" w:hAnsiTheme="minorHAnsi"/>
                <w:b/>
                <w:szCs w:val="22"/>
              </w:rPr>
            </w:pPr>
            <w:r w:rsidRPr="009F4443">
              <w:rPr>
                <w:rFonts w:asciiTheme="minorHAnsi" w:hAnsiTheme="minorHAnsi"/>
                <w:b/>
                <w:szCs w:val="22"/>
              </w:rPr>
              <w:t>0</w:t>
            </w:r>
            <w:r w:rsidR="00D900F8">
              <w:rPr>
                <w:rFonts w:asciiTheme="minorHAnsi" w:hAnsiTheme="minorHAnsi"/>
                <w:b/>
                <w:szCs w:val="22"/>
              </w:rPr>
              <w:t>3</w:t>
            </w:r>
          </w:p>
        </w:tc>
        <w:tc>
          <w:tcPr>
            <w:tcW w:w="867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172A7B" w14:textId="77777777" w:rsidR="00AE4E50" w:rsidRPr="00D770BD" w:rsidRDefault="00AE4E50" w:rsidP="0068583D">
            <w:pPr>
              <w:jc w:val="both"/>
              <w:rPr>
                <w:rFonts w:asciiTheme="minorHAnsi" w:hAnsiTheme="minorHAnsi"/>
                <w:bCs/>
                <w:color w:val="00B0F0"/>
                <w:szCs w:val="22"/>
              </w:rPr>
            </w:pPr>
          </w:p>
          <w:p w14:paraId="1F59491E" w14:textId="376C4FF9" w:rsidR="0068583D" w:rsidRPr="00582100" w:rsidRDefault="0068583D" w:rsidP="0068583D">
            <w:pPr>
              <w:jc w:val="both"/>
              <w:rPr>
                <w:rFonts w:asciiTheme="minorHAnsi" w:hAnsiTheme="minorHAnsi"/>
                <w:bCs/>
                <w:szCs w:val="22"/>
              </w:rPr>
            </w:pPr>
            <w:r w:rsidRPr="00582100">
              <w:rPr>
                <w:rFonts w:asciiTheme="minorHAnsi" w:hAnsiTheme="minorHAnsi"/>
                <w:bCs/>
                <w:szCs w:val="22"/>
              </w:rPr>
              <w:lastRenderedPageBreak/>
              <w:t>The proposal would result in a significant unsympathetic overbearing impact upon the residential garden area associated with ‘Twin Brook Barn’, by virtue of the proposed buildings height, scale, proximity to the northern shared boundary and presence of raised ‘walkways/ramps’.  In this respect it is considered that the sense of enjoyment and privacy afforded to occupiers of the affected existing dwelling would be significantly compromised resulting in an unacceptable level of residential amenity.</w:t>
            </w:r>
          </w:p>
          <w:p w14:paraId="3F56C34A" w14:textId="77777777" w:rsidR="0068583D" w:rsidRPr="00582100" w:rsidRDefault="0068583D" w:rsidP="0068583D">
            <w:pPr>
              <w:jc w:val="both"/>
              <w:rPr>
                <w:rFonts w:asciiTheme="minorHAnsi" w:hAnsiTheme="minorHAnsi"/>
                <w:bCs/>
                <w:szCs w:val="22"/>
              </w:rPr>
            </w:pPr>
          </w:p>
          <w:p w14:paraId="3760B664" w14:textId="77777777" w:rsidR="009F4443" w:rsidRPr="00582100" w:rsidRDefault="0068583D" w:rsidP="0068583D">
            <w:pPr>
              <w:jc w:val="both"/>
              <w:rPr>
                <w:rFonts w:asciiTheme="minorHAnsi" w:hAnsiTheme="minorHAnsi"/>
                <w:bCs/>
                <w:szCs w:val="22"/>
              </w:rPr>
            </w:pPr>
            <w:r w:rsidRPr="00582100">
              <w:rPr>
                <w:rFonts w:asciiTheme="minorHAnsi" w:hAnsiTheme="minorHAnsi"/>
                <w:bCs/>
                <w:szCs w:val="22"/>
              </w:rPr>
              <w:t>As such the proposal is considered to be in significant direct conflict with the aims and objectives of Policy DMG1 of the Ribble Valley Core Strategy.</w:t>
            </w:r>
          </w:p>
          <w:p w14:paraId="510702C7" w14:textId="7E8EBAFB" w:rsidR="00AE4E50" w:rsidRPr="00D770BD" w:rsidRDefault="00AE4E50" w:rsidP="0068583D">
            <w:pPr>
              <w:jc w:val="both"/>
              <w:rPr>
                <w:rFonts w:asciiTheme="minorHAnsi" w:hAnsiTheme="minorHAnsi"/>
                <w:bCs/>
                <w:color w:val="00B0F0"/>
                <w:szCs w:val="22"/>
              </w:rPr>
            </w:pPr>
          </w:p>
        </w:tc>
      </w:tr>
    </w:tbl>
    <w:p w14:paraId="513FB541" w14:textId="77777777" w:rsidR="007448CE" w:rsidRPr="00D2449B" w:rsidRDefault="007448CE">
      <w:pPr>
        <w:rPr>
          <w:rFonts w:ascii="Calibri" w:hAnsi="Calibri"/>
          <w:szCs w:val="22"/>
        </w:rPr>
      </w:pPr>
    </w:p>
    <w:sectPr w:rsidR="007448C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60E2B"/>
    <w:multiLevelType w:val="hybridMultilevel"/>
    <w:tmpl w:val="0880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2475F"/>
    <w:multiLevelType w:val="hybridMultilevel"/>
    <w:tmpl w:val="81C0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490486954">
    <w:abstractNumId w:val="1"/>
  </w:num>
  <w:num w:numId="3" w16cid:durableId="193528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B7A66"/>
    <w:rsid w:val="000E2E3C"/>
    <w:rsid w:val="00130035"/>
    <w:rsid w:val="0019452A"/>
    <w:rsid w:val="00196068"/>
    <w:rsid w:val="001B2D64"/>
    <w:rsid w:val="001D4F7A"/>
    <w:rsid w:val="0021641F"/>
    <w:rsid w:val="0024078D"/>
    <w:rsid w:val="00250879"/>
    <w:rsid w:val="0029334A"/>
    <w:rsid w:val="002A01CF"/>
    <w:rsid w:val="002C6277"/>
    <w:rsid w:val="002F2580"/>
    <w:rsid w:val="00321B6E"/>
    <w:rsid w:val="003F5F6C"/>
    <w:rsid w:val="00417A80"/>
    <w:rsid w:val="00440CB6"/>
    <w:rsid w:val="0046548C"/>
    <w:rsid w:val="0048751E"/>
    <w:rsid w:val="00490994"/>
    <w:rsid w:val="004947BB"/>
    <w:rsid w:val="004A5EA9"/>
    <w:rsid w:val="004C2434"/>
    <w:rsid w:val="004D6B59"/>
    <w:rsid w:val="004F0649"/>
    <w:rsid w:val="00510FA2"/>
    <w:rsid w:val="00556ECD"/>
    <w:rsid w:val="00582100"/>
    <w:rsid w:val="005D4CBD"/>
    <w:rsid w:val="005E1C6C"/>
    <w:rsid w:val="005E65DF"/>
    <w:rsid w:val="00616F9B"/>
    <w:rsid w:val="00660729"/>
    <w:rsid w:val="0067309E"/>
    <w:rsid w:val="0068583D"/>
    <w:rsid w:val="00692B60"/>
    <w:rsid w:val="006A0AD6"/>
    <w:rsid w:val="006A71AD"/>
    <w:rsid w:val="006C2BFA"/>
    <w:rsid w:val="006D4F10"/>
    <w:rsid w:val="006F6849"/>
    <w:rsid w:val="0070054B"/>
    <w:rsid w:val="00700FC2"/>
    <w:rsid w:val="007448CE"/>
    <w:rsid w:val="00773A66"/>
    <w:rsid w:val="00776AE2"/>
    <w:rsid w:val="007C791C"/>
    <w:rsid w:val="007D7DF4"/>
    <w:rsid w:val="007E0D23"/>
    <w:rsid w:val="007F16D6"/>
    <w:rsid w:val="00811771"/>
    <w:rsid w:val="00824DB6"/>
    <w:rsid w:val="00837F4F"/>
    <w:rsid w:val="008542DE"/>
    <w:rsid w:val="008902F4"/>
    <w:rsid w:val="008A28C8"/>
    <w:rsid w:val="008A3B33"/>
    <w:rsid w:val="008F45AC"/>
    <w:rsid w:val="00992C6F"/>
    <w:rsid w:val="009B2DF2"/>
    <w:rsid w:val="009F4443"/>
    <w:rsid w:val="00A13F95"/>
    <w:rsid w:val="00A42E82"/>
    <w:rsid w:val="00A579BB"/>
    <w:rsid w:val="00A63D55"/>
    <w:rsid w:val="00A80993"/>
    <w:rsid w:val="00A95D89"/>
    <w:rsid w:val="00AE4E50"/>
    <w:rsid w:val="00B93EB5"/>
    <w:rsid w:val="00BD3F03"/>
    <w:rsid w:val="00BE0C11"/>
    <w:rsid w:val="00BE6BCC"/>
    <w:rsid w:val="00C0704D"/>
    <w:rsid w:val="00C25722"/>
    <w:rsid w:val="00C618DB"/>
    <w:rsid w:val="00C9590A"/>
    <w:rsid w:val="00CA0D47"/>
    <w:rsid w:val="00CB106E"/>
    <w:rsid w:val="00D11007"/>
    <w:rsid w:val="00D17EB1"/>
    <w:rsid w:val="00D2449B"/>
    <w:rsid w:val="00D54E67"/>
    <w:rsid w:val="00D57913"/>
    <w:rsid w:val="00D770BD"/>
    <w:rsid w:val="00D900F8"/>
    <w:rsid w:val="00DD62F6"/>
    <w:rsid w:val="00E46243"/>
    <w:rsid w:val="00E66534"/>
    <w:rsid w:val="00E72F6C"/>
    <w:rsid w:val="00EA09F9"/>
    <w:rsid w:val="00EC23C7"/>
    <w:rsid w:val="00ED00B7"/>
    <w:rsid w:val="00EF44E6"/>
    <w:rsid w:val="00F332A7"/>
    <w:rsid w:val="00F91040"/>
    <w:rsid w:val="00FD6AE3"/>
    <w:rsid w:val="00FE0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2023-10-02T15:50:00Z</cp:lastPrinted>
  <dcterms:created xsi:type="dcterms:W3CDTF">2023-10-02T15:53:00Z</dcterms:created>
  <dcterms:modified xsi:type="dcterms:W3CDTF">2023-10-02T15:53:00Z</dcterms:modified>
</cp:coreProperties>
</file>