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184"/>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372680">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43B067B8" w:rsidR="00837F4F" w:rsidRPr="00D2449B" w:rsidRDefault="00372680"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49298F27" w:rsidR="00837F4F" w:rsidRPr="00D2449B" w:rsidRDefault="00372680" w:rsidP="00D2449B">
            <w:pPr>
              <w:jc w:val="center"/>
              <w:rPr>
                <w:rFonts w:ascii="Calibri" w:hAnsi="Calibri"/>
                <w:b/>
                <w:szCs w:val="22"/>
              </w:rPr>
            </w:pPr>
            <w:r>
              <w:rPr>
                <w:rFonts w:ascii="Calibri" w:hAnsi="Calibri"/>
                <w:b/>
                <w:szCs w:val="22"/>
              </w:rPr>
              <w:t>15/05/23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61A5F4CD" w:rsidR="00837F4F" w:rsidRPr="00D2449B" w:rsidRDefault="00A73470"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42189A05" w:rsidR="00837F4F" w:rsidRPr="00D2449B" w:rsidRDefault="00A73470" w:rsidP="00D2449B">
            <w:pPr>
              <w:jc w:val="center"/>
              <w:rPr>
                <w:rFonts w:ascii="Calibri" w:hAnsi="Calibri"/>
                <w:b/>
                <w:szCs w:val="22"/>
              </w:rPr>
            </w:pPr>
            <w:r>
              <w:rPr>
                <w:rFonts w:ascii="Calibri" w:hAnsi="Calibri"/>
                <w:b/>
                <w:szCs w:val="22"/>
              </w:rPr>
              <w:t>15/5/23</w:t>
            </w:r>
          </w:p>
        </w:tc>
      </w:tr>
      <w:tr w:rsidR="004A5EA9" w:rsidRPr="00D2449B" w14:paraId="2094A164" w14:textId="77777777" w:rsidTr="00372680">
        <w:trPr>
          <w:jc w:val="center"/>
        </w:trPr>
        <w:tc>
          <w:tcPr>
            <w:tcW w:w="9564"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372680">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38B1BFB4" w:rsidR="004A5EA9" w:rsidRPr="00250879" w:rsidRDefault="00372680" w:rsidP="008542DE">
            <w:pPr>
              <w:rPr>
                <w:rFonts w:ascii="Calibri" w:hAnsi="Calibri"/>
                <w:color w:val="548DD4" w:themeColor="text2" w:themeTint="99"/>
                <w:szCs w:val="22"/>
              </w:rPr>
            </w:pPr>
            <w:r>
              <w:rPr>
                <w:rFonts w:ascii="Calibri" w:hAnsi="Calibri"/>
                <w:szCs w:val="22"/>
              </w:rPr>
              <w:t>2023/0278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372680">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1C3294EE" w:rsidR="00824DB6" w:rsidRPr="00C0704D" w:rsidRDefault="00372680" w:rsidP="002C6277">
            <w:pPr>
              <w:rPr>
                <w:rFonts w:ascii="Calibri" w:hAnsi="Calibri"/>
                <w:szCs w:val="22"/>
              </w:rPr>
            </w:pPr>
            <w:r w:rsidRPr="00372680">
              <w:rPr>
                <w:rFonts w:ascii="Calibri" w:hAnsi="Calibri"/>
                <w:szCs w:val="22"/>
              </w:rPr>
              <w:t>N/A</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2FE2CA0" w:rsidR="00824DB6" w:rsidRPr="00C0704D" w:rsidRDefault="00372680" w:rsidP="002C6277">
            <w:pPr>
              <w:rPr>
                <w:rFonts w:ascii="Calibri" w:hAnsi="Calibri"/>
                <w:szCs w:val="22"/>
              </w:rPr>
            </w:pPr>
            <w:r w:rsidRPr="00372680">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372680">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19449E6C" w:rsidR="004A5EA9" w:rsidRPr="00250879" w:rsidRDefault="00372680" w:rsidP="00811771">
            <w:pPr>
              <w:rPr>
                <w:rFonts w:ascii="Calibri" w:hAnsi="Calibri"/>
                <w:color w:val="548DD4" w:themeColor="text2" w:themeTint="99"/>
                <w:szCs w:val="22"/>
              </w:rPr>
            </w:pPr>
            <w:r w:rsidRPr="00372680">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372680">
        <w:trPr>
          <w:jc w:val="center"/>
        </w:trPr>
        <w:tc>
          <w:tcPr>
            <w:tcW w:w="589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62BBF07A" w:rsidR="004A5EA9" w:rsidRPr="00D2449B" w:rsidRDefault="009F4443" w:rsidP="002A01CF">
            <w:pPr>
              <w:jc w:val="center"/>
              <w:rPr>
                <w:rFonts w:ascii="Calibri" w:hAnsi="Calibri"/>
                <w:b/>
                <w:szCs w:val="22"/>
              </w:rPr>
            </w:pPr>
            <w:r>
              <w:rPr>
                <w:rFonts w:ascii="Calibri" w:hAnsi="Calibri"/>
                <w:b/>
                <w:szCs w:val="22"/>
              </w:rPr>
              <w:t>REFUSAL</w:t>
            </w:r>
          </w:p>
        </w:tc>
      </w:tr>
      <w:tr w:rsidR="004A5EA9" w:rsidRPr="00D2449B" w14:paraId="7813B96A" w14:textId="77777777" w:rsidTr="00372680">
        <w:trPr>
          <w:trHeight w:hRule="exact" w:val="170"/>
          <w:jc w:val="center"/>
        </w:trPr>
        <w:tc>
          <w:tcPr>
            <w:tcW w:w="9564"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372680">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27A03A86" w:rsidR="004A5EA9" w:rsidRPr="002C6277" w:rsidRDefault="00372680">
            <w:pPr>
              <w:rPr>
                <w:rFonts w:ascii="Calibri" w:hAnsi="Calibri"/>
                <w:szCs w:val="22"/>
              </w:rPr>
            </w:pPr>
            <w:r w:rsidRPr="00372680">
              <w:rPr>
                <w:rFonts w:ascii="Calibri" w:hAnsi="Calibri"/>
                <w:szCs w:val="22"/>
              </w:rPr>
              <w:t>Non material amendment to application 3/2020/0579, involving the revision to the general arrangement of the holiday lodges and their orientation and relocation of the sewage treatment plan.</w:t>
            </w:r>
          </w:p>
        </w:tc>
      </w:tr>
      <w:tr w:rsidR="002A01CF" w:rsidRPr="00D2449B" w14:paraId="52988241" w14:textId="77777777" w:rsidTr="00372680">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9895207" w:rsidR="002A01CF" w:rsidRPr="002C6277" w:rsidRDefault="00372680" w:rsidP="00A42E82">
            <w:pPr>
              <w:rPr>
                <w:rFonts w:ascii="Calibri" w:hAnsi="Calibri"/>
                <w:szCs w:val="22"/>
              </w:rPr>
            </w:pPr>
            <w:r w:rsidRPr="00372680">
              <w:rPr>
                <w:rFonts w:ascii="Calibri" w:hAnsi="Calibri"/>
                <w:szCs w:val="22"/>
              </w:rPr>
              <w:t>Bowland Wild Boar Park, Wardsley Road, Chipping</w:t>
            </w:r>
          </w:p>
        </w:tc>
      </w:tr>
      <w:tr w:rsidR="00A95D89" w:rsidRPr="00D2449B" w14:paraId="3FB99B2E" w14:textId="77777777" w:rsidTr="00372680">
        <w:trPr>
          <w:trHeight w:hRule="exact" w:val="170"/>
          <w:jc w:val="center"/>
        </w:trPr>
        <w:tc>
          <w:tcPr>
            <w:tcW w:w="9564"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372680">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299607E" w:rsidR="002A01CF" w:rsidRPr="00D2449B" w:rsidRDefault="00372680">
            <w:pPr>
              <w:rPr>
                <w:rFonts w:ascii="Calibri" w:hAnsi="Calibri"/>
                <w:b/>
                <w:szCs w:val="22"/>
              </w:rPr>
            </w:pPr>
            <w:r>
              <w:rPr>
                <w:rFonts w:ascii="Calibri" w:hAnsi="Calibri"/>
                <w:b/>
                <w:szCs w:val="22"/>
              </w:rPr>
              <w:t>N/A</w:t>
            </w:r>
          </w:p>
        </w:tc>
      </w:tr>
      <w:tr w:rsidR="00C618DB" w:rsidRPr="00D2449B" w14:paraId="639E958B" w14:textId="77777777" w:rsidTr="00372680">
        <w:trPr>
          <w:trHeight w:hRule="exact" w:val="170"/>
          <w:jc w:val="center"/>
        </w:trPr>
        <w:tc>
          <w:tcPr>
            <w:tcW w:w="9564"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372680">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C0704D" w:rsidRPr="00D2449B" w14:paraId="62663AAF"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782C34FF" w:rsidR="00C0704D" w:rsidRPr="00C0704D" w:rsidRDefault="00372680" w:rsidP="00D74711">
            <w:pPr>
              <w:rPr>
                <w:rFonts w:ascii="Calibri" w:hAnsi="Calibri"/>
                <w:szCs w:val="22"/>
              </w:rPr>
            </w:pPr>
            <w:r w:rsidRPr="00372680">
              <w:rPr>
                <w:rFonts w:ascii="Calibri" w:hAnsi="Calibri"/>
                <w:b/>
                <w:szCs w:val="22"/>
              </w:rPr>
              <w:t>N/A</w:t>
            </w:r>
          </w:p>
        </w:tc>
      </w:tr>
      <w:tr w:rsidR="00C0704D" w:rsidRPr="00D2449B" w14:paraId="29EBDA1F" w14:textId="77777777" w:rsidTr="00372680">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4DC586A8" w:rsidR="00C0704D" w:rsidRPr="00C0704D" w:rsidRDefault="00372680" w:rsidP="00692B60">
            <w:pPr>
              <w:rPr>
                <w:rFonts w:ascii="Calibri" w:hAnsi="Calibri"/>
                <w:szCs w:val="22"/>
              </w:rPr>
            </w:pPr>
            <w:r w:rsidRPr="00372680">
              <w:rPr>
                <w:rFonts w:ascii="Calibri" w:hAnsi="Calibri"/>
                <w:b/>
                <w:szCs w:val="22"/>
              </w:rPr>
              <w:t>N/A</w:t>
            </w:r>
          </w:p>
        </w:tc>
      </w:tr>
      <w:tr w:rsidR="00C0704D" w:rsidRPr="00D2449B" w14:paraId="1CDFA4C3" w14:textId="77777777" w:rsidTr="00372680">
        <w:trPr>
          <w:trHeight w:hRule="exact" w:val="170"/>
          <w:jc w:val="center"/>
        </w:trPr>
        <w:tc>
          <w:tcPr>
            <w:tcW w:w="9564"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20E7509" w14:textId="77777777" w:rsidR="00372680" w:rsidRPr="00D2449B" w:rsidRDefault="00372680" w:rsidP="00372680">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FACA13B" w14:textId="77777777" w:rsidR="00372680" w:rsidRDefault="00372680" w:rsidP="00372680">
            <w:pPr>
              <w:pStyle w:val="PLANNING"/>
              <w:rPr>
                <w:rFonts w:ascii="Calibri" w:hAnsi="Calibri"/>
                <w:szCs w:val="22"/>
              </w:rPr>
            </w:pPr>
            <w:r w:rsidRPr="00C618DB">
              <w:rPr>
                <w:rFonts w:ascii="Calibri" w:hAnsi="Calibri"/>
                <w:szCs w:val="22"/>
              </w:rPr>
              <w:t>Policy DMG1 – General Considerations</w:t>
            </w:r>
          </w:p>
          <w:p w14:paraId="3CB2086F" w14:textId="77777777" w:rsidR="00372680" w:rsidRPr="00C618DB" w:rsidRDefault="00372680" w:rsidP="00372680">
            <w:pPr>
              <w:pStyle w:val="PLANNING"/>
              <w:rPr>
                <w:rFonts w:ascii="Calibri" w:hAnsi="Calibri"/>
                <w:szCs w:val="22"/>
              </w:rPr>
            </w:pPr>
            <w:r>
              <w:rPr>
                <w:rFonts w:ascii="Calibri" w:hAnsi="Calibri"/>
                <w:szCs w:val="22"/>
              </w:rPr>
              <w:t>Policy EN2 – Landscape</w:t>
            </w:r>
          </w:p>
          <w:p w14:paraId="14FA666A" w14:textId="77777777" w:rsidR="00372680" w:rsidRDefault="00372680" w:rsidP="00372680">
            <w:pPr>
              <w:pStyle w:val="PLANNING"/>
              <w:rPr>
                <w:rFonts w:ascii="Calibri" w:hAnsi="Calibri"/>
                <w:szCs w:val="22"/>
              </w:rPr>
            </w:pPr>
          </w:p>
          <w:p w14:paraId="6537AD0C" w14:textId="77777777" w:rsidR="00372680" w:rsidRDefault="00372680" w:rsidP="00372680">
            <w:pPr>
              <w:rPr>
                <w:rFonts w:ascii="Calibri" w:hAnsi="Calibri"/>
                <w:b/>
                <w:bCs/>
                <w:szCs w:val="22"/>
              </w:rPr>
            </w:pPr>
            <w:r>
              <w:rPr>
                <w:rFonts w:ascii="Calibri" w:hAnsi="Calibri"/>
                <w:b/>
                <w:bCs/>
                <w:szCs w:val="22"/>
              </w:rPr>
              <w:t>Town and Country Planning Act 1990:</w:t>
            </w:r>
          </w:p>
          <w:p w14:paraId="23F69C93" w14:textId="77777777" w:rsidR="00372680" w:rsidRDefault="00372680" w:rsidP="00372680">
            <w:pPr>
              <w:rPr>
                <w:rFonts w:ascii="Calibri" w:hAnsi="Calibri"/>
                <w:szCs w:val="22"/>
              </w:rPr>
            </w:pPr>
            <w:r>
              <w:rPr>
                <w:rFonts w:ascii="Calibri" w:hAnsi="Calibri"/>
                <w:szCs w:val="22"/>
              </w:rPr>
              <w:t>Section 96A</w:t>
            </w:r>
          </w:p>
          <w:p w14:paraId="46E16681" w14:textId="77777777" w:rsidR="00372680" w:rsidRDefault="00372680" w:rsidP="00372680">
            <w:pPr>
              <w:rPr>
                <w:rFonts w:ascii="Calibri" w:hAnsi="Calibri"/>
                <w:b/>
                <w:bCs/>
                <w:szCs w:val="22"/>
              </w:rPr>
            </w:pPr>
          </w:p>
          <w:p w14:paraId="5026380E" w14:textId="77777777" w:rsidR="00372680" w:rsidRDefault="00372680" w:rsidP="00372680">
            <w:pPr>
              <w:rPr>
                <w:rFonts w:ascii="Calibri" w:hAnsi="Calibri"/>
                <w:b/>
                <w:bCs/>
                <w:szCs w:val="22"/>
              </w:rPr>
            </w:pPr>
            <w:r>
              <w:rPr>
                <w:rFonts w:ascii="Calibri" w:hAnsi="Calibri"/>
                <w:b/>
                <w:bCs/>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12F62A77" w14:textId="77777777" w:rsidR="00372680" w:rsidRPr="0053452A" w:rsidRDefault="00372680" w:rsidP="00372680">
            <w:pPr>
              <w:pStyle w:val="PLANNING"/>
              <w:rPr>
                <w:rFonts w:ascii="Calibri" w:hAnsi="Calibri"/>
                <w:b/>
                <w:bCs/>
                <w:szCs w:val="22"/>
              </w:rPr>
            </w:pPr>
            <w:r w:rsidRPr="0053452A">
              <w:rPr>
                <w:rFonts w:ascii="Calibri" w:hAnsi="Calibri"/>
                <w:b/>
                <w:bCs/>
                <w:szCs w:val="22"/>
              </w:rPr>
              <w:t>2020/0579:</w:t>
            </w:r>
          </w:p>
          <w:p w14:paraId="0E12E4A3" w14:textId="61DC8EC1" w:rsidR="0046548C" w:rsidRPr="00372680" w:rsidRDefault="00372680" w:rsidP="00C0704D">
            <w:pPr>
              <w:pStyle w:val="PLANNING"/>
              <w:rPr>
                <w:rFonts w:ascii="Calibri" w:hAnsi="Calibri"/>
                <w:szCs w:val="22"/>
              </w:rPr>
            </w:pPr>
            <w:r w:rsidRPr="0053452A">
              <w:rPr>
                <w:rFonts w:ascii="Calibri" w:hAnsi="Calibri"/>
                <w:szCs w:val="22"/>
              </w:rPr>
              <w:t>Change of use of land to erect nine holiday lodges with parking and an associated package sewage treatment plant</w:t>
            </w:r>
            <w:r>
              <w:rPr>
                <w:rFonts w:ascii="Calibri" w:hAnsi="Calibri"/>
                <w:szCs w:val="22"/>
              </w:rPr>
              <w:t xml:space="preserve"> – Approved with Conditions</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372680">
        <w:trPr>
          <w:trHeight w:hRule="exact" w:val="170"/>
          <w:jc w:val="center"/>
        </w:trPr>
        <w:tc>
          <w:tcPr>
            <w:tcW w:w="9564"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7766F864" w14:textId="77777777" w:rsidR="00372680" w:rsidRDefault="00372680" w:rsidP="00372680">
            <w:pPr>
              <w:pStyle w:val="Header"/>
              <w:tabs>
                <w:tab w:val="clear" w:pos="4153"/>
                <w:tab w:val="clear" w:pos="8306"/>
              </w:tabs>
              <w:contextualSpacing/>
              <w:jc w:val="both"/>
              <w:rPr>
                <w:rFonts w:ascii="Calibri" w:hAnsi="Calibri"/>
                <w:bCs/>
                <w:szCs w:val="22"/>
              </w:rPr>
            </w:pPr>
          </w:p>
          <w:p w14:paraId="44540492" w14:textId="6393053A" w:rsidR="00372680" w:rsidRDefault="00372680" w:rsidP="00372680">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an area of land at Bowland Wildboar Park and Education Centre, which received planning permission to erect 9no. holiday cottages with parking and associated sewage treatment plant in 2020. </w:t>
            </w:r>
            <w:r w:rsidR="00A73470">
              <w:rPr>
                <w:rFonts w:ascii="Calibri" w:hAnsi="Calibri"/>
                <w:bCs/>
                <w:szCs w:val="22"/>
              </w:rPr>
              <w:t>Aerial photographs show that development has commenced.</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E241693" w14:textId="1A3C64D4" w:rsidR="00372680" w:rsidRDefault="00372680" w:rsidP="00372680">
            <w:pPr>
              <w:pStyle w:val="Header"/>
              <w:tabs>
                <w:tab w:val="clear" w:pos="4153"/>
                <w:tab w:val="clear" w:pos="8306"/>
              </w:tabs>
              <w:jc w:val="both"/>
              <w:rPr>
                <w:rFonts w:ascii="Calibri" w:hAnsi="Calibri"/>
                <w:bCs/>
                <w:szCs w:val="22"/>
              </w:rPr>
            </w:pPr>
            <w:r>
              <w:rPr>
                <w:rFonts w:ascii="Calibri" w:hAnsi="Calibri"/>
                <w:bCs/>
                <w:szCs w:val="22"/>
              </w:rPr>
              <w:lastRenderedPageBreak/>
              <w:t>The application seeks a non-material amendment to this permission. The non</w:t>
            </w:r>
            <w:r w:rsidR="00A73470">
              <w:rPr>
                <w:rFonts w:ascii="Calibri" w:hAnsi="Calibri"/>
                <w:bCs/>
                <w:szCs w:val="22"/>
              </w:rPr>
              <w:t>-</w:t>
            </w:r>
            <w:r>
              <w:rPr>
                <w:rFonts w:ascii="Calibri" w:hAnsi="Calibri"/>
                <w:bCs/>
                <w:szCs w:val="22"/>
              </w:rPr>
              <w:t>material amendment relates to:</w:t>
            </w:r>
          </w:p>
          <w:p w14:paraId="49830707" w14:textId="1811DFD1" w:rsidR="00372680" w:rsidRDefault="00372680" w:rsidP="00372680">
            <w:pPr>
              <w:pStyle w:val="Header"/>
              <w:numPr>
                <w:ilvl w:val="0"/>
                <w:numId w:val="2"/>
              </w:numPr>
              <w:tabs>
                <w:tab w:val="clear" w:pos="4153"/>
                <w:tab w:val="clear" w:pos="8306"/>
              </w:tabs>
              <w:jc w:val="both"/>
              <w:rPr>
                <w:rFonts w:ascii="Calibri" w:hAnsi="Calibri"/>
                <w:bCs/>
                <w:szCs w:val="22"/>
              </w:rPr>
            </w:pPr>
            <w:r>
              <w:rPr>
                <w:rFonts w:ascii="Calibri" w:hAnsi="Calibri"/>
                <w:bCs/>
                <w:szCs w:val="22"/>
              </w:rPr>
              <w:t xml:space="preserve">Provision of additional </w:t>
            </w:r>
            <w:r w:rsidR="00D8376F">
              <w:rPr>
                <w:rFonts w:ascii="Calibri" w:hAnsi="Calibri"/>
                <w:bCs/>
                <w:szCs w:val="22"/>
              </w:rPr>
              <w:t>hard standing</w:t>
            </w:r>
            <w:r>
              <w:rPr>
                <w:rFonts w:ascii="Calibri" w:hAnsi="Calibri"/>
                <w:bCs/>
                <w:szCs w:val="22"/>
              </w:rPr>
              <w:t xml:space="preserve"> used as internal roads</w:t>
            </w:r>
          </w:p>
          <w:p w14:paraId="42B17AAC" w14:textId="77777777" w:rsidR="00372680" w:rsidRDefault="00372680" w:rsidP="00372680">
            <w:pPr>
              <w:pStyle w:val="Header"/>
              <w:numPr>
                <w:ilvl w:val="0"/>
                <w:numId w:val="2"/>
              </w:numPr>
              <w:tabs>
                <w:tab w:val="clear" w:pos="4153"/>
                <w:tab w:val="clear" w:pos="8306"/>
              </w:tabs>
              <w:jc w:val="both"/>
              <w:rPr>
                <w:rFonts w:ascii="Calibri" w:hAnsi="Calibri"/>
                <w:bCs/>
                <w:szCs w:val="22"/>
              </w:rPr>
            </w:pPr>
            <w:r>
              <w:rPr>
                <w:rFonts w:ascii="Calibri" w:hAnsi="Calibri"/>
                <w:bCs/>
                <w:szCs w:val="22"/>
              </w:rPr>
              <w:t>Alteration of the orientation of some of the lodges</w:t>
            </w:r>
          </w:p>
          <w:p w14:paraId="7C8F28E1" w14:textId="63EA3355" w:rsidR="00C0704D" w:rsidRPr="00372680" w:rsidRDefault="00372680" w:rsidP="00440CB6">
            <w:pPr>
              <w:pStyle w:val="Header"/>
              <w:numPr>
                <w:ilvl w:val="0"/>
                <w:numId w:val="2"/>
              </w:numPr>
              <w:tabs>
                <w:tab w:val="clear" w:pos="4153"/>
                <w:tab w:val="clear" w:pos="8306"/>
              </w:tabs>
              <w:jc w:val="both"/>
              <w:rPr>
                <w:rFonts w:ascii="Calibri" w:hAnsi="Calibri"/>
                <w:bCs/>
                <w:szCs w:val="22"/>
              </w:rPr>
            </w:pPr>
            <w:r>
              <w:rPr>
                <w:rFonts w:ascii="Calibri" w:hAnsi="Calibri"/>
                <w:bCs/>
                <w:szCs w:val="22"/>
              </w:rPr>
              <w:t xml:space="preserve">Alteration to the siting and orientation of the sewage treatment plant to the south of the site. </w:t>
            </w:r>
          </w:p>
          <w:p w14:paraId="1B20488F" w14:textId="77777777" w:rsidR="00C0704D" w:rsidRPr="00D54E67" w:rsidRDefault="00C0704D" w:rsidP="002F2580">
            <w:pPr>
              <w:rPr>
                <w:rFonts w:ascii="Calibri" w:hAnsi="Calibri"/>
                <w:szCs w:val="22"/>
              </w:rPr>
            </w:pPr>
          </w:p>
        </w:tc>
      </w:tr>
      <w:tr w:rsidR="0046548C" w:rsidRPr="00D2449B" w14:paraId="06BBE02F"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3FA835EB"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lastRenderedPageBreak/>
              <w:t>Principle of Development</w:t>
            </w:r>
            <w:r w:rsidR="009A41BC">
              <w:rPr>
                <w:rFonts w:ascii="Calibri" w:hAnsi="Calibri"/>
                <w:b/>
                <w:szCs w:val="22"/>
              </w:rPr>
              <w:t xml:space="preserve"> and whether the amendment is ‘non-material’</w:t>
            </w:r>
            <w:r w:rsidRPr="00D2449B">
              <w:rPr>
                <w:rFonts w:ascii="Calibri" w:hAnsi="Calibri"/>
                <w:b/>
                <w:szCs w:val="22"/>
              </w:rPr>
              <w: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288E5E84" w14:textId="1EBF8B9E" w:rsidR="00372680" w:rsidRDefault="00372680" w:rsidP="008542DE">
            <w:pPr>
              <w:pStyle w:val="Header"/>
              <w:tabs>
                <w:tab w:val="clear" w:pos="4153"/>
                <w:tab w:val="clear" w:pos="8306"/>
              </w:tabs>
              <w:contextualSpacing/>
              <w:jc w:val="both"/>
              <w:rPr>
                <w:rFonts w:ascii="Calibri" w:hAnsi="Calibri"/>
                <w:bCs/>
                <w:szCs w:val="22"/>
              </w:rPr>
            </w:pPr>
            <w:r>
              <w:rPr>
                <w:rFonts w:ascii="Calibri" w:hAnsi="Calibri"/>
                <w:bCs/>
                <w:caps/>
                <w:szCs w:val="22"/>
              </w:rPr>
              <w:t>A</w:t>
            </w:r>
            <w:r>
              <w:rPr>
                <w:rFonts w:ascii="Calibri" w:hAnsi="Calibri"/>
                <w:bCs/>
                <w:szCs w:val="22"/>
              </w:rPr>
              <w:t xml:space="preserve">s per section 96A of the Town and Country Planning Act 1990 (as amended) a Local Planning Authority may make a change to any planning permission if they are satisfied that the change is not material. </w:t>
            </w:r>
          </w:p>
          <w:p w14:paraId="2548B0C4" w14:textId="77777777" w:rsidR="00372680" w:rsidRDefault="00372680" w:rsidP="008542DE">
            <w:pPr>
              <w:pStyle w:val="Header"/>
              <w:tabs>
                <w:tab w:val="clear" w:pos="4153"/>
                <w:tab w:val="clear" w:pos="8306"/>
              </w:tabs>
              <w:contextualSpacing/>
              <w:jc w:val="both"/>
              <w:rPr>
                <w:rFonts w:ascii="Calibri" w:hAnsi="Calibri"/>
                <w:bCs/>
                <w:caps/>
                <w:szCs w:val="22"/>
              </w:rPr>
            </w:pPr>
          </w:p>
          <w:p w14:paraId="210A0FF7" w14:textId="5557A440" w:rsidR="006F4FE6" w:rsidRDefault="006F4FE6"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There is no statutory definition of non-material. </w:t>
            </w:r>
            <w:r>
              <w:rPr>
                <w:rFonts w:ascii="Calibri" w:hAnsi="Calibri"/>
                <w:bCs/>
                <w:caps/>
                <w:szCs w:val="22"/>
              </w:rPr>
              <w:t>i</w:t>
            </w:r>
            <w:r>
              <w:rPr>
                <w:rFonts w:ascii="Calibri" w:hAnsi="Calibri"/>
                <w:bCs/>
                <w:szCs w:val="22"/>
              </w:rPr>
              <w:t xml:space="preserve">n deciding whether a change is material, a Local Planning Authority must have regard to the effect of the change, together with any previous changes made under this section, on the planning as originally granted. </w:t>
            </w:r>
          </w:p>
          <w:p w14:paraId="5917B292" w14:textId="77777777" w:rsidR="006F4FE6" w:rsidRDefault="006F4FE6" w:rsidP="008542DE">
            <w:pPr>
              <w:pStyle w:val="Header"/>
              <w:tabs>
                <w:tab w:val="clear" w:pos="4153"/>
                <w:tab w:val="clear" w:pos="8306"/>
              </w:tabs>
              <w:contextualSpacing/>
              <w:jc w:val="both"/>
              <w:rPr>
                <w:rFonts w:ascii="Calibri" w:hAnsi="Calibri"/>
                <w:bCs/>
                <w:szCs w:val="22"/>
              </w:rPr>
            </w:pPr>
          </w:p>
          <w:p w14:paraId="5E1F40E7" w14:textId="12D8990B" w:rsidR="006F4FE6" w:rsidRDefault="006F4FE6" w:rsidP="008542DE">
            <w:pPr>
              <w:pStyle w:val="Header"/>
              <w:tabs>
                <w:tab w:val="clear" w:pos="4153"/>
                <w:tab w:val="clear" w:pos="8306"/>
              </w:tabs>
              <w:contextualSpacing/>
              <w:jc w:val="both"/>
              <w:rPr>
                <w:rFonts w:ascii="Calibri" w:hAnsi="Calibri"/>
                <w:bCs/>
                <w:szCs w:val="22"/>
              </w:rPr>
            </w:pPr>
            <w:r>
              <w:rPr>
                <w:rFonts w:ascii="Calibri" w:hAnsi="Calibri"/>
                <w:bCs/>
                <w:szCs w:val="22"/>
              </w:rPr>
              <w:t>In this sense, the changes proposed in relation to the alteration of the orientation of some of the lodges, as well as the siting and orientation of the sewage treatment, are minor enough to be considered non-material insofar as they have effectively no impact on design and visual amenity of the site, nor the significance and character of the AONB</w:t>
            </w:r>
            <w:r w:rsidR="009A41BC">
              <w:rPr>
                <w:rFonts w:ascii="Calibri" w:hAnsi="Calibri"/>
                <w:bCs/>
                <w:szCs w:val="22"/>
              </w:rPr>
              <w:t xml:space="preserve"> nor any other material consideration. </w:t>
            </w:r>
          </w:p>
          <w:p w14:paraId="164200E1" w14:textId="77777777" w:rsidR="006F4FE6" w:rsidRDefault="006F4FE6" w:rsidP="008542DE">
            <w:pPr>
              <w:pStyle w:val="Header"/>
              <w:tabs>
                <w:tab w:val="clear" w:pos="4153"/>
                <w:tab w:val="clear" w:pos="8306"/>
              </w:tabs>
              <w:contextualSpacing/>
              <w:jc w:val="both"/>
              <w:rPr>
                <w:rFonts w:ascii="Calibri" w:hAnsi="Calibri"/>
                <w:bCs/>
                <w:szCs w:val="22"/>
              </w:rPr>
            </w:pPr>
          </w:p>
          <w:p w14:paraId="1477046C" w14:textId="5B307F50" w:rsidR="006F4FE6" w:rsidRPr="006F4FE6" w:rsidRDefault="006F4FE6" w:rsidP="008542DE">
            <w:pPr>
              <w:pStyle w:val="Header"/>
              <w:tabs>
                <w:tab w:val="clear" w:pos="4153"/>
                <w:tab w:val="clear" w:pos="8306"/>
              </w:tabs>
              <w:contextualSpacing/>
              <w:jc w:val="both"/>
              <w:rPr>
                <w:rFonts w:ascii="Calibri" w:hAnsi="Calibri"/>
                <w:bCs/>
                <w:szCs w:val="22"/>
              </w:rPr>
            </w:pPr>
            <w:r>
              <w:rPr>
                <w:rFonts w:ascii="Calibri" w:hAnsi="Calibri"/>
                <w:bCs/>
                <w:szCs w:val="22"/>
              </w:rPr>
              <w:t>However, the provision of additional hard-standing to be used as internal roads – inclusive of the removal of ‘grasscrete’ parking spaces from the original site plan and replacement with 2no. tarmac parking spaces to each lodge, and ‘linking up</w:t>
            </w:r>
            <w:r w:rsidR="00D8376F">
              <w:rPr>
                <w:rFonts w:ascii="Calibri" w:hAnsi="Calibri"/>
                <w:bCs/>
                <w:szCs w:val="22"/>
              </w:rPr>
              <w:t>’</w:t>
            </w:r>
            <w:r w:rsidR="009A41BC">
              <w:rPr>
                <w:rFonts w:ascii="Calibri" w:hAnsi="Calibri"/>
                <w:bCs/>
                <w:szCs w:val="22"/>
              </w:rPr>
              <w:t xml:space="preserve"> of the path around the south of the site</w:t>
            </w:r>
            <w:r w:rsidR="00D8376F">
              <w:rPr>
                <w:rFonts w:ascii="Calibri" w:hAnsi="Calibri"/>
                <w:bCs/>
                <w:szCs w:val="22"/>
              </w:rPr>
              <w:t xml:space="preserve"> –</w:t>
            </w:r>
            <w:r>
              <w:rPr>
                <w:rFonts w:ascii="Calibri" w:hAnsi="Calibri"/>
                <w:bCs/>
                <w:szCs w:val="22"/>
              </w:rPr>
              <w:t xml:space="preserve"> cannot be considered non-material. This is because the level of change, by introduction of additional hardstanding and removal of grasscrete parking spaces, is sufficient enough so that it may have an impact on the significance and character of the AONB as well as the design and visual amenity of the site. As such the Local Authority do not consider that the proposed changes are non-material and for that reason the application is recommended for refusal. </w:t>
            </w:r>
          </w:p>
          <w:p w14:paraId="07A958AF" w14:textId="2F6670FE" w:rsidR="0046548C" w:rsidRDefault="0046548C" w:rsidP="008542DE">
            <w:pPr>
              <w:pStyle w:val="Header"/>
              <w:tabs>
                <w:tab w:val="clear" w:pos="4153"/>
                <w:tab w:val="clear" w:pos="8306"/>
              </w:tabs>
              <w:contextualSpacing/>
              <w:jc w:val="both"/>
              <w:rPr>
                <w:rFonts w:ascii="Calibri" w:hAnsi="Calibri"/>
                <w:b/>
                <w:szCs w:val="22"/>
              </w:rPr>
            </w:pPr>
          </w:p>
        </w:tc>
      </w:tr>
      <w:tr w:rsidR="00C0704D" w:rsidRPr="00D2449B" w14:paraId="0A9D02B4"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77777777"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 that the application is recommended for refusal.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372680">
        <w:trPr>
          <w:jc w:val="center"/>
        </w:trPr>
        <w:tc>
          <w:tcPr>
            <w:tcW w:w="219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72680">
        <w:trPr>
          <w:jc w:val="center"/>
        </w:trPr>
        <w:tc>
          <w:tcPr>
            <w:tcW w:w="9564"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AF31E0C" w:rsidR="00773A66" w:rsidRPr="00D2449B" w:rsidRDefault="00773A66" w:rsidP="00CD2CEF">
            <w:pPr>
              <w:rPr>
                <w:rFonts w:ascii="Calibri" w:hAnsi="Calibri"/>
                <w:bCs/>
                <w:szCs w:val="22"/>
              </w:rPr>
            </w:pPr>
            <w:r w:rsidRPr="009F4443">
              <w:rPr>
                <w:rFonts w:asciiTheme="minorHAnsi" w:hAnsiTheme="minorHAnsi"/>
                <w:bCs/>
                <w:szCs w:val="22"/>
              </w:rPr>
              <w:t>That planning consent be refused for the following reason(s)</w:t>
            </w:r>
            <w:r>
              <w:rPr>
                <w:rFonts w:asciiTheme="minorHAnsi" w:hAnsiTheme="minorHAnsi"/>
                <w:bCs/>
                <w:szCs w:val="22"/>
              </w:rPr>
              <w:t>.</w:t>
            </w:r>
          </w:p>
        </w:tc>
      </w:tr>
      <w:tr w:rsidR="009F4443" w:rsidRPr="00D2449B" w14:paraId="0E2CEC22" w14:textId="77777777" w:rsidTr="00372680">
        <w:trPr>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9E810A" w14:textId="3BE546E0" w:rsidR="009F4443" w:rsidRPr="009F4443" w:rsidRDefault="009F4443" w:rsidP="009F4443">
            <w:pPr>
              <w:jc w:val="center"/>
              <w:rPr>
                <w:rFonts w:asciiTheme="minorHAnsi" w:hAnsiTheme="minorHAnsi"/>
                <w:b/>
                <w:szCs w:val="22"/>
              </w:rPr>
            </w:pPr>
            <w:r w:rsidRPr="009F4443">
              <w:rPr>
                <w:rFonts w:asciiTheme="minorHAnsi" w:hAnsiTheme="minorHAnsi"/>
                <w:b/>
                <w:szCs w:val="22"/>
              </w:rPr>
              <w:t>01:</w:t>
            </w:r>
          </w:p>
        </w:tc>
        <w:tc>
          <w:tcPr>
            <w:tcW w:w="871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E4514" w14:textId="0F2C964D" w:rsidR="009F4443" w:rsidRPr="009F4443" w:rsidRDefault="00D8376F" w:rsidP="00CD2CEF">
            <w:pPr>
              <w:rPr>
                <w:rFonts w:asciiTheme="minorHAnsi" w:hAnsiTheme="minorHAnsi"/>
                <w:bCs/>
                <w:szCs w:val="22"/>
              </w:rPr>
            </w:pPr>
            <w:r w:rsidRPr="00D8376F">
              <w:rPr>
                <w:rFonts w:asciiTheme="minorHAnsi" w:hAnsiTheme="minorHAnsi"/>
                <w:bCs/>
                <w:szCs w:val="22"/>
              </w:rPr>
              <w:t xml:space="preserve">The proposed amendments go beyond that which could be considered as a non-material amendment under section 96A of the Town and Country Planning Act insofar </w:t>
            </w:r>
            <w:r w:rsidR="002C51F3">
              <w:rPr>
                <w:rFonts w:asciiTheme="minorHAnsi" w:hAnsiTheme="minorHAnsi"/>
                <w:bCs/>
                <w:szCs w:val="22"/>
              </w:rPr>
              <w:t xml:space="preserve">as </w:t>
            </w:r>
            <w:r w:rsidRPr="00D8376F">
              <w:rPr>
                <w:rFonts w:asciiTheme="minorHAnsi" w:hAnsiTheme="minorHAnsi"/>
                <w:bCs/>
                <w:szCs w:val="22"/>
              </w:rPr>
              <w:t xml:space="preserve">that the </w:t>
            </w:r>
            <w:r>
              <w:rPr>
                <w:rFonts w:asciiTheme="minorHAnsi" w:hAnsiTheme="minorHAnsi"/>
                <w:bCs/>
                <w:szCs w:val="22"/>
              </w:rPr>
              <w:t>level of additional hardstanding and removal of ‘grasscrete’ parking spaces are</w:t>
            </w:r>
            <w:r w:rsidRPr="00D8376F">
              <w:rPr>
                <w:rFonts w:asciiTheme="minorHAnsi" w:hAnsiTheme="minorHAnsi"/>
                <w:bCs/>
                <w:szCs w:val="22"/>
              </w:rPr>
              <w:t xml:space="preserve"> considered to be a 'material' amendment.  Particularly insofar that the amendment(s) could give rise to additional impact(s) or material effect(s) upon the </w:t>
            </w:r>
            <w:r>
              <w:rPr>
                <w:rFonts w:asciiTheme="minorHAnsi" w:hAnsiTheme="minorHAnsi"/>
                <w:bCs/>
                <w:szCs w:val="22"/>
              </w:rPr>
              <w:t xml:space="preserve">significance and character of the AONB as well as the design and visual amenity of the site. </w:t>
            </w:r>
          </w:p>
        </w:tc>
      </w:tr>
    </w:tbl>
    <w:p w14:paraId="513FB541" w14:textId="77777777" w:rsidR="0031197A" w:rsidRPr="00D2449B" w:rsidRDefault="006B6C73">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8BB"/>
    <w:multiLevelType w:val="hybridMultilevel"/>
    <w:tmpl w:val="A2868F52"/>
    <w:lvl w:ilvl="0" w:tplc="C5E223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
  </w:num>
  <w:num w:numId="2" w16cid:durableId="195737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4F7A"/>
    <w:rsid w:val="00250879"/>
    <w:rsid w:val="0029334A"/>
    <w:rsid w:val="002A01CF"/>
    <w:rsid w:val="002C51F3"/>
    <w:rsid w:val="002C6277"/>
    <w:rsid w:val="002F2580"/>
    <w:rsid w:val="00321B6E"/>
    <w:rsid w:val="00372680"/>
    <w:rsid w:val="00440CB6"/>
    <w:rsid w:val="0046548C"/>
    <w:rsid w:val="004947BB"/>
    <w:rsid w:val="004A5EA9"/>
    <w:rsid w:val="004C2434"/>
    <w:rsid w:val="004F0649"/>
    <w:rsid w:val="00510FA2"/>
    <w:rsid w:val="00556ECD"/>
    <w:rsid w:val="005E1C6C"/>
    <w:rsid w:val="005E65DF"/>
    <w:rsid w:val="00692B60"/>
    <w:rsid w:val="006A71AD"/>
    <w:rsid w:val="006B6C73"/>
    <w:rsid w:val="006C2BFA"/>
    <w:rsid w:val="006F4FE6"/>
    <w:rsid w:val="006F6849"/>
    <w:rsid w:val="0070054B"/>
    <w:rsid w:val="00773A66"/>
    <w:rsid w:val="00776AE2"/>
    <w:rsid w:val="007C791C"/>
    <w:rsid w:val="007D7DF4"/>
    <w:rsid w:val="007E0D23"/>
    <w:rsid w:val="007F16D6"/>
    <w:rsid w:val="00811771"/>
    <w:rsid w:val="00824DB6"/>
    <w:rsid w:val="00837F4F"/>
    <w:rsid w:val="008542DE"/>
    <w:rsid w:val="008A28C8"/>
    <w:rsid w:val="009A41BC"/>
    <w:rsid w:val="009F4443"/>
    <w:rsid w:val="00A42E82"/>
    <w:rsid w:val="00A579BB"/>
    <w:rsid w:val="00A63D55"/>
    <w:rsid w:val="00A73470"/>
    <w:rsid w:val="00A95D89"/>
    <w:rsid w:val="00B93EB5"/>
    <w:rsid w:val="00BD3F03"/>
    <w:rsid w:val="00C0704D"/>
    <w:rsid w:val="00C25722"/>
    <w:rsid w:val="00C618DB"/>
    <w:rsid w:val="00D11007"/>
    <w:rsid w:val="00D17EB1"/>
    <w:rsid w:val="00D2449B"/>
    <w:rsid w:val="00D54E67"/>
    <w:rsid w:val="00D8376F"/>
    <w:rsid w:val="00DC76EE"/>
    <w:rsid w:val="00DD62F6"/>
    <w:rsid w:val="00E46243"/>
    <w:rsid w:val="00E66534"/>
    <w:rsid w:val="00E72F6C"/>
    <w:rsid w:val="00EA09F9"/>
    <w:rsid w:val="00EC23C7"/>
    <w:rsid w:val="00ED00B7"/>
    <w:rsid w:val="00EF44E6"/>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2023-05-15T13:20:00Z</cp:lastPrinted>
  <dcterms:created xsi:type="dcterms:W3CDTF">2023-05-15T13:21:00Z</dcterms:created>
  <dcterms:modified xsi:type="dcterms:W3CDTF">2023-05-15T13:21:00Z</dcterms:modified>
</cp:coreProperties>
</file>