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1271"/>
        <w:gridCol w:w="992"/>
        <w:gridCol w:w="142"/>
        <w:gridCol w:w="709"/>
        <w:gridCol w:w="142"/>
        <w:gridCol w:w="850"/>
        <w:gridCol w:w="284"/>
        <w:gridCol w:w="1134"/>
        <w:gridCol w:w="425"/>
        <w:gridCol w:w="709"/>
        <w:gridCol w:w="850"/>
        <w:gridCol w:w="851"/>
        <w:gridCol w:w="1609"/>
      </w:tblGrid>
      <w:tr w:rsidR="004A5EA9" w:rsidRPr="00D2449B" w14:paraId="230E00AF" w14:textId="77777777" w:rsidTr="003E7445">
        <w:trPr>
          <w:jc w:val="center"/>
        </w:trPr>
        <w:tc>
          <w:tcPr>
            <w:tcW w:w="9968"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3E7445" w:rsidRPr="00D2449B" w14:paraId="10F7DD32" w14:textId="77777777" w:rsidTr="005816F8">
        <w:trPr>
          <w:jc w:val="center"/>
        </w:trPr>
        <w:tc>
          <w:tcPr>
            <w:tcW w:w="12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13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751894FD" w:rsidR="00837F4F" w:rsidRPr="00D2449B" w:rsidRDefault="00D13EC4" w:rsidP="00D2449B">
            <w:pPr>
              <w:jc w:val="center"/>
              <w:rPr>
                <w:rFonts w:ascii="Calibri" w:hAnsi="Calibri"/>
                <w:b/>
                <w:szCs w:val="22"/>
              </w:rPr>
            </w:pPr>
            <w:r>
              <w:rPr>
                <w:rFonts w:ascii="Calibri" w:hAnsi="Calibri"/>
                <w:b/>
                <w:szCs w:val="22"/>
              </w:rPr>
              <w:t>EP</w:t>
            </w:r>
          </w:p>
        </w:tc>
        <w:tc>
          <w:tcPr>
            <w:tcW w:w="99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4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798D9918" w:rsidR="00837F4F" w:rsidRPr="00D2449B" w:rsidRDefault="00FA428D" w:rsidP="00D2449B">
            <w:pPr>
              <w:jc w:val="center"/>
              <w:rPr>
                <w:rFonts w:ascii="Calibri" w:hAnsi="Calibri"/>
                <w:b/>
                <w:szCs w:val="22"/>
              </w:rPr>
            </w:pPr>
            <w:r>
              <w:rPr>
                <w:rFonts w:ascii="Calibri" w:hAnsi="Calibri"/>
                <w:b/>
                <w:szCs w:val="22"/>
              </w:rPr>
              <w:t>11/08/2023</w:t>
            </w:r>
          </w:p>
        </w:tc>
        <w:tc>
          <w:tcPr>
            <w:tcW w:w="113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5BB74AC4" w:rsidR="00837F4F" w:rsidRPr="00D2449B" w:rsidRDefault="005816F8" w:rsidP="00D2449B">
            <w:pPr>
              <w:jc w:val="center"/>
              <w:rPr>
                <w:rFonts w:ascii="Calibri" w:hAnsi="Calibri"/>
                <w:b/>
                <w:szCs w:val="22"/>
              </w:rPr>
            </w:pPr>
            <w:r>
              <w:rPr>
                <w:rFonts w:ascii="Calibri" w:hAnsi="Calibri"/>
                <w:b/>
                <w:szCs w:val="22"/>
              </w:rPr>
              <w:t>KH</w:t>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6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7CBE17F5" w:rsidR="00837F4F" w:rsidRPr="00D2449B" w:rsidRDefault="005816F8" w:rsidP="00D2449B">
            <w:pPr>
              <w:jc w:val="center"/>
              <w:rPr>
                <w:rFonts w:ascii="Calibri" w:hAnsi="Calibri"/>
                <w:b/>
                <w:szCs w:val="22"/>
              </w:rPr>
            </w:pPr>
            <w:r>
              <w:rPr>
                <w:rFonts w:ascii="Calibri" w:hAnsi="Calibri"/>
                <w:b/>
                <w:szCs w:val="22"/>
              </w:rPr>
              <w:t>14/08/23</w:t>
            </w:r>
          </w:p>
        </w:tc>
      </w:tr>
      <w:tr w:rsidR="004A5EA9" w:rsidRPr="00D2449B" w14:paraId="2094A164" w14:textId="77777777" w:rsidTr="003E7445">
        <w:trPr>
          <w:jc w:val="center"/>
        </w:trPr>
        <w:tc>
          <w:tcPr>
            <w:tcW w:w="9968"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FA428D">
        <w:trPr>
          <w:jc w:val="center"/>
        </w:trPr>
        <w:tc>
          <w:tcPr>
            <w:tcW w:w="226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4395"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627C2852"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D13EC4">
              <w:rPr>
                <w:rFonts w:ascii="Calibri" w:hAnsi="Calibri"/>
                <w:szCs w:val="22"/>
              </w:rPr>
              <w:t>23</w:t>
            </w:r>
            <w:r w:rsidR="00C0704D">
              <w:rPr>
                <w:rFonts w:ascii="Calibri" w:hAnsi="Calibri"/>
                <w:szCs w:val="22"/>
              </w:rPr>
              <w:t>/</w:t>
            </w:r>
            <w:r w:rsidR="00D13EC4">
              <w:rPr>
                <w:rFonts w:ascii="Calibri" w:hAnsi="Calibri"/>
                <w:szCs w:val="22"/>
              </w:rPr>
              <w:t>0340</w:t>
            </w:r>
          </w:p>
        </w:tc>
        <w:tc>
          <w:tcPr>
            <w:tcW w:w="3310" w:type="dxa"/>
            <w:gridSpan w:val="3"/>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FA428D">
        <w:trPr>
          <w:jc w:val="center"/>
        </w:trPr>
        <w:tc>
          <w:tcPr>
            <w:tcW w:w="226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212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1C769912" w:rsidR="00824DB6" w:rsidRPr="00C0704D" w:rsidRDefault="00D13EC4" w:rsidP="002C6277">
            <w:pPr>
              <w:rPr>
                <w:rFonts w:ascii="Calibri" w:hAnsi="Calibri"/>
                <w:szCs w:val="22"/>
              </w:rPr>
            </w:pPr>
            <w:r>
              <w:rPr>
                <w:rFonts w:ascii="Calibri" w:hAnsi="Calibri"/>
                <w:szCs w:val="22"/>
              </w:rPr>
              <w:t>11/07/2023</w:t>
            </w:r>
          </w:p>
        </w:tc>
        <w:tc>
          <w:tcPr>
            <w:tcW w:w="155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3BAF2AF8" w:rsidR="00824DB6" w:rsidRPr="00C0704D" w:rsidRDefault="00D13EC4" w:rsidP="002C6277">
            <w:pPr>
              <w:rPr>
                <w:rFonts w:ascii="Calibri" w:hAnsi="Calibri"/>
                <w:szCs w:val="22"/>
              </w:rPr>
            </w:pPr>
            <w:r>
              <w:rPr>
                <w:rFonts w:ascii="Calibri" w:hAnsi="Calibri"/>
                <w:szCs w:val="22"/>
              </w:rPr>
              <w:t>N/A</w:t>
            </w:r>
          </w:p>
        </w:tc>
        <w:tc>
          <w:tcPr>
            <w:tcW w:w="3310" w:type="dxa"/>
            <w:gridSpan w:val="3"/>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FA428D">
        <w:trPr>
          <w:jc w:val="center"/>
        </w:trPr>
        <w:tc>
          <w:tcPr>
            <w:tcW w:w="226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4395"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11104C84" w:rsidR="004A5EA9" w:rsidRPr="00250879" w:rsidRDefault="00D13EC4" w:rsidP="00811771">
            <w:pPr>
              <w:rPr>
                <w:rFonts w:ascii="Calibri" w:hAnsi="Calibri"/>
                <w:color w:val="548DD4" w:themeColor="text2" w:themeTint="99"/>
                <w:szCs w:val="22"/>
              </w:rPr>
            </w:pPr>
            <w:r>
              <w:rPr>
                <w:rFonts w:ascii="Calibri" w:hAnsi="Calibri"/>
                <w:color w:val="548DD4" w:themeColor="text2" w:themeTint="99"/>
                <w:szCs w:val="22"/>
              </w:rPr>
              <w:t>EP</w:t>
            </w:r>
          </w:p>
        </w:tc>
        <w:tc>
          <w:tcPr>
            <w:tcW w:w="3310" w:type="dxa"/>
            <w:gridSpan w:val="3"/>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FA428D">
        <w:trPr>
          <w:jc w:val="center"/>
        </w:trPr>
        <w:tc>
          <w:tcPr>
            <w:tcW w:w="665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31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3E7445">
        <w:trPr>
          <w:trHeight w:hRule="exact" w:val="170"/>
          <w:jc w:val="center"/>
        </w:trPr>
        <w:tc>
          <w:tcPr>
            <w:tcW w:w="9968"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3E7445">
        <w:trPr>
          <w:jc w:val="center"/>
        </w:trPr>
        <w:tc>
          <w:tcPr>
            <w:tcW w:w="3256"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12"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0D0E1C9E" w:rsidR="004A5EA9" w:rsidRPr="002C6277" w:rsidRDefault="00D13EC4">
            <w:pPr>
              <w:rPr>
                <w:rFonts w:ascii="Calibri" w:hAnsi="Calibri"/>
                <w:szCs w:val="22"/>
              </w:rPr>
            </w:pPr>
            <w:r>
              <w:rPr>
                <w:rFonts w:ascii="Calibri" w:hAnsi="Calibri"/>
                <w:szCs w:val="22"/>
              </w:rPr>
              <w:t xml:space="preserve">Proposed two-storey rear extension. </w:t>
            </w:r>
          </w:p>
        </w:tc>
      </w:tr>
      <w:tr w:rsidR="002A01CF" w:rsidRPr="00D2449B" w14:paraId="52988241" w14:textId="77777777" w:rsidTr="003E7445">
        <w:trPr>
          <w:jc w:val="center"/>
        </w:trPr>
        <w:tc>
          <w:tcPr>
            <w:tcW w:w="3256"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12"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72CCDDAE" w:rsidR="002A01CF" w:rsidRPr="002C6277" w:rsidRDefault="00D13EC4" w:rsidP="00A42E82">
            <w:pPr>
              <w:rPr>
                <w:rFonts w:ascii="Calibri" w:hAnsi="Calibri"/>
                <w:szCs w:val="22"/>
              </w:rPr>
            </w:pPr>
            <w:r>
              <w:rPr>
                <w:rFonts w:ascii="Calibri" w:hAnsi="Calibri"/>
                <w:szCs w:val="22"/>
              </w:rPr>
              <w:t xml:space="preserve">20 Roman Way Clitheroe BB7 1JF. </w:t>
            </w:r>
          </w:p>
        </w:tc>
      </w:tr>
      <w:tr w:rsidR="00A95D89" w:rsidRPr="00D2449B" w14:paraId="3FB99B2E" w14:textId="77777777" w:rsidTr="003E7445">
        <w:trPr>
          <w:trHeight w:hRule="exact" w:val="170"/>
          <w:jc w:val="center"/>
        </w:trPr>
        <w:tc>
          <w:tcPr>
            <w:tcW w:w="9968"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3E7445">
        <w:trPr>
          <w:jc w:val="center"/>
        </w:trPr>
        <w:tc>
          <w:tcPr>
            <w:tcW w:w="3256"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12"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3E7445">
        <w:trPr>
          <w:jc w:val="center"/>
        </w:trPr>
        <w:tc>
          <w:tcPr>
            <w:tcW w:w="9968"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40D2F4CA" w:rsidR="002A01CF" w:rsidRPr="00FA428D" w:rsidRDefault="00FA428D">
            <w:pPr>
              <w:rPr>
                <w:rFonts w:ascii="Calibri" w:hAnsi="Calibri"/>
                <w:bCs/>
                <w:szCs w:val="22"/>
              </w:rPr>
            </w:pPr>
            <w:r w:rsidRPr="00FA428D">
              <w:rPr>
                <w:rFonts w:ascii="Calibri" w:hAnsi="Calibri"/>
                <w:bCs/>
                <w:szCs w:val="22"/>
              </w:rPr>
              <w:t xml:space="preserve">No comments received. </w:t>
            </w:r>
          </w:p>
        </w:tc>
      </w:tr>
      <w:tr w:rsidR="00C618DB" w:rsidRPr="00D2449B" w14:paraId="639E958B" w14:textId="77777777" w:rsidTr="003E7445">
        <w:trPr>
          <w:trHeight w:hRule="exact" w:val="170"/>
          <w:jc w:val="center"/>
        </w:trPr>
        <w:tc>
          <w:tcPr>
            <w:tcW w:w="9968"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3E7445">
        <w:trPr>
          <w:jc w:val="center"/>
        </w:trPr>
        <w:tc>
          <w:tcPr>
            <w:tcW w:w="3256"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12"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3E7445">
        <w:trPr>
          <w:jc w:val="center"/>
        </w:trPr>
        <w:tc>
          <w:tcPr>
            <w:tcW w:w="3256"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712"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013E38AF" w:rsidR="002A01CF" w:rsidRPr="00D2449B" w:rsidRDefault="00494E4C">
            <w:pPr>
              <w:rPr>
                <w:rFonts w:ascii="Calibri" w:hAnsi="Calibri"/>
                <w:b/>
                <w:szCs w:val="22"/>
              </w:rPr>
            </w:pPr>
            <w:r>
              <w:rPr>
                <w:rFonts w:ascii="Calibri" w:hAnsi="Calibri"/>
                <w:b/>
                <w:szCs w:val="22"/>
              </w:rPr>
              <w:t>N/A</w:t>
            </w:r>
          </w:p>
        </w:tc>
      </w:tr>
      <w:tr w:rsidR="00C0704D" w:rsidRPr="00D2449B" w14:paraId="62663AAF" w14:textId="77777777" w:rsidTr="003E7445">
        <w:trPr>
          <w:jc w:val="center"/>
        </w:trPr>
        <w:tc>
          <w:tcPr>
            <w:tcW w:w="9968"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3E7445">
        <w:trPr>
          <w:jc w:val="center"/>
        </w:trPr>
        <w:tc>
          <w:tcPr>
            <w:tcW w:w="3256"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12"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3E7445">
        <w:trPr>
          <w:jc w:val="center"/>
        </w:trPr>
        <w:tc>
          <w:tcPr>
            <w:tcW w:w="9968"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5E605ED2" w:rsidR="00C0704D" w:rsidRPr="00C0704D" w:rsidRDefault="00FA428D" w:rsidP="00692B60">
            <w:pPr>
              <w:rPr>
                <w:rFonts w:ascii="Calibri" w:hAnsi="Calibri"/>
                <w:szCs w:val="22"/>
              </w:rPr>
            </w:pPr>
            <w:r>
              <w:rPr>
                <w:rFonts w:ascii="Calibri" w:hAnsi="Calibri"/>
                <w:szCs w:val="22"/>
              </w:rPr>
              <w:t xml:space="preserve">One letter of representation has been received raising concerns of loss of light to private amenity space as well as loss of privacy. </w:t>
            </w:r>
          </w:p>
        </w:tc>
      </w:tr>
      <w:tr w:rsidR="00C0704D" w:rsidRPr="00D2449B" w14:paraId="1CDFA4C3" w14:textId="77777777" w:rsidTr="003E7445">
        <w:trPr>
          <w:trHeight w:hRule="exact" w:val="170"/>
          <w:jc w:val="center"/>
        </w:trPr>
        <w:tc>
          <w:tcPr>
            <w:tcW w:w="9968"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3E7445">
        <w:trPr>
          <w:jc w:val="center"/>
        </w:trPr>
        <w:tc>
          <w:tcPr>
            <w:tcW w:w="9968"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3E7445">
        <w:trPr>
          <w:jc w:val="center"/>
        </w:trPr>
        <w:tc>
          <w:tcPr>
            <w:tcW w:w="9968"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4ECF738" w:rsidR="008542DE" w:rsidRPr="00C618DB" w:rsidRDefault="008542DE" w:rsidP="008542DE">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260558F3" w14:textId="5B0815BD" w:rsidR="00F056A7" w:rsidRDefault="008542DE" w:rsidP="008542DE">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w:t>
            </w:r>
            <w:r w:rsidR="00D13EC4">
              <w:rPr>
                <w:rFonts w:ascii="Calibri" w:hAnsi="Calibri"/>
                <w:szCs w:val="22"/>
              </w:rPr>
              <w:t>t</w:t>
            </w:r>
          </w:p>
          <w:p w14:paraId="4CF76C47" w14:textId="77777777" w:rsidR="0046548C" w:rsidRPr="00C618DB" w:rsidRDefault="0046548C" w:rsidP="008542DE">
            <w:pPr>
              <w:pStyle w:val="PLANNING"/>
              <w:rPr>
                <w:rFonts w:ascii="Calibri" w:hAnsi="Calibri"/>
                <w:szCs w:val="22"/>
              </w:rPr>
            </w:pPr>
          </w:p>
          <w:p w14:paraId="1636F1D2" w14:textId="7E41133F" w:rsidR="008542DE" w:rsidRPr="00C618DB"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54E7D563" w14:textId="33429D12" w:rsidR="008542DE" w:rsidRPr="00C618DB" w:rsidRDefault="008542DE" w:rsidP="008542DE">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60A75D09" w14:textId="73A869D4" w:rsidR="00F056A7" w:rsidRPr="00C618DB" w:rsidRDefault="00F056A7" w:rsidP="00F056A7">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1360EE56" w14:textId="77777777" w:rsidR="008542DE" w:rsidRDefault="008542DE" w:rsidP="008542DE">
            <w:pPr>
              <w:pStyle w:val="PLANNING"/>
              <w:rPr>
                <w:rFonts w:ascii="Calibri" w:hAnsi="Calibri"/>
                <w:szCs w:val="22"/>
              </w:rPr>
            </w:pP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3E7445">
        <w:trPr>
          <w:jc w:val="center"/>
        </w:trPr>
        <w:tc>
          <w:tcPr>
            <w:tcW w:w="9968"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0E12E4A3" w14:textId="13F81691" w:rsidR="0046548C" w:rsidRPr="00494E4C" w:rsidRDefault="00494E4C" w:rsidP="00C0704D">
            <w:pPr>
              <w:pStyle w:val="PLANNING"/>
              <w:rPr>
                <w:rFonts w:ascii="Calibri" w:hAnsi="Calibri"/>
                <w:szCs w:val="22"/>
              </w:rPr>
            </w:pPr>
            <w:r w:rsidRPr="00494E4C">
              <w:rPr>
                <w:rFonts w:ascii="Calibri" w:hAnsi="Calibri"/>
                <w:szCs w:val="22"/>
              </w:rPr>
              <w:t xml:space="preserve">No relevant planning history.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3E7445">
        <w:trPr>
          <w:trHeight w:hRule="exact" w:val="170"/>
          <w:jc w:val="center"/>
        </w:trPr>
        <w:tc>
          <w:tcPr>
            <w:tcW w:w="9968"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3E7445">
        <w:trPr>
          <w:jc w:val="center"/>
        </w:trPr>
        <w:tc>
          <w:tcPr>
            <w:tcW w:w="9968"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3E7445">
        <w:trPr>
          <w:jc w:val="center"/>
        </w:trPr>
        <w:tc>
          <w:tcPr>
            <w:tcW w:w="9968"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74E803C1" w14:textId="77777777" w:rsidR="00C0704D" w:rsidRPr="003E7445" w:rsidRDefault="003E7445" w:rsidP="00B93EB5">
            <w:pPr>
              <w:pStyle w:val="Header"/>
              <w:tabs>
                <w:tab w:val="clear" w:pos="4153"/>
                <w:tab w:val="clear" w:pos="8306"/>
              </w:tabs>
              <w:contextualSpacing/>
              <w:jc w:val="both"/>
              <w:rPr>
                <w:rFonts w:asciiTheme="minorHAnsi" w:hAnsiTheme="minorHAnsi" w:cstheme="minorHAnsi"/>
              </w:rPr>
            </w:pPr>
            <w:r w:rsidRPr="003E7445">
              <w:rPr>
                <w:rFonts w:asciiTheme="minorHAnsi" w:hAnsiTheme="minorHAnsi" w:cstheme="minorHAnsi"/>
              </w:rPr>
              <w:t>The application relates to an existing two-storey detached dwelling and garage located to the eastern extents Roman Way, Clitheroe. The application dwelling is located within a small cul-de-sac in a predominantly residential area within the Highmore Park Estate of Clitheroe.</w:t>
            </w:r>
          </w:p>
          <w:p w14:paraId="62370E9F" w14:textId="7507BC61" w:rsidR="003E7445" w:rsidRPr="006C2BFA" w:rsidRDefault="003E7445"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3E7445">
        <w:trPr>
          <w:jc w:val="center"/>
        </w:trPr>
        <w:tc>
          <w:tcPr>
            <w:tcW w:w="9968"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170D8DCF" w14:textId="30912A11" w:rsidR="003E7445" w:rsidRPr="003E7445" w:rsidRDefault="003E7445" w:rsidP="00440CB6">
            <w:pPr>
              <w:pStyle w:val="Header"/>
              <w:tabs>
                <w:tab w:val="clear" w:pos="4153"/>
                <w:tab w:val="clear" w:pos="8306"/>
              </w:tabs>
              <w:jc w:val="both"/>
              <w:rPr>
                <w:rFonts w:ascii="Calibri" w:hAnsi="Calibri"/>
                <w:bCs/>
                <w:szCs w:val="22"/>
              </w:rPr>
            </w:pPr>
            <w:r w:rsidRPr="003E7445">
              <w:rPr>
                <w:rFonts w:ascii="Calibri" w:hAnsi="Calibri"/>
                <w:bCs/>
                <w:szCs w:val="22"/>
              </w:rPr>
              <w:t xml:space="preserve">Consent is sought of the rection of a two-storey extension at the rear elevation of the application property. The extension will accommodate extended living space and larger bedrooms. </w:t>
            </w:r>
          </w:p>
          <w:p w14:paraId="1B20488F" w14:textId="77777777" w:rsidR="00C0704D" w:rsidRPr="00D54E67" w:rsidRDefault="00C0704D" w:rsidP="002F2580">
            <w:pPr>
              <w:rPr>
                <w:rFonts w:ascii="Calibri" w:hAnsi="Calibri"/>
                <w:szCs w:val="22"/>
              </w:rPr>
            </w:pPr>
          </w:p>
        </w:tc>
      </w:tr>
      <w:tr w:rsidR="00C0704D" w:rsidRPr="00D2449B" w14:paraId="617768FF" w14:textId="77777777" w:rsidTr="003E7445">
        <w:trPr>
          <w:jc w:val="center"/>
        </w:trPr>
        <w:tc>
          <w:tcPr>
            <w:tcW w:w="9968"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22E16330" w14:textId="77777777" w:rsidR="00460117" w:rsidRDefault="00460117" w:rsidP="00460117">
            <w:pPr>
              <w:contextualSpacing/>
              <w:rPr>
                <w:rFonts w:ascii="Calibri" w:hAnsi="Calibri"/>
                <w:szCs w:val="22"/>
              </w:rPr>
            </w:pPr>
            <w:r>
              <w:rPr>
                <w:rFonts w:ascii="Calibri" w:hAnsi="Calibri"/>
                <w:szCs w:val="22"/>
              </w:rPr>
              <w:t>Policy DMG1 of the Ribble Valley Core Strategy states that all development must</w:t>
            </w:r>
          </w:p>
          <w:p w14:paraId="3BA6F83D" w14:textId="77777777" w:rsidR="00460117" w:rsidRPr="008F210D" w:rsidRDefault="00460117" w:rsidP="00460117">
            <w:pPr>
              <w:pStyle w:val="ListParagraph"/>
              <w:numPr>
                <w:ilvl w:val="0"/>
                <w:numId w:val="2"/>
              </w:numPr>
              <w:rPr>
                <w:rFonts w:asciiTheme="minorHAnsi" w:hAnsiTheme="minorHAnsi" w:cstheme="minorHAnsi"/>
                <w:i/>
                <w:iCs/>
              </w:rPr>
            </w:pPr>
            <w:r w:rsidRPr="008F210D">
              <w:rPr>
                <w:rFonts w:asciiTheme="minorHAnsi" w:hAnsiTheme="minorHAnsi" w:cstheme="minorHAnsi"/>
                <w:i/>
                <w:iCs/>
              </w:rPr>
              <w:t xml:space="preserve">Be sympathetic to existing and proposed land uses in terms of its size, intensity and nature as well as scale, massing, style, features and building materials. </w:t>
            </w:r>
          </w:p>
          <w:p w14:paraId="0F8E00CC" w14:textId="77777777" w:rsidR="00460117" w:rsidRPr="008F210D" w:rsidRDefault="00460117" w:rsidP="00460117">
            <w:pPr>
              <w:pStyle w:val="ListParagraph"/>
              <w:numPr>
                <w:ilvl w:val="0"/>
                <w:numId w:val="2"/>
              </w:numPr>
              <w:rPr>
                <w:rFonts w:asciiTheme="minorHAnsi" w:hAnsiTheme="minorHAnsi" w:cstheme="minorHAnsi"/>
                <w:i/>
                <w:iCs/>
                <w:szCs w:val="22"/>
              </w:rPr>
            </w:pPr>
            <w:r w:rsidRPr="008F210D">
              <w:rPr>
                <w:rFonts w:asciiTheme="minorHAnsi" w:hAnsiTheme="minorHAnsi" w:cstheme="minorHAnsi"/>
                <w:i/>
                <w:iCs/>
              </w:rPr>
              <w:t xml:space="preserve">Consider the density, layout and relationship between buildings, which is of major importance. Particular emphasis will be placed on visual appearance and the relationship to </w:t>
            </w:r>
            <w:proofErr w:type="gramStart"/>
            <w:r w:rsidRPr="008F210D">
              <w:rPr>
                <w:rFonts w:asciiTheme="minorHAnsi" w:hAnsiTheme="minorHAnsi" w:cstheme="minorHAnsi"/>
                <w:i/>
                <w:iCs/>
              </w:rPr>
              <w:t>surroundings</w:t>
            </w:r>
            <w:proofErr w:type="gramEnd"/>
          </w:p>
          <w:p w14:paraId="55C15445" w14:textId="77777777" w:rsidR="00460117" w:rsidRPr="008F210D" w:rsidRDefault="00460117" w:rsidP="00460117">
            <w:pPr>
              <w:pStyle w:val="ListParagraph"/>
              <w:numPr>
                <w:ilvl w:val="0"/>
                <w:numId w:val="2"/>
              </w:numPr>
              <w:rPr>
                <w:rFonts w:asciiTheme="minorHAnsi" w:hAnsiTheme="minorHAnsi" w:cstheme="minorHAnsi"/>
                <w:i/>
                <w:iCs/>
              </w:rPr>
            </w:pPr>
            <w:r w:rsidRPr="008F210D">
              <w:rPr>
                <w:rFonts w:asciiTheme="minorHAnsi" w:hAnsiTheme="minorHAnsi" w:cstheme="minorHAnsi"/>
                <w:i/>
                <w:iCs/>
              </w:rPr>
              <w:t xml:space="preserve">Not adversely affect the amenities of the surrounding area. </w:t>
            </w:r>
          </w:p>
          <w:p w14:paraId="4991CC87" w14:textId="42C7C534" w:rsidR="00460117" w:rsidRPr="00460117" w:rsidRDefault="00460117" w:rsidP="00C0704D">
            <w:pPr>
              <w:pStyle w:val="ListParagraph"/>
              <w:numPr>
                <w:ilvl w:val="0"/>
                <w:numId w:val="2"/>
              </w:numPr>
              <w:rPr>
                <w:rFonts w:asciiTheme="minorHAnsi" w:hAnsiTheme="minorHAnsi" w:cstheme="minorHAnsi"/>
                <w:i/>
                <w:iCs/>
              </w:rPr>
            </w:pPr>
            <w:r w:rsidRPr="008F210D">
              <w:rPr>
                <w:rFonts w:asciiTheme="minorHAnsi" w:hAnsiTheme="minorHAnsi" w:cstheme="minorHAnsi"/>
                <w:i/>
                <w:iCs/>
              </w:rPr>
              <w:t>Provide adequate day lighting and privacy distances.</w:t>
            </w:r>
          </w:p>
          <w:p w14:paraId="78EFCEE7" w14:textId="77777777" w:rsidR="00460117" w:rsidRDefault="00460117" w:rsidP="00C0704D">
            <w:pPr>
              <w:contextualSpacing/>
              <w:rPr>
                <w:rFonts w:ascii="Calibri" w:hAnsi="Calibri"/>
                <w:szCs w:val="22"/>
              </w:rPr>
            </w:pPr>
          </w:p>
          <w:p w14:paraId="5A480991" w14:textId="66906C85" w:rsidR="00ED00B7" w:rsidRDefault="00494E4C" w:rsidP="00C0704D">
            <w:pPr>
              <w:contextualSpacing/>
              <w:rPr>
                <w:rFonts w:ascii="Calibri" w:hAnsi="Calibri"/>
                <w:szCs w:val="22"/>
              </w:rPr>
            </w:pPr>
            <w:r>
              <w:rPr>
                <w:rFonts w:ascii="Calibri" w:hAnsi="Calibri"/>
                <w:szCs w:val="22"/>
              </w:rPr>
              <w:t xml:space="preserve">The properties with the potential to be impacted most by the proposal are the neighbouring No.22 Roman Way and No.2 Bracken Hey. The rear extension is sited </w:t>
            </w:r>
            <w:proofErr w:type="gramStart"/>
            <w:r>
              <w:rPr>
                <w:rFonts w:ascii="Calibri" w:hAnsi="Calibri"/>
                <w:szCs w:val="22"/>
              </w:rPr>
              <w:t xml:space="preserve">in close proximity </w:t>
            </w:r>
            <w:r w:rsidR="00460117">
              <w:rPr>
                <w:rFonts w:ascii="Calibri" w:hAnsi="Calibri"/>
                <w:szCs w:val="22"/>
              </w:rPr>
              <w:t>to</w:t>
            </w:r>
            <w:proofErr w:type="gramEnd"/>
            <w:r>
              <w:rPr>
                <w:rFonts w:ascii="Calibri" w:hAnsi="Calibri"/>
                <w:szCs w:val="22"/>
              </w:rPr>
              <w:t xml:space="preserve"> the adjoining shared boundary with No.22, however given there is an existing single storey outrigger on the neighbouring dwelling, no loss of light or overbearing impact is expected in this respect. The first-floor element of the proposal projects well past the rear first floor building line of the neighbouring dwelling, however the applicant has demonstrated that the 45-degree angle rule is satisfied and that no loss of light to first floor habitable windows will be caused as a result of the two-storey extension. </w:t>
            </w:r>
          </w:p>
          <w:p w14:paraId="62607D2A" w14:textId="77777777" w:rsidR="00494E4C" w:rsidRDefault="00494E4C" w:rsidP="00C0704D">
            <w:pPr>
              <w:contextualSpacing/>
              <w:rPr>
                <w:rFonts w:ascii="Calibri" w:hAnsi="Calibri"/>
                <w:szCs w:val="22"/>
              </w:rPr>
            </w:pPr>
          </w:p>
          <w:p w14:paraId="7C1F4A17" w14:textId="2AB0366A" w:rsidR="00494E4C" w:rsidRDefault="00482FC3" w:rsidP="00C0704D">
            <w:pPr>
              <w:contextualSpacing/>
              <w:rPr>
                <w:rFonts w:ascii="Calibri" w:hAnsi="Calibri"/>
                <w:szCs w:val="22"/>
              </w:rPr>
            </w:pPr>
            <w:r>
              <w:rPr>
                <w:rFonts w:ascii="Calibri" w:hAnsi="Calibri"/>
                <w:szCs w:val="22"/>
              </w:rPr>
              <w:t xml:space="preserve">Desktop analysis shows that the proposed extension is sited in excess of 3 metres from the adjoining boundary with No.2 Bracken Hey. Given a two-storey extension can be erected under permitted development providing it is 2 metres from a shared boundary, it is not considered there would be any significant loss of light that would warrant refusal. </w:t>
            </w:r>
            <w:r w:rsidR="00FA428D">
              <w:rPr>
                <w:rFonts w:ascii="Calibri" w:hAnsi="Calibri"/>
                <w:szCs w:val="22"/>
              </w:rPr>
              <w:t xml:space="preserve">There are sliding doors proposed in </w:t>
            </w:r>
            <w:proofErr w:type="gramStart"/>
            <w:r w:rsidR="00FA428D">
              <w:rPr>
                <w:rFonts w:ascii="Calibri" w:hAnsi="Calibri"/>
                <w:szCs w:val="22"/>
              </w:rPr>
              <w:t>South Eastern</w:t>
            </w:r>
            <w:proofErr w:type="gramEnd"/>
            <w:r w:rsidR="00FA428D">
              <w:rPr>
                <w:rFonts w:ascii="Calibri" w:hAnsi="Calibri"/>
                <w:szCs w:val="22"/>
              </w:rPr>
              <w:t xml:space="preserve"> side elevation of the proposed extension, existing boundary fencing will provide relevant screening to mitigate loss of privacy</w:t>
            </w:r>
            <w:r w:rsidR="008160BF">
              <w:rPr>
                <w:rFonts w:ascii="Calibri" w:hAnsi="Calibri"/>
                <w:szCs w:val="22"/>
              </w:rPr>
              <w:t xml:space="preserve"> into private amenity space</w:t>
            </w:r>
            <w:r w:rsidR="00FA428D">
              <w:rPr>
                <w:rFonts w:ascii="Calibri" w:hAnsi="Calibri"/>
                <w:szCs w:val="22"/>
              </w:rPr>
              <w:t xml:space="preserve">. </w:t>
            </w:r>
            <w:r w:rsidR="00FA428D" w:rsidRPr="005A6406">
              <w:rPr>
                <w:rFonts w:ascii="Calibri" w:hAnsi="Calibri"/>
                <w:szCs w:val="22"/>
              </w:rPr>
              <w:t xml:space="preserve">There </w:t>
            </w:r>
            <w:r w:rsidR="00C04F23" w:rsidRPr="005A6406">
              <w:rPr>
                <w:rFonts w:ascii="Calibri" w:hAnsi="Calibri"/>
                <w:szCs w:val="22"/>
              </w:rPr>
              <w:t xml:space="preserve">is </w:t>
            </w:r>
            <w:proofErr w:type="spellStart"/>
            <w:proofErr w:type="gramStart"/>
            <w:r w:rsidR="00C04F23" w:rsidRPr="005A6406">
              <w:rPr>
                <w:rFonts w:ascii="Calibri" w:hAnsi="Calibri"/>
                <w:szCs w:val="22"/>
              </w:rPr>
              <w:t>a</w:t>
            </w:r>
            <w:proofErr w:type="spellEnd"/>
            <w:proofErr w:type="gramEnd"/>
            <w:r w:rsidR="00C04F23" w:rsidRPr="005A6406">
              <w:rPr>
                <w:rFonts w:ascii="Calibri" w:hAnsi="Calibri"/>
                <w:szCs w:val="22"/>
              </w:rPr>
              <w:t xml:space="preserve"> additional </w:t>
            </w:r>
            <w:r w:rsidR="00FA428D" w:rsidRPr="005A6406">
              <w:rPr>
                <w:rFonts w:ascii="Calibri" w:hAnsi="Calibri"/>
                <w:szCs w:val="22"/>
              </w:rPr>
              <w:t xml:space="preserve">first-floor window proposed </w:t>
            </w:r>
            <w:r w:rsidR="008160BF" w:rsidRPr="005A6406">
              <w:rPr>
                <w:rFonts w:ascii="Calibri" w:hAnsi="Calibri"/>
                <w:szCs w:val="22"/>
              </w:rPr>
              <w:t xml:space="preserve">in the </w:t>
            </w:r>
            <w:r w:rsidR="00C04F23" w:rsidRPr="005A6406">
              <w:rPr>
                <w:rFonts w:ascii="Calibri" w:hAnsi="Calibri"/>
                <w:szCs w:val="22"/>
              </w:rPr>
              <w:t xml:space="preserve">western </w:t>
            </w:r>
            <w:r w:rsidR="008160BF" w:rsidRPr="005A6406">
              <w:rPr>
                <w:rFonts w:ascii="Calibri" w:hAnsi="Calibri"/>
                <w:szCs w:val="22"/>
              </w:rPr>
              <w:t xml:space="preserve">side elevation of the </w:t>
            </w:r>
            <w:r w:rsidR="00C04F23" w:rsidRPr="005A6406">
              <w:rPr>
                <w:rFonts w:ascii="Calibri" w:hAnsi="Calibri"/>
                <w:szCs w:val="22"/>
              </w:rPr>
              <w:t xml:space="preserve">existing house </w:t>
            </w:r>
            <w:r w:rsidR="00FA428D" w:rsidRPr="005A6406">
              <w:rPr>
                <w:rFonts w:ascii="Calibri" w:hAnsi="Calibri"/>
                <w:szCs w:val="22"/>
              </w:rPr>
              <w:t xml:space="preserve">and </w:t>
            </w:r>
            <w:r w:rsidR="00C04F23" w:rsidRPr="005A6406">
              <w:rPr>
                <w:rFonts w:ascii="Calibri" w:hAnsi="Calibri"/>
                <w:szCs w:val="22"/>
              </w:rPr>
              <w:t xml:space="preserve">this is proposed to be obscurely glazed as there is an existing first floor window in the side elevation of no. 22 in order to prevent any </w:t>
            </w:r>
            <w:r w:rsidR="00FA428D" w:rsidRPr="005A6406">
              <w:rPr>
                <w:rFonts w:ascii="Calibri" w:hAnsi="Calibri"/>
                <w:szCs w:val="22"/>
              </w:rPr>
              <w:t>opportunities for overlooking in this respect.</w:t>
            </w:r>
            <w:r w:rsidR="00C04F23" w:rsidRPr="005A6406">
              <w:rPr>
                <w:rFonts w:ascii="Calibri" w:hAnsi="Calibri"/>
                <w:szCs w:val="22"/>
              </w:rPr>
              <w:t xml:space="preserve">  This is acceptable and can be controlled by an appropriate condition.</w:t>
            </w:r>
          </w:p>
          <w:p w14:paraId="0DB485A3" w14:textId="5701976F" w:rsidR="00482FC3" w:rsidRPr="00C0704D" w:rsidRDefault="00482FC3" w:rsidP="00C0704D">
            <w:pPr>
              <w:contextualSpacing/>
              <w:rPr>
                <w:rFonts w:ascii="Calibri" w:hAnsi="Calibri"/>
                <w:szCs w:val="22"/>
              </w:rPr>
            </w:pPr>
          </w:p>
        </w:tc>
      </w:tr>
      <w:tr w:rsidR="00C0704D" w:rsidRPr="00D2449B" w14:paraId="6754C065" w14:textId="77777777" w:rsidTr="003E7445">
        <w:trPr>
          <w:jc w:val="center"/>
        </w:trPr>
        <w:tc>
          <w:tcPr>
            <w:tcW w:w="9968"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43BA8D7A" w14:textId="312CD630" w:rsidR="00C0704D" w:rsidRPr="00494E4C" w:rsidRDefault="00494E4C" w:rsidP="005E1C6C">
            <w:pPr>
              <w:contextualSpacing/>
              <w:rPr>
                <w:rFonts w:ascii="Calibri" w:hAnsi="Calibri"/>
                <w:bCs/>
                <w:szCs w:val="22"/>
              </w:rPr>
            </w:pPr>
            <w:r w:rsidRPr="00494E4C">
              <w:rPr>
                <w:rFonts w:ascii="Calibri" w:hAnsi="Calibri"/>
                <w:bCs/>
                <w:szCs w:val="22"/>
              </w:rPr>
              <w:t xml:space="preserve">The proposed extension is sited on the rear of the dwelling and as such is not readily visible from within the public realm. The proposed materials are consistent with those found on the application dwelling, as well as properties in the vicinity, it is therefore considered that the extension will integrate sufficiently. </w:t>
            </w:r>
          </w:p>
          <w:p w14:paraId="10A3648A" w14:textId="0583BCF9" w:rsidR="00494E4C" w:rsidRDefault="00494E4C" w:rsidP="005E1C6C">
            <w:pPr>
              <w:contextualSpacing/>
              <w:rPr>
                <w:rFonts w:ascii="Calibri" w:hAnsi="Calibri"/>
                <w:b/>
                <w:szCs w:val="22"/>
              </w:rPr>
            </w:pPr>
          </w:p>
        </w:tc>
      </w:tr>
      <w:tr w:rsidR="00824DB6" w:rsidRPr="00D2449B" w14:paraId="673C0DDB" w14:textId="77777777" w:rsidTr="003E7445">
        <w:trPr>
          <w:jc w:val="center"/>
        </w:trPr>
        <w:tc>
          <w:tcPr>
            <w:tcW w:w="9968"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1A381469" w14:textId="3DBF6C8E" w:rsidR="00824DB6" w:rsidRPr="00482FC3" w:rsidRDefault="00482FC3" w:rsidP="00EA09F9">
            <w:pPr>
              <w:pStyle w:val="Header"/>
              <w:tabs>
                <w:tab w:val="clear" w:pos="4153"/>
                <w:tab w:val="clear" w:pos="8306"/>
              </w:tabs>
              <w:contextualSpacing/>
              <w:jc w:val="both"/>
              <w:rPr>
                <w:rFonts w:ascii="Calibri" w:hAnsi="Calibri"/>
                <w:bCs/>
                <w:szCs w:val="22"/>
              </w:rPr>
            </w:pPr>
            <w:r w:rsidRPr="00482FC3">
              <w:rPr>
                <w:rFonts w:ascii="Calibri" w:hAnsi="Calibri"/>
                <w:bCs/>
                <w:szCs w:val="22"/>
              </w:rPr>
              <w:t xml:space="preserve">LCC Highways were not consulted in relation to the proposal given it will not impact highway safety or </w:t>
            </w:r>
            <w:r w:rsidR="005816F8">
              <w:rPr>
                <w:rFonts w:ascii="Calibri" w:hAnsi="Calibri"/>
                <w:bCs/>
                <w:szCs w:val="22"/>
              </w:rPr>
              <w:t>existing parking requirements</w:t>
            </w:r>
            <w:r w:rsidRPr="00482FC3">
              <w:rPr>
                <w:rFonts w:ascii="Calibri" w:hAnsi="Calibri"/>
                <w:bCs/>
                <w:szCs w:val="22"/>
              </w:rPr>
              <w:t xml:space="preserve">. </w:t>
            </w:r>
          </w:p>
          <w:p w14:paraId="337694ED" w14:textId="22A19027" w:rsidR="00482FC3" w:rsidRDefault="00482FC3"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3E7445">
        <w:trPr>
          <w:jc w:val="center"/>
        </w:trPr>
        <w:tc>
          <w:tcPr>
            <w:tcW w:w="9968"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47CC7144" w14:textId="1E16037B" w:rsidR="00460117" w:rsidRDefault="00460117" w:rsidP="00460117">
            <w:pPr>
              <w:contextualSpacing/>
              <w:rPr>
                <w:rFonts w:ascii="Calibri" w:hAnsi="Calibri"/>
                <w:bCs/>
                <w:szCs w:val="22"/>
              </w:rPr>
            </w:pPr>
            <w:r w:rsidRPr="009F35A0">
              <w:rPr>
                <w:rFonts w:ascii="Calibri" w:hAnsi="Calibri"/>
                <w:bCs/>
                <w:szCs w:val="22"/>
              </w:rPr>
              <w:t xml:space="preserve">A preliminary bat roost assessment </w:t>
            </w:r>
            <w:r>
              <w:rPr>
                <w:rFonts w:ascii="Calibri" w:hAnsi="Calibri"/>
                <w:bCs/>
                <w:szCs w:val="22"/>
              </w:rPr>
              <w:t>w</w:t>
            </w:r>
            <w:r w:rsidRPr="009F35A0">
              <w:rPr>
                <w:rFonts w:ascii="Calibri" w:hAnsi="Calibri"/>
                <w:bCs/>
                <w:szCs w:val="22"/>
              </w:rPr>
              <w:t>as conducted</w:t>
            </w:r>
            <w:r>
              <w:rPr>
                <w:rFonts w:ascii="Calibri" w:hAnsi="Calibri"/>
                <w:bCs/>
                <w:szCs w:val="22"/>
              </w:rPr>
              <w:t xml:space="preserve"> on the 02/06</w:t>
            </w:r>
            <w:r w:rsidRPr="009F35A0">
              <w:rPr>
                <w:rFonts w:ascii="Calibri" w:hAnsi="Calibri"/>
                <w:bCs/>
                <w:szCs w:val="22"/>
              </w:rPr>
              <w:t xml:space="preserve">/2023. The survey concluded that there was no evidence of bats present within the building and the property itself offers negligible roosting potential. However, it is considered that there is an opportunity to boost roosting potential via the introduction of artificial bat boxes. </w:t>
            </w:r>
          </w:p>
          <w:p w14:paraId="6337C4D8" w14:textId="77777777" w:rsidR="00C0704D" w:rsidRDefault="00C0704D" w:rsidP="00E46243">
            <w:pPr>
              <w:contextualSpacing/>
              <w:rPr>
                <w:rFonts w:ascii="Calibri" w:hAnsi="Calibri"/>
                <w:b/>
                <w:szCs w:val="22"/>
              </w:rPr>
            </w:pPr>
          </w:p>
        </w:tc>
      </w:tr>
      <w:tr w:rsidR="00C0704D" w:rsidRPr="00D2449B" w14:paraId="0A9D02B4" w14:textId="77777777" w:rsidTr="003E7445">
        <w:trPr>
          <w:jc w:val="center"/>
        </w:trPr>
        <w:tc>
          <w:tcPr>
            <w:tcW w:w="9968"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7DBF1DFB" w:rsidR="0046548C" w:rsidRPr="009F4443" w:rsidRDefault="00FA428D" w:rsidP="00DD62F6">
            <w:pPr>
              <w:pStyle w:val="Header"/>
              <w:tabs>
                <w:tab w:val="clear" w:pos="4153"/>
                <w:tab w:val="clear" w:pos="8306"/>
              </w:tabs>
              <w:contextualSpacing/>
              <w:jc w:val="both"/>
              <w:rPr>
                <w:rFonts w:ascii="Calibri" w:hAnsi="Calibri"/>
                <w:bCs/>
                <w:szCs w:val="22"/>
              </w:rPr>
            </w:pPr>
            <w:r>
              <w:rPr>
                <w:rFonts w:ascii="Calibri" w:hAnsi="Calibri"/>
                <w:bCs/>
                <w:szCs w:val="22"/>
              </w:rPr>
              <w:lastRenderedPageBreak/>
              <w:t xml:space="preserve">The proper development raises no significant concerns </w:t>
            </w:r>
            <w:proofErr w:type="gramStart"/>
            <w:r>
              <w:rPr>
                <w:rFonts w:ascii="Calibri" w:hAnsi="Calibri"/>
                <w:bCs/>
                <w:szCs w:val="22"/>
              </w:rPr>
              <w:t>in regard to</w:t>
            </w:r>
            <w:proofErr w:type="gramEnd"/>
            <w:r>
              <w:rPr>
                <w:rFonts w:ascii="Calibri" w:hAnsi="Calibri"/>
                <w:bCs/>
                <w:szCs w:val="22"/>
              </w:rPr>
              <w:t xml:space="preserve"> residential or visual amenity. </w:t>
            </w:r>
            <w:r w:rsidR="009F4443"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3E7445">
        <w:trPr>
          <w:jc w:val="center"/>
        </w:trPr>
        <w:tc>
          <w:tcPr>
            <w:tcW w:w="226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lastRenderedPageBreak/>
              <w:t>RECOMMENDATION</w:t>
            </w:r>
            <w:r w:rsidRPr="00D2449B">
              <w:rPr>
                <w:rFonts w:ascii="Calibri" w:hAnsi="Calibri"/>
                <w:szCs w:val="22"/>
              </w:rPr>
              <w:t>:</w:t>
            </w:r>
          </w:p>
        </w:tc>
        <w:tc>
          <w:tcPr>
            <w:tcW w:w="7705"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3E7445">
        <w:trPr>
          <w:jc w:val="center"/>
        </w:trPr>
        <w:tc>
          <w:tcPr>
            <w:tcW w:w="9968"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 to the imposition of conditions.</w:t>
            </w:r>
          </w:p>
        </w:tc>
      </w:tr>
    </w:tbl>
    <w:p w14:paraId="513FB541" w14:textId="77777777" w:rsidR="003E7445" w:rsidRPr="00D2449B" w:rsidRDefault="003E7445">
      <w:pPr>
        <w:rPr>
          <w:rFonts w:ascii="Calibri" w:hAnsi="Calibri"/>
          <w:szCs w:val="22"/>
        </w:rPr>
      </w:pPr>
    </w:p>
    <w:sectPr w:rsidR="003E7445"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B58E1"/>
    <w:multiLevelType w:val="hybridMultilevel"/>
    <w:tmpl w:val="D65E5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634749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130035"/>
    <w:rsid w:val="001D4F7A"/>
    <w:rsid w:val="00250879"/>
    <w:rsid w:val="00282E3A"/>
    <w:rsid w:val="0029334A"/>
    <w:rsid w:val="002954E5"/>
    <w:rsid w:val="002A01CF"/>
    <w:rsid w:val="002C6277"/>
    <w:rsid w:val="002F2580"/>
    <w:rsid w:val="00321B6E"/>
    <w:rsid w:val="003E7445"/>
    <w:rsid w:val="00440CB6"/>
    <w:rsid w:val="00460117"/>
    <w:rsid w:val="0046548C"/>
    <w:rsid w:val="00482FC3"/>
    <w:rsid w:val="004947BB"/>
    <w:rsid w:val="00494E4C"/>
    <w:rsid w:val="00497407"/>
    <w:rsid w:val="004A5EA9"/>
    <w:rsid w:val="004C2434"/>
    <w:rsid w:val="004F0649"/>
    <w:rsid w:val="00510FA2"/>
    <w:rsid w:val="00556ECD"/>
    <w:rsid w:val="005816F8"/>
    <w:rsid w:val="005A6406"/>
    <w:rsid w:val="005C16E2"/>
    <w:rsid w:val="005E1C6C"/>
    <w:rsid w:val="005E65DF"/>
    <w:rsid w:val="00692B60"/>
    <w:rsid w:val="006A71AD"/>
    <w:rsid w:val="006C2BFA"/>
    <w:rsid w:val="006F6849"/>
    <w:rsid w:val="0070054B"/>
    <w:rsid w:val="00761D2C"/>
    <w:rsid w:val="00773A66"/>
    <w:rsid w:val="00776AE2"/>
    <w:rsid w:val="007C791C"/>
    <w:rsid w:val="007D7DF4"/>
    <w:rsid w:val="007E0D23"/>
    <w:rsid w:val="007F16D6"/>
    <w:rsid w:val="00811771"/>
    <w:rsid w:val="008160BF"/>
    <w:rsid w:val="00824DB6"/>
    <w:rsid w:val="00837F4F"/>
    <w:rsid w:val="008542DE"/>
    <w:rsid w:val="008A28C8"/>
    <w:rsid w:val="009F4443"/>
    <w:rsid w:val="00A42E82"/>
    <w:rsid w:val="00A579BB"/>
    <w:rsid w:val="00A63D55"/>
    <w:rsid w:val="00A95D89"/>
    <w:rsid w:val="00A96AF7"/>
    <w:rsid w:val="00B93EB5"/>
    <w:rsid w:val="00BD3F03"/>
    <w:rsid w:val="00C04F23"/>
    <w:rsid w:val="00C0704D"/>
    <w:rsid w:val="00C25722"/>
    <w:rsid w:val="00C618DB"/>
    <w:rsid w:val="00D11007"/>
    <w:rsid w:val="00D13EC4"/>
    <w:rsid w:val="00D17EB1"/>
    <w:rsid w:val="00D2449B"/>
    <w:rsid w:val="00D54E67"/>
    <w:rsid w:val="00D72AEF"/>
    <w:rsid w:val="00DD62F6"/>
    <w:rsid w:val="00E46243"/>
    <w:rsid w:val="00E60810"/>
    <w:rsid w:val="00E66534"/>
    <w:rsid w:val="00E72F6C"/>
    <w:rsid w:val="00EA09F9"/>
    <w:rsid w:val="00EC23C7"/>
    <w:rsid w:val="00ED00B7"/>
    <w:rsid w:val="00EF44E6"/>
    <w:rsid w:val="00F056A7"/>
    <w:rsid w:val="00FA428D"/>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772</Words>
  <Characters>4406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2023-08-14T15:28:00Z</cp:lastPrinted>
  <dcterms:created xsi:type="dcterms:W3CDTF">2023-08-14T15:31:00Z</dcterms:created>
  <dcterms:modified xsi:type="dcterms:W3CDTF">2023-08-14T15:31:00Z</dcterms:modified>
</cp:coreProperties>
</file>