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1015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CC733DC" w14:textId="77777777">
        <w:trPr>
          <w:cantSplit/>
        </w:trPr>
        <w:tc>
          <w:tcPr>
            <w:tcW w:w="6983" w:type="dxa"/>
            <w:gridSpan w:val="4"/>
          </w:tcPr>
          <w:p w14:paraId="711D276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67E125C" w14:textId="77777777" w:rsidR="002F3ADA" w:rsidRPr="00DD62CA" w:rsidRDefault="002F3ADA">
            <w:pPr>
              <w:rPr>
                <w:rFonts w:ascii="Calibri" w:hAnsi="Calibri"/>
                <w:sz w:val="24"/>
                <w:szCs w:val="24"/>
              </w:rPr>
            </w:pPr>
          </w:p>
        </w:tc>
        <w:tc>
          <w:tcPr>
            <w:tcW w:w="1713" w:type="dxa"/>
          </w:tcPr>
          <w:p w14:paraId="2D9308D9" w14:textId="77777777" w:rsidR="002F3ADA" w:rsidRPr="00DD62CA" w:rsidRDefault="002F3ADA">
            <w:pPr>
              <w:rPr>
                <w:rFonts w:ascii="Calibri" w:hAnsi="Calibri"/>
                <w:sz w:val="24"/>
                <w:szCs w:val="24"/>
              </w:rPr>
            </w:pPr>
          </w:p>
        </w:tc>
      </w:tr>
      <w:tr w:rsidR="002F3ADA" w:rsidRPr="00DD62CA" w14:paraId="4D6E68EA" w14:textId="77777777">
        <w:trPr>
          <w:cantSplit/>
        </w:trPr>
        <w:tc>
          <w:tcPr>
            <w:tcW w:w="4123" w:type="dxa"/>
            <w:gridSpan w:val="2"/>
          </w:tcPr>
          <w:p w14:paraId="011D869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4C23370" w14:textId="77777777" w:rsidR="002F3ADA" w:rsidRPr="00DD62CA" w:rsidRDefault="002F3ADA">
            <w:pPr>
              <w:rPr>
                <w:rFonts w:ascii="Calibri" w:hAnsi="Calibri"/>
                <w:sz w:val="24"/>
                <w:szCs w:val="24"/>
              </w:rPr>
            </w:pPr>
          </w:p>
        </w:tc>
        <w:tc>
          <w:tcPr>
            <w:tcW w:w="1404" w:type="dxa"/>
          </w:tcPr>
          <w:p w14:paraId="093C39F1" w14:textId="77777777" w:rsidR="002F3ADA" w:rsidRPr="00DD62CA" w:rsidRDefault="002F3ADA">
            <w:pPr>
              <w:rPr>
                <w:rFonts w:ascii="Calibri" w:hAnsi="Calibri"/>
                <w:sz w:val="24"/>
                <w:szCs w:val="24"/>
              </w:rPr>
            </w:pPr>
          </w:p>
        </w:tc>
        <w:tc>
          <w:tcPr>
            <w:tcW w:w="1713" w:type="dxa"/>
          </w:tcPr>
          <w:p w14:paraId="668780DB" w14:textId="77777777" w:rsidR="002F3ADA" w:rsidRPr="00DD62CA" w:rsidRDefault="002F3ADA">
            <w:pPr>
              <w:rPr>
                <w:rFonts w:ascii="Calibri" w:hAnsi="Calibri"/>
                <w:sz w:val="24"/>
                <w:szCs w:val="24"/>
              </w:rPr>
            </w:pPr>
          </w:p>
        </w:tc>
        <w:tc>
          <w:tcPr>
            <w:tcW w:w="1713" w:type="dxa"/>
          </w:tcPr>
          <w:p w14:paraId="77673523" w14:textId="77777777" w:rsidR="002F3ADA" w:rsidRPr="00DD62CA" w:rsidRDefault="002F3ADA">
            <w:pPr>
              <w:rPr>
                <w:rFonts w:ascii="Calibri" w:hAnsi="Calibri"/>
                <w:sz w:val="24"/>
                <w:szCs w:val="24"/>
              </w:rPr>
            </w:pPr>
          </w:p>
        </w:tc>
      </w:tr>
      <w:tr w:rsidR="00C00AD7" w:rsidRPr="00DD62CA" w14:paraId="55000458" w14:textId="77777777" w:rsidTr="00111C12">
        <w:trPr>
          <w:cantSplit/>
        </w:trPr>
        <w:tc>
          <w:tcPr>
            <w:tcW w:w="6983" w:type="dxa"/>
            <w:gridSpan w:val="4"/>
          </w:tcPr>
          <w:p w14:paraId="1FBBB3C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EEB7EF3" w14:textId="77777777" w:rsidR="00C00AD7" w:rsidRPr="00DD62CA" w:rsidRDefault="00C00AD7">
            <w:pPr>
              <w:rPr>
                <w:rFonts w:ascii="Calibri" w:hAnsi="Calibri"/>
                <w:sz w:val="24"/>
                <w:szCs w:val="24"/>
              </w:rPr>
            </w:pPr>
          </w:p>
        </w:tc>
        <w:tc>
          <w:tcPr>
            <w:tcW w:w="1713" w:type="dxa"/>
          </w:tcPr>
          <w:p w14:paraId="2B7224F1" w14:textId="77777777" w:rsidR="00C00AD7" w:rsidRPr="00DD62CA" w:rsidRDefault="00C00AD7">
            <w:pPr>
              <w:rPr>
                <w:rFonts w:ascii="Calibri" w:hAnsi="Calibri"/>
                <w:sz w:val="24"/>
                <w:szCs w:val="24"/>
              </w:rPr>
            </w:pPr>
          </w:p>
        </w:tc>
      </w:tr>
      <w:tr w:rsidR="00C00AD7" w:rsidRPr="00DD62CA" w14:paraId="657A2191" w14:textId="77777777" w:rsidTr="00111C12">
        <w:trPr>
          <w:cantSplit/>
        </w:trPr>
        <w:tc>
          <w:tcPr>
            <w:tcW w:w="8696" w:type="dxa"/>
            <w:gridSpan w:val="5"/>
            <w:tcBorders>
              <w:bottom w:val="single" w:sz="6" w:space="0" w:color="auto"/>
            </w:tcBorders>
          </w:tcPr>
          <w:p w14:paraId="7CB3992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10770AC" w14:textId="77777777" w:rsidR="00C00AD7" w:rsidRPr="00DD62CA" w:rsidRDefault="00C00AD7">
            <w:pPr>
              <w:rPr>
                <w:rFonts w:ascii="Calibri" w:hAnsi="Calibri"/>
                <w:sz w:val="24"/>
                <w:szCs w:val="24"/>
              </w:rPr>
            </w:pPr>
          </w:p>
        </w:tc>
      </w:tr>
      <w:tr w:rsidR="00C00AD7" w:rsidRPr="00DD62CA" w14:paraId="03545136" w14:textId="77777777" w:rsidTr="00111C12">
        <w:trPr>
          <w:cantSplit/>
        </w:trPr>
        <w:tc>
          <w:tcPr>
            <w:tcW w:w="5579" w:type="dxa"/>
            <w:gridSpan w:val="3"/>
          </w:tcPr>
          <w:p w14:paraId="1966A28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175C945" w14:textId="77777777" w:rsidR="00C00AD7" w:rsidRPr="00DD62CA" w:rsidRDefault="00C00AD7">
            <w:pPr>
              <w:rPr>
                <w:rFonts w:ascii="Calibri" w:hAnsi="Calibri"/>
                <w:sz w:val="24"/>
                <w:szCs w:val="24"/>
              </w:rPr>
            </w:pPr>
          </w:p>
        </w:tc>
        <w:tc>
          <w:tcPr>
            <w:tcW w:w="1713" w:type="dxa"/>
          </w:tcPr>
          <w:p w14:paraId="6EB726B1" w14:textId="77777777" w:rsidR="00C00AD7" w:rsidRPr="00DD62CA" w:rsidRDefault="00C00AD7">
            <w:pPr>
              <w:rPr>
                <w:rFonts w:ascii="Calibri" w:hAnsi="Calibri"/>
                <w:sz w:val="24"/>
                <w:szCs w:val="24"/>
              </w:rPr>
            </w:pPr>
          </w:p>
        </w:tc>
      </w:tr>
      <w:tr w:rsidR="002F3ADA" w:rsidRPr="00DD62CA" w14:paraId="5295CFD8" w14:textId="77777777">
        <w:trPr>
          <w:cantSplit/>
        </w:trPr>
        <w:tc>
          <w:tcPr>
            <w:tcW w:w="10409" w:type="dxa"/>
            <w:gridSpan w:val="6"/>
          </w:tcPr>
          <w:p w14:paraId="54BC304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AF42BA7" w14:textId="77777777">
        <w:trPr>
          <w:cantSplit/>
        </w:trPr>
        <w:tc>
          <w:tcPr>
            <w:tcW w:w="2410" w:type="dxa"/>
          </w:tcPr>
          <w:p w14:paraId="5853621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1E6F748" w14:textId="15B9DFCE" w:rsidR="002F3ADA" w:rsidRPr="00DD62CA" w:rsidRDefault="00CD27D0">
            <w:pPr>
              <w:pStyle w:val="addresses"/>
              <w:rPr>
                <w:rFonts w:ascii="Calibri" w:hAnsi="Calibri"/>
                <w:sz w:val="24"/>
                <w:szCs w:val="24"/>
              </w:rPr>
            </w:pPr>
            <w:r>
              <w:rPr>
                <w:rFonts w:ascii="Calibri" w:hAnsi="Calibri"/>
                <w:sz w:val="24"/>
                <w:szCs w:val="24"/>
              </w:rPr>
              <w:t>3/2023/0353</w:t>
            </w:r>
          </w:p>
        </w:tc>
        <w:tc>
          <w:tcPr>
            <w:tcW w:w="1404" w:type="dxa"/>
          </w:tcPr>
          <w:p w14:paraId="64A94059" w14:textId="77777777" w:rsidR="002F3ADA" w:rsidRPr="00DD62CA" w:rsidRDefault="002F3ADA">
            <w:pPr>
              <w:rPr>
                <w:rFonts w:ascii="Calibri" w:hAnsi="Calibri"/>
                <w:sz w:val="24"/>
                <w:szCs w:val="24"/>
              </w:rPr>
            </w:pPr>
          </w:p>
        </w:tc>
        <w:tc>
          <w:tcPr>
            <w:tcW w:w="1713" w:type="dxa"/>
          </w:tcPr>
          <w:p w14:paraId="4C168334" w14:textId="77777777" w:rsidR="002F3ADA" w:rsidRPr="00DD62CA" w:rsidRDefault="002F3ADA">
            <w:pPr>
              <w:rPr>
                <w:rFonts w:ascii="Calibri" w:hAnsi="Calibri"/>
                <w:sz w:val="24"/>
                <w:szCs w:val="24"/>
              </w:rPr>
            </w:pPr>
          </w:p>
        </w:tc>
        <w:tc>
          <w:tcPr>
            <w:tcW w:w="1713" w:type="dxa"/>
          </w:tcPr>
          <w:p w14:paraId="16B438CF" w14:textId="77777777" w:rsidR="002F3ADA" w:rsidRPr="00DD62CA" w:rsidRDefault="002F3ADA">
            <w:pPr>
              <w:rPr>
                <w:rFonts w:ascii="Calibri" w:hAnsi="Calibri"/>
                <w:sz w:val="24"/>
                <w:szCs w:val="24"/>
              </w:rPr>
            </w:pPr>
          </w:p>
        </w:tc>
      </w:tr>
      <w:tr w:rsidR="002F3ADA" w:rsidRPr="00DD62CA" w14:paraId="364470BF" w14:textId="77777777">
        <w:trPr>
          <w:cantSplit/>
        </w:trPr>
        <w:tc>
          <w:tcPr>
            <w:tcW w:w="2410" w:type="dxa"/>
          </w:tcPr>
          <w:p w14:paraId="243B5FF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4DD4659" w14:textId="0938FFF6" w:rsidR="002F3ADA" w:rsidRPr="00DD62CA" w:rsidRDefault="000D0C22">
            <w:pPr>
              <w:rPr>
                <w:rFonts w:ascii="Calibri" w:hAnsi="Calibri"/>
                <w:sz w:val="24"/>
                <w:szCs w:val="24"/>
              </w:rPr>
            </w:pPr>
            <w:r>
              <w:rPr>
                <w:rFonts w:ascii="Calibri" w:hAnsi="Calibri"/>
                <w:sz w:val="24"/>
                <w:szCs w:val="24"/>
              </w:rPr>
              <w:t>11</w:t>
            </w:r>
            <w:r w:rsidR="00CD27D0">
              <w:rPr>
                <w:rFonts w:ascii="Calibri" w:hAnsi="Calibri"/>
                <w:sz w:val="24"/>
                <w:szCs w:val="24"/>
              </w:rPr>
              <w:t xml:space="preserve"> August 2023</w:t>
            </w:r>
          </w:p>
        </w:tc>
        <w:tc>
          <w:tcPr>
            <w:tcW w:w="1404" w:type="dxa"/>
          </w:tcPr>
          <w:p w14:paraId="07E07FFB" w14:textId="77777777" w:rsidR="002F3ADA" w:rsidRPr="00DD62CA" w:rsidRDefault="002F3ADA">
            <w:pPr>
              <w:rPr>
                <w:rFonts w:ascii="Calibri" w:hAnsi="Calibri"/>
                <w:sz w:val="24"/>
                <w:szCs w:val="24"/>
              </w:rPr>
            </w:pPr>
          </w:p>
        </w:tc>
        <w:tc>
          <w:tcPr>
            <w:tcW w:w="1713" w:type="dxa"/>
          </w:tcPr>
          <w:p w14:paraId="4A9A63C6" w14:textId="77777777" w:rsidR="002F3ADA" w:rsidRPr="00DD62CA" w:rsidRDefault="002F3ADA">
            <w:pPr>
              <w:rPr>
                <w:rFonts w:ascii="Calibri" w:hAnsi="Calibri"/>
                <w:sz w:val="24"/>
                <w:szCs w:val="24"/>
              </w:rPr>
            </w:pPr>
          </w:p>
        </w:tc>
        <w:tc>
          <w:tcPr>
            <w:tcW w:w="1713" w:type="dxa"/>
          </w:tcPr>
          <w:p w14:paraId="1FF2877C" w14:textId="77777777" w:rsidR="002F3ADA" w:rsidRPr="00DD62CA" w:rsidRDefault="002F3ADA">
            <w:pPr>
              <w:rPr>
                <w:rFonts w:ascii="Calibri" w:hAnsi="Calibri"/>
                <w:sz w:val="24"/>
                <w:szCs w:val="24"/>
              </w:rPr>
            </w:pPr>
          </w:p>
        </w:tc>
      </w:tr>
      <w:tr w:rsidR="002F3ADA" w:rsidRPr="00DD62CA" w14:paraId="2DE8DC84" w14:textId="77777777">
        <w:trPr>
          <w:cantSplit/>
        </w:trPr>
        <w:tc>
          <w:tcPr>
            <w:tcW w:w="2410" w:type="dxa"/>
          </w:tcPr>
          <w:p w14:paraId="7AA61AE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1636071" w14:textId="111E60BB" w:rsidR="002F3ADA" w:rsidRPr="00DD62CA" w:rsidRDefault="00CD27D0">
            <w:pPr>
              <w:rPr>
                <w:rFonts w:ascii="Calibri" w:hAnsi="Calibri"/>
                <w:sz w:val="24"/>
                <w:szCs w:val="24"/>
              </w:rPr>
            </w:pPr>
            <w:r>
              <w:rPr>
                <w:rFonts w:ascii="Calibri" w:hAnsi="Calibri"/>
                <w:sz w:val="24"/>
                <w:szCs w:val="24"/>
              </w:rPr>
              <w:t>28/04/2023</w:t>
            </w:r>
          </w:p>
        </w:tc>
        <w:tc>
          <w:tcPr>
            <w:tcW w:w="1404" w:type="dxa"/>
          </w:tcPr>
          <w:p w14:paraId="6C77BC5E" w14:textId="77777777" w:rsidR="002F3ADA" w:rsidRPr="00DD62CA" w:rsidRDefault="002F3ADA">
            <w:pPr>
              <w:rPr>
                <w:rFonts w:ascii="Calibri" w:hAnsi="Calibri"/>
                <w:sz w:val="24"/>
                <w:szCs w:val="24"/>
              </w:rPr>
            </w:pPr>
          </w:p>
        </w:tc>
        <w:tc>
          <w:tcPr>
            <w:tcW w:w="1713" w:type="dxa"/>
          </w:tcPr>
          <w:p w14:paraId="488262E0" w14:textId="77777777" w:rsidR="002F3ADA" w:rsidRPr="00DD62CA" w:rsidRDefault="002F3ADA">
            <w:pPr>
              <w:rPr>
                <w:rFonts w:ascii="Calibri" w:hAnsi="Calibri"/>
                <w:sz w:val="24"/>
                <w:szCs w:val="24"/>
              </w:rPr>
            </w:pPr>
          </w:p>
        </w:tc>
        <w:tc>
          <w:tcPr>
            <w:tcW w:w="1713" w:type="dxa"/>
          </w:tcPr>
          <w:p w14:paraId="4D18079C" w14:textId="77777777" w:rsidR="002F3ADA" w:rsidRPr="00DD62CA" w:rsidRDefault="002F3ADA">
            <w:pPr>
              <w:rPr>
                <w:rFonts w:ascii="Calibri" w:hAnsi="Calibri"/>
                <w:sz w:val="24"/>
                <w:szCs w:val="24"/>
              </w:rPr>
            </w:pPr>
          </w:p>
        </w:tc>
      </w:tr>
      <w:tr w:rsidR="002F3ADA" w:rsidRPr="00DD62CA" w14:paraId="65975429" w14:textId="77777777">
        <w:trPr>
          <w:cantSplit/>
        </w:trPr>
        <w:tc>
          <w:tcPr>
            <w:tcW w:w="10409" w:type="dxa"/>
            <w:gridSpan w:val="6"/>
          </w:tcPr>
          <w:p w14:paraId="59607C8F" w14:textId="77777777" w:rsidR="002F3ADA" w:rsidRPr="00DD62CA" w:rsidRDefault="002F3ADA">
            <w:pPr>
              <w:rPr>
                <w:rFonts w:ascii="Calibri" w:hAnsi="Calibri"/>
                <w:sz w:val="24"/>
                <w:szCs w:val="24"/>
              </w:rPr>
            </w:pPr>
          </w:p>
        </w:tc>
      </w:tr>
      <w:tr w:rsidR="002F3ADA" w:rsidRPr="00DD62CA" w14:paraId="2911C289" w14:textId="77777777" w:rsidTr="00F92BEF">
        <w:trPr>
          <w:cantSplit/>
        </w:trPr>
        <w:tc>
          <w:tcPr>
            <w:tcW w:w="2410" w:type="dxa"/>
          </w:tcPr>
          <w:p w14:paraId="79849D6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F9789ED" w14:textId="77777777" w:rsidR="002F3ADA" w:rsidRPr="00DD62CA" w:rsidRDefault="002F3ADA">
            <w:pPr>
              <w:rPr>
                <w:rFonts w:ascii="Calibri" w:hAnsi="Calibri"/>
                <w:sz w:val="24"/>
                <w:szCs w:val="24"/>
              </w:rPr>
            </w:pPr>
          </w:p>
        </w:tc>
        <w:tc>
          <w:tcPr>
            <w:tcW w:w="1456" w:type="dxa"/>
          </w:tcPr>
          <w:p w14:paraId="23933FB6" w14:textId="77777777" w:rsidR="002F3ADA" w:rsidRPr="00DD62CA" w:rsidRDefault="002F3ADA">
            <w:pPr>
              <w:rPr>
                <w:rFonts w:ascii="Calibri" w:hAnsi="Calibri"/>
                <w:sz w:val="24"/>
                <w:szCs w:val="24"/>
              </w:rPr>
            </w:pPr>
          </w:p>
        </w:tc>
        <w:tc>
          <w:tcPr>
            <w:tcW w:w="1404" w:type="dxa"/>
          </w:tcPr>
          <w:p w14:paraId="62FFF14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FD7E133" w14:textId="77777777" w:rsidR="002F3ADA" w:rsidRPr="00DD62CA" w:rsidRDefault="002F3ADA">
            <w:pPr>
              <w:rPr>
                <w:rFonts w:ascii="Calibri" w:hAnsi="Calibri"/>
                <w:sz w:val="24"/>
                <w:szCs w:val="24"/>
              </w:rPr>
            </w:pPr>
          </w:p>
        </w:tc>
        <w:tc>
          <w:tcPr>
            <w:tcW w:w="1713" w:type="dxa"/>
          </w:tcPr>
          <w:p w14:paraId="67E7220A" w14:textId="77777777" w:rsidR="002F3ADA" w:rsidRPr="00DD62CA" w:rsidRDefault="002F3ADA">
            <w:pPr>
              <w:rPr>
                <w:rFonts w:ascii="Calibri" w:hAnsi="Calibri"/>
                <w:sz w:val="24"/>
                <w:szCs w:val="24"/>
              </w:rPr>
            </w:pPr>
          </w:p>
        </w:tc>
      </w:tr>
      <w:tr w:rsidR="002F3ADA" w:rsidRPr="00DD62CA" w14:paraId="653FE020" w14:textId="77777777" w:rsidTr="00F92BEF">
        <w:trPr>
          <w:cantSplit/>
        </w:trPr>
        <w:tc>
          <w:tcPr>
            <w:tcW w:w="4123" w:type="dxa"/>
            <w:gridSpan w:val="2"/>
            <w:vMerge w:val="restart"/>
          </w:tcPr>
          <w:p w14:paraId="7FCAEFE6" w14:textId="55719D9B" w:rsidR="00441F1F" w:rsidRDefault="00CD27D0">
            <w:pPr>
              <w:rPr>
                <w:rFonts w:ascii="Calibri" w:hAnsi="Calibri"/>
                <w:sz w:val="24"/>
                <w:szCs w:val="24"/>
              </w:rPr>
            </w:pPr>
            <w:bookmarkStart w:id="0" w:name="ApplicantName"/>
            <w:r>
              <w:rPr>
                <w:rFonts w:ascii="Calibri" w:hAnsi="Calibri"/>
                <w:sz w:val="24"/>
                <w:szCs w:val="24"/>
              </w:rPr>
              <w:t>Mr Toby Whittaker</w:t>
            </w:r>
          </w:p>
          <w:bookmarkEnd w:id="0"/>
          <w:p w14:paraId="27623DB9" w14:textId="6C06AF31" w:rsidR="002F3ADA" w:rsidRPr="00DD62CA" w:rsidRDefault="00CD27D0">
            <w:pPr>
              <w:rPr>
                <w:rFonts w:ascii="Calibri" w:hAnsi="Calibri"/>
                <w:sz w:val="24"/>
                <w:szCs w:val="24"/>
              </w:rPr>
            </w:pPr>
            <w:r>
              <w:rPr>
                <w:rFonts w:ascii="Calibri" w:hAnsi="Calibri"/>
                <w:sz w:val="24"/>
                <w:szCs w:val="24"/>
              </w:rPr>
              <w:t>C/o Agent</w:t>
            </w:r>
          </w:p>
        </w:tc>
        <w:tc>
          <w:tcPr>
            <w:tcW w:w="1456" w:type="dxa"/>
            <w:tcBorders>
              <w:left w:val="nil"/>
            </w:tcBorders>
          </w:tcPr>
          <w:p w14:paraId="7EE69CB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BCE2800" w14:textId="577BCE02" w:rsidR="00441F1F" w:rsidRDefault="00CD27D0">
            <w:pPr>
              <w:pStyle w:val="addresses"/>
              <w:rPr>
                <w:rFonts w:ascii="Calibri" w:hAnsi="Calibri"/>
                <w:sz w:val="24"/>
                <w:szCs w:val="24"/>
              </w:rPr>
            </w:pPr>
            <w:r>
              <w:rPr>
                <w:rFonts w:ascii="Calibri" w:hAnsi="Calibri"/>
                <w:sz w:val="24"/>
                <w:szCs w:val="24"/>
              </w:rPr>
              <w:t>Mr Stuart Booth</w:t>
            </w:r>
          </w:p>
          <w:p w14:paraId="495EC279" w14:textId="77777777" w:rsidR="00CD27D0" w:rsidRDefault="00CD27D0">
            <w:pPr>
              <w:pStyle w:val="addresses"/>
              <w:rPr>
                <w:rFonts w:ascii="Calibri" w:hAnsi="Calibri"/>
                <w:sz w:val="24"/>
                <w:szCs w:val="24"/>
              </w:rPr>
            </w:pPr>
            <w:r>
              <w:rPr>
                <w:rFonts w:ascii="Calibri" w:hAnsi="Calibri"/>
                <w:sz w:val="24"/>
                <w:szCs w:val="24"/>
              </w:rPr>
              <w:t>JWPC Ltd</w:t>
            </w:r>
          </w:p>
          <w:p w14:paraId="5E4339C9" w14:textId="77777777" w:rsidR="00CD27D0" w:rsidRDefault="00CD27D0">
            <w:pPr>
              <w:pStyle w:val="addresses"/>
              <w:rPr>
                <w:rFonts w:ascii="Calibri" w:hAnsi="Calibri"/>
                <w:sz w:val="24"/>
                <w:szCs w:val="24"/>
              </w:rPr>
            </w:pPr>
            <w:r>
              <w:rPr>
                <w:rFonts w:ascii="Calibri" w:hAnsi="Calibri"/>
                <w:sz w:val="24"/>
                <w:szCs w:val="24"/>
              </w:rPr>
              <w:t>1B Waterview</w:t>
            </w:r>
          </w:p>
          <w:p w14:paraId="0A6489D3" w14:textId="77777777" w:rsidR="00CD27D0" w:rsidRDefault="00CD27D0">
            <w:pPr>
              <w:pStyle w:val="addresses"/>
              <w:rPr>
                <w:rFonts w:ascii="Calibri" w:hAnsi="Calibri"/>
                <w:sz w:val="24"/>
                <w:szCs w:val="24"/>
              </w:rPr>
            </w:pPr>
            <w:r>
              <w:rPr>
                <w:rFonts w:ascii="Calibri" w:hAnsi="Calibri"/>
                <w:sz w:val="24"/>
                <w:szCs w:val="24"/>
              </w:rPr>
              <w:t>White Cross</w:t>
            </w:r>
          </w:p>
          <w:p w14:paraId="267209EA" w14:textId="77777777" w:rsidR="00CD27D0" w:rsidRDefault="00CD27D0">
            <w:pPr>
              <w:pStyle w:val="addresses"/>
              <w:rPr>
                <w:rFonts w:ascii="Calibri" w:hAnsi="Calibri"/>
                <w:sz w:val="24"/>
                <w:szCs w:val="24"/>
              </w:rPr>
            </w:pPr>
            <w:r>
              <w:rPr>
                <w:rFonts w:ascii="Calibri" w:hAnsi="Calibri"/>
                <w:sz w:val="24"/>
                <w:szCs w:val="24"/>
              </w:rPr>
              <w:t>Lancaster</w:t>
            </w:r>
          </w:p>
          <w:p w14:paraId="3EE15327" w14:textId="7FF3164B" w:rsidR="002F3ADA" w:rsidRPr="00DD62CA" w:rsidRDefault="00CD27D0">
            <w:pPr>
              <w:pStyle w:val="addresses"/>
              <w:rPr>
                <w:rFonts w:ascii="Calibri" w:hAnsi="Calibri"/>
                <w:sz w:val="24"/>
                <w:szCs w:val="24"/>
              </w:rPr>
            </w:pPr>
            <w:r>
              <w:rPr>
                <w:rFonts w:ascii="Calibri" w:hAnsi="Calibri"/>
                <w:sz w:val="24"/>
                <w:szCs w:val="24"/>
              </w:rPr>
              <w:t>LA1 4XS</w:t>
            </w:r>
          </w:p>
        </w:tc>
      </w:tr>
      <w:tr w:rsidR="002F3ADA" w:rsidRPr="00DD62CA" w14:paraId="40B43363" w14:textId="77777777" w:rsidTr="00F92BEF">
        <w:trPr>
          <w:cantSplit/>
        </w:trPr>
        <w:tc>
          <w:tcPr>
            <w:tcW w:w="4123" w:type="dxa"/>
            <w:gridSpan w:val="2"/>
            <w:vMerge/>
          </w:tcPr>
          <w:p w14:paraId="5E86071C" w14:textId="77777777" w:rsidR="002F3ADA" w:rsidRPr="00DD62CA" w:rsidRDefault="002F3ADA">
            <w:pPr>
              <w:rPr>
                <w:rFonts w:ascii="Calibri" w:hAnsi="Calibri"/>
                <w:sz w:val="24"/>
                <w:szCs w:val="24"/>
              </w:rPr>
            </w:pPr>
          </w:p>
        </w:tc>
        <w:tc>
          <w:tcPr>
            <w:tcW w:w="1456" w:type="dxa"/>
          </w:tcPr>
          <w:p w14:paraId="56CBB50E" w14:textId="77777777" w:rsidR="002F3ADA" w:rsidRPr="00DD62CA" w:rsidRDefault="002F3ADA">
            <w:pPr>
              <w:rPr>
                <w:rFonts w:ascii="Calibri" w:hAnsi="Calibri"/>
                <w:sz w:val="24"/>
                <w:szCs w:val="24"/>
              </w:rPr>
            </w:pPr>
          </w:p>
        </w:tc>
        <w:tc>
          <w:tcPr>
            <w:tcW w:w="4830" w:type="dxa"/>
            <w:gridSpan w:val="3"/>
            <w:vMerge/>
          </w:tcPr>
          <w:p w14:paraId="5FEDCBE6" w14:textId="77777777" w:rsidR="002F3ADA" w:rsidRPr="00DD62CA" w:rsidRDefault="002F3ADA">
            <w:pPr>
              <w:rPr>
                <w:rFonts w:ascii="Calibri" w:hAnsi="Calibri"/>
                <w:sz w:val="24"/>
                <w:szCs w:val="24"/>
              </w:rPr>
            </w:pPr>
          </w:p>
        </w:tc>
      </w:tr>
      <w:tr w:rsidR="002F3ADA" w:rsidRPr="00DD62CA" w14:paraId="3477358D" w14:textId="77777777" w:rsidTr="00F92BEF">
        <w:trPr>
          <w:cantSplit/>
        </w:trPr>
        <w:tc>
          <w:tcPr>
            <w:tcW w:w="4123" w:type="dxa"/>
            <w:gridSpan w:val="2"/>
            <w:vMerge/>
          </w:tcPr>
          <w:p w14:paraId="5C2427F7" w14:textId="77777777" w:rsidR="002F3ADA" w:rsidRPr="00DD62CA" w:rsidRDefault="002F3ADA">
            <w:pPr>
              <w:rPr>
                <w:rFonts w:ascii="Calibri" w:hAnsi="Calibri"/>
                <w:sz w:val="24"/>
                <w:szCs w:val="24"/>
              </w:rPr>
            </w:pPr>
          </w:p>
        </w:tc>
        <w:tc>
          <w:tcPr>
            <w:tcW w:w="1456" w:type="dxa"/>
          </w:tcPr>
          <w:p w14:paraId="721E281D" w14:textId="77777777" w:rsidR="002F3ADA" w:rsidRPr="00DD62CA" w:rsidRDefault="002F3ADA">
            <w:pPr>
              <w:rPr>
                <w:rFonts w:ascii="Calibri" w:hAnsi="Calibri"/>
                <w:sz w:val="24"/>
                <w:szCs w:val="24"/>
              </w:rPr>
            </w:pPr>
          </w:p>
        </w:tc>
        <w:tc>
          <w:tcPr>
            <w:tcW w:w="4830" w:type="dxa"/>
            <w:gridSpan w:val="3"/>
            <w:vMerge/>
          </w:tcPr>
          <w:p w14:paraId="09F5C445" w14:textId="77777777" w:rsidR="002F3ADA" w:rsidRPr="00DD62CA" w:rsidRDefault="002F3ADA">
            <w:pPr>
              <w:rPr>
                <w:rFonts w:ascii="Calibri" w:hAnsi="Calibri"/>
                <w:sz w:val="24"/>
                <w:szCs w:val="24"/>
              </w:rPr>
            </w:pPr>
          </w:p>
        </w:tc>
      </w:tr>
      <w:tr w:rsidR="002F3ADA" w:rsidRPr="00DD62CA" w14:paraId="735356E5" w14:textId="77777777" w:rsidTr="00F92BEF">
        <w:trPr>
          <w:cantSplit/>
        </w:trPr>
        <w:tc>
          <w:tcPr>
            <w:tcW w:w="4123" w:type="dxa"/>
            <w:gridSpan w:val="2"/>
            <w:vMerge/>
          </w:tcPr>
          <w:p w14:paraId="5C4E3BB0" w14:textId="77777777" w:rsidR="002F3ADA" w:rsidRPr="00DD62CA" w:rsidRDefault="002F3ADA">
            <w:pPr>
              <w:rPr>
                <w:rFonts w:ascii="Calibri" w:hAnsi="Calibri"/>
                <w:sz w:val="24"/>
                <w:szCs w:val="24"/>
              </w:rPr>
            </w:pPr>
          </w:p>
        </w:tc>
        <w:tc>
          <w:tcPr>
            <w:tcW w:w="1456" w:type="dxa"/>
          </w:tcPr>
          <w:p w14:paraId="4054A422" w14:textId="77777777" w:rsidR="002F3ADA" w:rsidRPr="00DD62CA" w:rsidRDefault="002F3ADA">
            <w:pPr>
              <w:rPr>
                <w:rFonts w:ascii="Calibri" w:hAnsi="Calibri"/>
                <w:sz w:val="24"/>
                <w:szCs w:val="24"/>
              </w:rPr>
            </w:pPr>
          </w:p>
        </w:tc>
        <w:tc>
          <w:tcPr>
            <w:tcW w:w="4830" w:type="dxa"/>
            <w:gridSpan w:val="3"/>
            <w:vMerge/>
          </w:tcPr>
          <w:p w14:paraId="0A2973FD" w14:textId="77777777" w:rsidR="002F3ADA" w:rsidRPr="00DD62CA" w:rsidRDefault="002F3ADA">
            <w:pPr>
              <w:rPr>
                <w:rFonts w:ascii="Calibri" w:hAnsi="Calibri"/>
                <w:sz w:val="24"/>
                <w:szCs w:val="24"/>
              </w:rPr>
            </w:pPr>
          </w:p>
        </w:tc>
      </w:tr>
      <w:tr w:rsidR="002F3ADA" w:rsidRPr="00DD62CA" w14:paraId="0E227DE3" w14:textId="77777777" w:rsidTr="00F92BEF">
        <w:trPr>
          <w:cantSplit/>
        </w:trPr>
        <w:tc>
          <w:tcPr>
            <w:tcW w:w="4123" w:type="dxa"/>
            <w:gridSpan w:val="2"/>
            <w:vMerge/>
          </w:tcPr>
          <w:p w14:paraId="5F3992EA" w14:textId="77777777" w:rsidR="002F3ADA" w:rsidRPr="00DD62CA" w:rsidRDefault="002F3ADA">
            <w:pPr>
              <w:rPr>
                <w:rFonts w:ascii="Calibri" w:hAnsi="Calibri"/>
                <w:sz w:val="24"/>
                <w:szCs w:val="24"/>
              </w:rPr>
            </w:pPr>
          </w:p>
        </w:tc>
        <w:tc>
          <w:tcPr>
            <w:tcW w:w="1456" w:type="dxa"/>
          </w:tcPr>
          <w:p w14:paraId="3EC6016F" w14:textId="77777777" w:rsidR="002F3ADA" w:rsidRPr="00DD62CA" w:rsidRDefault="002F3ADA">
            <w:pPr>
              <w:rPr>
                <w:rFonts w:ascii="Calibri" w:hAnsi="Calibri"/>
                <w:sz w:val="24"/>
                <w:szCs w:val="24"/>
              </w:rPr>
            </w:pPr>
          </w:p>
        </w:tc>
        <w:tc>
          <w:tcPr>
            <w:tcW w:w="4830" w:type="dxa"/>
            <w:gridSpan w:val="3"/>
            <w:vMerge/>
          </w:tcPr>
          <w:p w14:paraId="4D31E4C7" w14:textId="77777777" w:rsidR="002F3ADA" w:rsidRPr="00DD62CA" w:rsidRDefault="002F3ADA">
            <w:pPr>
              <w:rPr>
                <w:rFonts w:ascii="Calibri" w:hAnsi="Calibri"/>
                <w:sz w:val="24"/>
                <w:szCs w:val="24"/>
              </w:rPr>
            </w:pPr>
          </w:p>
        </w:tc>
      </w:tr>
    </w:tbl>
    <w:p w14:paraId="5C442DE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A735B64" w14:textId="77777777" w:rsidTr="003243B5">
        <w:trPr>
          <w:cantSplit/>
          <w:trHeight w:val="512"/>
        </w:trPr>
        <w:tc>
          <w:tcPr>
            <w:tcW w:w="1970" w:type="dxa"/>
            <w:gridSpan w:val="2"/>
          </w:tcPr>
          <w:p w14:paraId="3EA1D8D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208E62E" w14:textId="0A85BD92" w:rsidR="002F3ADA" w:rsidRPr="00DD62CA" w:rsidRDefault="00CD27D0">
            <w:pPr>
              <w:pStyle w:val="TableText"/>
              <w:rPr>
                <w:rFonts w:ascii="Calibri" w:hAnsi="Calibri"/>
                <w:sz w:val="24"/>
                <w:szCs w:val="24"/>
              </w:rPr>
            </w:pPr>
            <w:r>
              <w:rPr>
                <w:rFonts w:ascii="Calibri" w:hAnsi="Calibri"/>
                <w:sz w:val="24"/>
                <w:szCs w:val="24"/>
              </w:rPr>
              <w:t>Redevelopment of existing equestrian centre to form horse stables and livery, indoor arena and external riding area, including the demolition of the existing dilapidated building (pursuant to variation of condition 5 on permission 3/2015/0283) to allow for commercial enterprise use.</w:t>
            </w:r>
          </w:p>
        </w:tc>
      </w:tr>
      <w:tr w:rsidR="002F3ADA" w:rsidRPr="00DD62CA" w14:paraId="5F78EA80" w14:textId="77777777" w:rsidTr="003243B5">
        <w:trPr>
          <w:cantSplit/>
          <w:trHeight w:val="264"/>
        </w:trPr>
        <w:tc>
          <w:tcPr>
            <w:tcW w:w="988" w:type="dxa"/>
          </w:tcPr>
          <w:p w14:paraId="0685B54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288A6EE" w14:textId="1A35CE02" w:rsidR="002F3ADA" w:rsidRPr="00DD62CA" w:rsidRDefault="00CD27D0">
            <w:pPr>
              <w:pStyle w:val="TableText"/>
              <w:rPr>
                <w:rFonts w:ascii="Calibri" w:hAnsi="Calibri"/>
                <w:sz w:val="24"/>
                <w:szCs w:val="24"/>
              </w:rPr>
            </w:pPr>
            <w:r>
              <w:rPr>
                <w:rFonts w:ascii="Calibri" w:hAnsi="Calibri"/>
                <w:sz w:val="24"/>
                <w:szCs w:val="24"/>
              </w:rPr>
              <w:t>Equestrian Centre Higher Trapp House Trapp Lane Simonstone BB12 7QW</w:t>
            </w:r>
          </w:p>
        </w:tc>
      </w:tr>
      <w:tr w:rsidR="002F3ADA" w:rsidRPr="00DD62CA" w14:paraId="3295B099" w14:textId="77777777" w:rsidTr="003243B5">
        <w:trPr>
          <w:cantSplit/>
          <w:trHeight w:val="868"/>
        </w:trPr>
        <w:tc>
          <w:tcPr>
            <w:tcW w:w="10353" w:type="dxa"/>
            <w:gridSpan w:val="3"/>
          </w:tcPr>
          <w:p w14:paraId="3CC91BD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A3F1F05" w14:textId="77777777" w:rsidR="002F3ADA" w:rsidRPr="00DD62CA" w:rsidRDefault="002F3ADA">
            <w:pPr>
              <w:jc w:val="both"/>
              <w:rPr>
                <w:rFonts w:ascii="Calibri" w:hAnsi="Calibri"/>
                <w:sz w:val="24"/>
                <w:szCs w:val="24"/>
              </w:rPr>
            </w:pPr>
          </w:p>
        </w:tc>
      </w:tr>
      <w:tr w:rsidR="000D0C22" w:rsidRPr="00DD62CA" w14:paraId="0A5ECE01" w14:textId="77777777" w:rsidTr="003243B5">
        <w:trPr>
          <w:cantSplit/>
          <w:trHeight w:val="527"/>
        </w:trPr>
        <w:tc>
          <w:tcPr>
            <w:tcW w:w="988" w:type="dxa"/>
          </w:tcPr>
          <w:p w14:paraId="10775B4F" w14:textId="77777777" w:rsidR="000D0C22" w:rsidRPr="000D0C22" w:rsidRDefault="000D0C22">
            <w:pPr>
              <w:pStyle w:val="TableText"/>
              <w:numPr>
                <w:ilvl w:val="0"/>
                <w:numId w:val="3"/>
              </w:numPr>
              <w:rPr>
                <w:rFonts w:asciiTheme="minorHAnsi" w:hAnsiTheme="minorHAnsi" w:cstheme="minorHAnsi"/>
                <w:sz w:val="24"/>
                <w:szCs w:val="24"/>
              </w:rPr>
            </w:pPr>
          </w:p>
        </w:tc>
        <w:tc>
          <w:tcPr>
            <w:tcW w:w="9365" w:type="dxa"/>
            <w:gridSpan w:val="2"/>
          </w:tcPr>
          <w:p w14:paraId="3FC338B2" w14:textId="77777777" w:rsidR="000D0C22" w:rsidRPr="000D0C22" w:rsidRDefault="000D0C22" w:rsidP="000D0C22">
            <w:pPr>
              <w:pStyle w:val="TableText"/>
              <w:rPr>
                <w:rFonts w:asciiTheme="minorHAnsi" w:hAnsiTheme="minorHAnsi" w:cstheme="minorHAnsi"/>
                <w:sz w:val="24"/>
                <w:szCs w:val="24"/>
              </w:rPr>
            </w:pPr>
            <w:r w:rsidRPr="000D0C22">
              <w:rPr>
                <w:rFonts w:asciiTheme="minorHAnsi" w:hAnsiTheme="minorHAnsi" w:cstheme="minorHAnsi"/>
                <w:sz w:val="24"/>
                <w:szCs w:val="24"/>
              </w:rPr>
              <w:t xml:space="preserve">The permission shall relate to the development as shown on Drawing Numbers 1528/02C Rev.C and 1528/12. </w:t>
            </w:r>
          </w:p>
          <w:p w14:paraId="3F62E22D" w14:textId="77777777" w:rsidR="000D0C22" w:rsidRPr="000D0C22" w:rsidRDefault="000D0C22" w:rsidP="000D0C22">
            <w:pPr>
              <w:pStyle w:val="TableText"/>
              <w:rPr>
                <w:rFonts w:asciiTheme="minorHAnsi" w:hAnsiTheme="minorHAnsi" w:cstheme="minorHAnsi"/>
                <w:sz w:val="24"/>
                <w:szCs w:val="24"/>
              </w:rPr>
            </w:pPr>
          </w:p>
          <w:p w14:paraId="4F8BA633" w14:textId="77777777" w:rsidR="000D0C22" w:rsidRPr="000D0C22" w:rsidRDefault="000D0C22" w:rsidP="000D0C22">
            <w:pPr>
              <w:pStyle w:val="TableText"/>
              <w:rPr>
                <w:rFonts w:asciiTheme="minorHAnsi" w:hAnsiTheme="minorHAnsi" w:cstheme="minorHAnsi"/>
                <w:sz w:val="24"/>
                <w:szCs w:val="24"/>
              </w:rPr>
            </w:pPr>
            <w:r w:rsidRPr="000D0C22">
              <w:rPr>
                <w:rFonts w:asciiTheme="minorHAnsi" w:hAnsiTheme="minorHAnsi" w:cstheme="minorHAnsi"/>
                <w:sz w:val="24"/>
                <w:szCs w:val="24"/>
              </w:rPr>
              <w:t>Reason:  For the avoidance of doubt and to ensure that the development is carried out in accordance with the submitted plans.</w:t>
            </w:r>
          </w:p>
          <w:p w14:paraId="4DF6A683" w14:textId="77777777" w:rsidR="000D0C22" w:rsidRPr="000D0C22" w:rsidRDefault="000D0C22">
            <w:pPr>
              <w:pStyle w:val="TableText"/>
              <w:rPr>
                <w:rFonts w:asciiTheme="minorHAnsi" w:hAnsiTheme="minorHAnsi" w:cstheme="minorHAnsi"/>
                <w:sz w:val="24"/>
                <w:szCs w:val="24"/>
              </w:rPr>
            </w:pPr>
          </w:p>
        </w:tc>
      </w:tr>
      <w:tr w:rsidR="002F3ADA" w:rsidRPr="00DD62CA" w14:paraId="12AD93A8" w14:textId="77777777" w:rsidTr="003243B5">
        <w:trPr>
          <w:cantSplit/>
          <w:trHeight w:val="527"/>
        </w:trPr>
        <w:tc>
          <w:tcPr>
            <w:tcW w:w="988" w:type="dxa"/>
          </w:tcPr>
          <w:p w14:paraId="33A4B6BF" w14:textId="77777777" w:rsidR="002F3ADA" w:rsidRPr="000D0C22" w:rsidRDefault="002F3ADA">
            <w:pPr>
              <w:pStyle w:val="TableText"/>
              <w:numPr>
                <w:ilvl w:val="0"/>
                <w:numId w:val="3"/>
              </w:numPr>
              <w:rPr>
                <w:rFonts w:asciiTheme="minorHAnsi" w:hAnsiTheme="minorHAnsi" w:cstheme="minorHAnsi"/>
                <w:sz w:val="24"/>
                <w:szCs w:val="24"/>
              </w:rPr>
            </w:pPr>
          </w:p>
        </w:tc>
        <w:tc>
          <w:tcPr>
            <w:tcW w:w="9365" w:type="dxa"/>
            <w:gridSpan w:val="2"/>
          </w:tcPr>
          <w:p w14:paraId="3752C0C8" w14:textId="222C9E22" w:rsidR="00CD27D0" w:rsidRPr="000D0C22" w:rsidRDefault="00CD27D0">
            <w:pPr>
              <w:pStyle w:val="TableText"/>
              <w:rPr>
                <w:rFonts w:asciiTheme="minorHAnsi" w:hAnsiTheme="minorHAnsi" w:cstheme="minorHAnsi"/>
                <w:sz w:val="24"/>
                <w:szCs w:val="24"/>
              </w:rPr>
            </w:pPr>
            <w:r w:rsidRPr="000D0C22">
              <w:rPr>
                <w:rFonts w:asciiTheme="minorHAnsi" w:hAnsiTheme="minorHAnsi" w:cstheme="minorHAnsi"/>
                <w:sz w:val="24"/>
                <w:szCs w:val="24"/>
              </w:rPr>
              <w:t xml:space="preserve">The stables, indoor arena and outdoor arena </w:t>
            </w:r>
            <w:r w:rsidR="000D0C22" w:rsidRPr="000D0C22">
              <w:rPr>
                <w:rFonts w:asciiTheme="minorHAnsi" w:hAnsiTheme="minorHAnsi" w:cstheme="minorHAnsi"/>
                <w:sz w:val="24"/>
                <w:szCs w:val="24"/>
              </w:rPr>
              <w:t>hereby permitted</w:t>
            </w:r>
            <w:r w:rsidRPr="000D0C22">
              <w:rPr>
                <w:rFonts w:asciiTheme="minorHAnsi" w:hAnsiTheme="minorHAnsi" w:cstheme="minorHAnsi"/>
                <w:sz w:val="24"/>
                <w:szCs w:val="24"/>
              </w:rPr>
              <w:t xml:space="preserve"> shall not be used for the holding of competitions or events.</w:t>
            </w:r>
          </w:p>
          <w:p w14:paraId="19096C8D" w14:textId="77777777" w:rsidR="00CD27D0" w:rsidRPr="000D0C22" w:rsidRDefault="00CD27D0">
            <w:pPr>
              <w:pStyle w:val="TableText"/>
              <w:rPr>
                <w:rFonts w:asciiTheme="minorHAnsi" w:hAnsiTheme="minorHAnsi" w:cstheme="minorHAnsi"/>
                <w:sz w:val="24"/>
                <w:szCs w:val="24"/>
              </w:rPr>
            </w:pPr>
            <w:r w:rsidRPr="000D0C22">
              <w:rPr>
                <w:rFonts w:asciiTheme="minorHAnsi" w:hAnsiTheme="minorHAnsi" w:cstheme="minorHAnsi"/>
                <w:sz w:val="24"/>
                <w:szCs w:val="24"/>
              </w:rPr>
              <w:t xml:space="preserve"> </w:t>
            </w:r>
          </w:p>
          <w:p w14:paraId="43546A0A" w14:textId="266E53A6" w:rsidR="00CD27D0" w:rsidRPr="000D0C22" w:rsidRDefault="00CD27D0">
            <w:pPr>
              <w:pStyle w:val="TableText"/>
              <w:rPr>
                <w:rFonts w:asciiTheme="minorHAnsi" w:hAnsiTheme="minorHAnsi" w:cstheme="minorHAnsi"/>
                <w:sz w:val="24"/>
                <w:szCs w:val="24"/>
              </w:rPr>
            </w:pPr>
            <w:r w:rsidRPr="000D0C22">
              <w:rPr>
                <w:rFonts w:asciiTheme="minorHAnsi" w:hAnsiTheme="minorHAnsi" w:cstheme="minorHAnsi"/>
                <w:sz w:val="24"/>
                <w:szCs w:val="24"/>
              </w:rPr>
              <w:t>Reason: To discourage visitors, spectators and other members of the public from visiting the site in the interests of the amenities and character of the locality the amenities of nearby residents and highway safety</w:t>
            </w:r>
            <w:r w:rsidR="000D0C22" w:rsidRPr="000D0C22">
              <w:rPr>
                <w:rFonts w:asciiTheme="minorHAnsi" w:hAnsiTheme="minorHAnsi" w:cstheme="minorHAnsi"/>
                <w:sz w:val="24"/>
                <w:szCs w:val="24"/>
              </w:rPr>
              <w:t xml:space="preserve"> and to comply with Policies DMG1 and DME2 of the Ribble Valley Core Strategy</w:t>
            </w:r>
            <w:r w:rsidRPr="000D0C22">
              <w:rPr>
                <w:rFonts w:asciiTheme="minorHAnsi" w:hAnsiTheme="minorHAnsi" w:cstheme="minorHAnsi"/>
                <w:sz w:val="24"/>
                <w:szCs w:val="24"/>
              </w:rPr>
              <w:t>.</w:t>
            </w:r>
          </w:p>
          <w:p w14:paraId="51039D12" w14:textId="2C0E8015" w:rsidR="002F3ADA" w:rsidRPr="000D0C22" w:rsidRDefault="002F3ADA">
            <w:pPr>
              <w:pStyle w:val="TableText"/>
              <w:rPr>
                <w:rFonts w:asciiTheme="minorHAnsi" w:hAnsiTheme="minorHAnsi" w:cstheme="minorHAnsi"/>
                <w:sz w:val="24"/>
                <w:szCs w:val="24"/>
              </w:rPr>
            </w:pPr>
          </w:p>
        </w:tc>
      </w:tr>
      <w:tr w:rsidR="000D0C22" w:rsidRPr="00DD62CA" w14:paraId="31F105CD" w14:textId="77777777" w:rsidTr="003243B5">
        <w:trPr>
          <w:cantSplit/>
          <w:trHeight w:val="527"/>
        </w:trPr>
        <w:tc>
          <w:tcPr>
            <w:tcW w:w="988" w:type="dxa"/>
          </w:tcPr>
          <w:p w14:paraId="72D760F7" w14:textId="77777777" w:rsidR="000D0C22" w:rsidRPr="000D0C22" w:rsidRDefault="000D0C22">
            <w:pPr>
              <w:pStyle w:val="TableText"/>
              <w:numPr>
                <w:ilvl w:val="0"/>
                <w:numId w:val="3"/>
              </w:numPr>
              <w:rPr>
                <w:rFonts w:asciiTheme="minorHAnsi" w:hAnsiTheme="minorHAnsi" w:cstheme="minorHAnsi"/>
                <w:sz w:val="24"/>
                <w:szCs w:val="24"/>
              </w:rPr>
            </w:pPr>
          </w:p>
        </w:tc>
        <w:tc>
          <w:tcPr>
            <w:tcW w:w="9365" w:type="dxa"/>
            <w:gridSpan w:val="2"/>
          </w:tcPr>
          <w:p w14:paraId="38954395" w14:textId="64487325" w:rsidR="000D0C22" w:rsidRPr="000D0C22" w:rsidRDefault="000D0C22" w:rsidP="000D0C22">
            <w:pPr>
              <w:pStyle w:val="TableText"/>
              <w:rPr>
                <w:rFonts w:asciiTheme="minorHAnsi" w:hAnsiTheme="minorHAnsi" w:cstheme="minorHAnsi"/>
                <w:sz w:val="24"/>
                <w:szCs w:val="24"/>
              </w:rPr>
            </w:pPr>
            <w:r w:rsidRPr="000D0C22">
              <w:rPr>
                <w:rFonts w:asciiTheme="minorHAnsi" w:hAnsiTheme="minorHAnsi" w:cstheme="minorHAnsi"/>
                <w:sz w:val="24"/>
                <w:szCs w:val="24"/>
              </w:rPr>
              <w:t>The access driveway, parking spaces and associated manoeuvring areas as detailed on Drawing Number 1528/12 shall be retained permanently clear of any obstruction to their designated purpose.</w:t>
            </w:r>
          </w:p>
          <w:p w14:paraId="514E893D" w14:textId="77777777" w:rsidR="000D0C22" w:rsidRPr="000D0C22" w:rsidRDefault="000D0C22" w:rsidP="000D0C22">
            <w:pPr>
              <w:pStyle w:val="TableText"/>
              <w:rPr>
                <w:rFonts w:asciiTheme="minorHAnsi" w:hAnsiTheme="minorHAnsi" w:cstheme="minorHAnsi"/>
                <w:sz w:val="24"/>
                <w:szCs w:val="24"/>
              </w:rPr>
            </w:pPr>
          </w:p>
          <w:p w14:paraId="4CF3C865" w14:textId="1B31DD4A" w:rsidR="000D0C22" w:rsidRPr="000D0C22" w:rsidRDefault="000D0C22" w:rsidP="000D0C22">
            <w:pPr>
              <w:pStyle w:val="TableText"/>
              <w:rPr>
                <w:rFonts w:asciiTheme="minorHAnsi" w:hAnsiTheme="minorHAnsi" w:cstheme="minorHAnsi"/>
                <w:sz w:val="24"/>
                <w:szCs w:val="24"/>
              </w:rPr>
            </w:pPr>
            <w:r w:rsidRPr="000D0C22">
              <w:rPr>
                <w:rFonts w:asciiTheme="minorHAnsi" w:hAnsiTheme="minorHAnsi" w:cstheme="minorHAnsi"/>
                <w:sz w:val="24"/>
                <w:szCs w:val="24"/>
              </w:rPr>
              <w:t>R</w:t>
            </w:r>
            <w:r w:rsidR="000F244A">
              <w:rPr>
                <w:rFonts w:asciiTheme="minorHAnsi" w:hAnsiTheme="minorHAnsi" w:cstheme="minorHAnsi"/>
                <w:sz w:val="24"/>
                <w:szCs w:val="24"/>
              </w:rPr>
              <w:t>eason</w:t>
            </w:r>
            <w:r w:rsidRPr="000D0C22">
              <w:rPr>
                <w:rFonts w:asciiTheme="minorHAnsi" w:hAnsiTheme="minorHAnsi" w:cstheme="minorHAnsi"/>
                <w:sz w:val="24"/>
                <w:szCs w:val="24"/>
              </w:rPr>
              <w:t xml:space="preserve">: In the interests of highway safety and to comply with Policy DMG1 of the Ribble Valley Core Strategy. </w:t>
            </w:r>
          </w:p>
          <w:p w14:paraId="4BAFCA4F" w14:textId="77777777" w:rsidR="000D0C22" w:rsidRPr="000D0C22" w:rsidRDefault="000D0C22">
            <w:pPr>
              <w:pStyle w:val="TableText"/>
              <w:rPr>
                <w:rFonts w:asciiTheme="minorHAnsi" w:hAnsiTheme="minorHAnsi" w:cstheme="minorHAnsi"/>
                <w:sz w:val="24"/>
                <w:szCs w:val="24"/>
              </w:rPr>
            </w:pPr>
          </w:p>
        </w:tc>
      </w:tr>
      <w:tr w:rsidR="00CD27D0" w:rsidRPr="00DD62CA" w14:paraId="648E8D84" w14:textId="77777777" w:rsidTr="003243B5">
        <w:trPr>
          <w:cantSplit/>
          <w:trHeight w:val="527"/>
        </w:trPr>
        <w:tc>
          <w:tcPr>
            <w:tcW w:w="988" w:type="dxa"/>
          </w:tcPr>
          <w:p w14:paraId="495246DF" w14:textId="77777777" w:rsidR="00CD27D0" w:rsidRPr="000D0C22" w:rsidRDefault="00CD27D0">
            <w:pPr>
              <w:pStyle w:val="TableText"/>
              <w:numPr>
                <w:ilvl w:val="0"/>
                <w:numId w:val="3"/>
              </w:numPr>
              <w:rPr>
                <w:rFonts w:asciiTheme="minorHAnsi" w:hAnsiTheme="minorHAnsi" w:cstheme="minorHAnsi"/>
                <w:sz w:val="24"/>
                <w:szCs w:val="24"/>
              </w:rPr>
            </w:pPr>
          </w:p>
        </w:tc>
        <w:tc>
          <w:tcPr>
            <w:tcW w:w="9365" w:type="dxa"/>
            <w:gridSpan w:val="2"/>
          </w:tcPr>
          <w:p w14:paraId="5525ED5D" w14:textId="5E72F770" w:rsidR="00CD27D0" w:rsidRPr="000D0C22" w:rsidRDefault="00CD27D0">
            <w:pPr>
              <w:pStyle w:val="TableText"/>
              <w:rPr>
                <w:rFonts w:asciiTheme="minorHAnsi" w:hAnsiTheme="minorHAnsi" w:cstheme="minorHAnsi"/>
                <w:sz w:val="24"/>
                <w:szCs w:val="24"/>
              </w:rPr>
            </w:pPr>
            <w:r w:rsidRPr="000D0C22">
              <w:rPr>
                <w:rFonts w:asciiTheme="minorHAnsi" w:hAnsiTheme="minorHAnsi" w:cstheme="minorHAnsi"/>
                <w:sz w:val="24"/>
                <w:szCs w:val="24"/>
              </w:rPr>
              <w:t xml:space="preserve">No external lighting shall be installed at any part of the </w:t>
            </w:r>
            <w:r w:rsidR="000D0C22" w:rsidRPr="000D0C22">
              <w:rPr>
                <w:rFonts w:asciiTheme="minorHAnsi" w:hAnsiTheme="minorHAnsi" w:cstheme="minorHAnsi"/>
                <w:sz w:val="24"/>
                <w:szCs w:val="24"/>
              </w:rPr>
              <w:t>devlopment</w:t>
            </w:r>
            <w:r w:rsidRPr="000D0C22">
              <w:rPr>
                <w:rFonts w:asciiTheme="minorHAnsi" w:hAnsiTheme="minorHAnsi" w:cstheme="minorHAnsi"/>
                <w:sz w:val="24"/>
                <w:szCs w:val="24"/>
              </w:rPr>
              <w:t xml:space="preserve"> (ie the outdoor arena, parking areas or access road) unless a further planning permission has first been granted in respect thereof.</w:t>
            </w:r>
          </w:p>
          <w:p w14:paraId="1AE90C23" w14:textId="77777777" w:rsidR="00CD27D0" w:rsidRPr="000D0C22" w:rsidRDefault="00CD27D0">
            <w:pPr>
              <w:pStyle w:val="TableText"/>
              <w:rPr>
                <w:rFonts w:asciiTheme="minorHAnsi" w:hAnsiTheme="minorHAnsi" w:cstheme="minorHAnsi"/>
                <w:sz w:val="24"/>
                <w:szCs w:val="24"/>
              </w:rPr>
            </w:pPr>
          </w:p>
          <w:p w14:paraId="0BB17A52" w14:textId="05C19414" w:rsidR="00CD27D0" w:rsidRPr="000D0C22" w:rsidRDefault="00CD27D0">
            <w:pPr>
              <w:pStyle w:val="TableText"/>
              <w:rPr>
                <w:rFonts w:asciiTheme="minorHAnsi" w:hAnsiTheme="minorHAnsi" w:cstheme="minorHAnsi"/>
                <w:sz w:val="24"/>
                <w:szCs w:val="24"/>
              </w:rPr>
            </w:pPr>
            <w:r w:rsidRPr="000D0C22">
              <w:rPr>
                <w:rFonts w:asciiTheme="minorHAnsi" w:hAnsiTheme="minorHAnsi" w:cstheme="minorHAnsi"/>
                <w:sz w:val="24"/>
                <w:szCs w:val="24"/>
              </w:rPr>
              <w:t>R</w:t>
            </w:r>
            <w:r w:rsidR="000F244A">
              <w:rPr>
                <w:rFonts w:asciiTheme="minorHAnsi" w:hAnsiTheme="minorHAnsi" w:cstheme="minorHAnsi"/>
                <w:sz w:val="24"/>
                <w:szCs w:val="24"/>
              </w:rPr>
              <w:t>eason</w:t>
            </w:r>
            <w:r w:rsidRPr="000D0C22">
              <w:rPr>
                <w:rFonts w:asciiTheme="minorHAnsi" w:hAnsiTheme="minorHAnsi" w:cstheme="minorHAnsi"/>
                <w:sz w:val="24"/>
                <w:szCs w:val="24"/>
              </w:rPr>
              <w:t>: In the interests of general amenities of the locality and the amenities of nearby residents and to comply with Policy DMG1 of the Ribble Valley Core Strategy.</w:t>
            </w:r>
          </w:p>
          <w:p w14:paraId="7475C189" w14:textId="3ECE4ECA" w:rsidR="00CD27D0" w:rsidRPr="000D0C22" w:rsidRDefault="00CD27D0">
            <w:pPr>
              <w:pStyle w:val="TableText"/>
              <w:rPr>
                <w:rFonts w:asciiTheme="minorHAnsi" w:hAnsiTheme="minorHAnsi" w:cstheme="minorHAnsi"/>
                <w:sz w:val="24"/>
                <w:szCs w:val="24"/>
              </w:rPr>
            </w:pPr>
          </w:p>
        </w:tc>
      </w:tr>
    </w:tbl>
    <w:p w14:paraId="28065EE3" w14:textId="77777777" w:rsidR="002F3ADA" w:rsidRPr="00DD62CA" w:rsidRDefault="002F3ADA">
      <w:pPr>
        <w:pStyle w:val="TableText"/>
        <w:rPr>
          <w:rFonts w:ascii="Calibri" w:hAnsi="Calibri"/>
          <w:sz w:val="24"/>
          <w:szCs w:val="24"/>
        </w:rPr>
      </w:pPr>
    </w:p>
    <w:p w14:paraId="1772EF8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F5CB9D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0AD2B2A" w14:textId="77777777" w:rsidTr="003243B5">
        <w:tc>
          <w:tcPr>
            <w:tcW w:w="993" w:type="dxa"/>
          </w:tcPr>
          <w:p w14:paraId="1351F068" w14:textId="77777777" w:rsidR="002F3ADA" w:rsidRPr="00DD62CA" w:rsidRDefault="002F3ADA">
            <w:pPr>
              <w:pStyle w:val="TableText"/>
              <w:numPr>
                <w:ilvl w:val="0"/>
                <w:numId w:val="1"/>
              </w:numPr>
              <w:rPr>
                <w:rFonts w:ascii="Calibri" w:hAnsi="Calibri"/>
                <w:sz w:val="24"/>
                <w:szCs w:val="24"/>
              </w:rPr>
            </w:pPr>
          </w:p>
        </w:tc>
        <w:tc>
          <w:tcPr>
            <w:tcW w:w="9583" w:type="dxa"/>
          </w:tcPr>
          <w:p w14:paraId="498078F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1BD7E1B" w14:textId="77777777" w:rsidTr="003243B5">
        <w:tc>
          <w:tcPr>
            <w:tcW w:w="993" w:type="dxa"/>
          </w:tcPr>
          <w:p w14:paraId="6E5DD421" w14:textId="77777777" w:rsidR="002F3ADA" w:rsidRPr="00DD62CA" w:rsidRDefault="002F3ADA">
            <w:pPr>
              <w:pStyle w:val="TableText"/>
              <w:numPr>
                <w:ilvl w:val="0"/>
                <w:numId w:val="1"/>
              </w:numPr>
              <w:rPr>
                <w:rFonts w:ascii="Calibri" w:hAnsi="Calibri"/>
                <w:sz w:val="24"/>
                <w:szCs w:val="24"/>
              </w:rPr>
            </w:pPr>
          </w:p>
        </w:tc>
        <w:tc>
          <w:tcPr>
            <w:tcW w:w="9583" w:type="dxa"/>
          </w:tcPr>
          <w:p w14:paraId="209FE91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DA6CA22" w14:textId="77777777" w:rsidTr="003243B5">
        <w:tc>
          <w:tcPr>
            <w:tcW w:w="993" w:type="dxa"/>
          </w:tcPr>
          <w:p w14:paraId="4D9BA37B" w14:textId="77777777" w:rsidR="0070149C" w:rsidRPr="00DD62CA" w:rsidRDefault="0070149C">
            <w:pPr>
              <w:pStyle w:val="TableText"/>
              <w:numPr>
                <w:ilvl w:val="0"/>
                <w:numId w:val="1"/>
              </w:numPr>
              <w:rPr>
                <w:rFonts w:ascii="Calibri" w:hAnsi="Calibri"/>
                <w:sz w:val="24"/>
                <w:szCs w:val="24"/>
              </w:rPr>
            </w:pPr>
          </w:p>
        </w:tc>
        <w:tc>
          <w:tcPr>
            <w:tcW w:w="9583" w:type="dxa"/>
          </w:tcPr>
          <w:p w14:paraId="66DB7F1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5D148E3" w14:textId="77777777" w:rsidTr="003243B5">
        <w:tc>
          <w:tcPr>
            <w:tcW w:w="993" w:type="dxa"/>
          </w:tcPr>
          <w:p w14:paraId="52A51FBD" w14:textId="77777777" w:rsidR="00B91966" w:rsidRPr="00DD62CA" w:rsidRDefault="00B91966" w:rsidP="00393B83">
            <w:pPr>
              <w:pStyle w:val="TableText"/>
              <w:ind w:left="720"/>
              <w:rPr>
                <w:rFonts w:ascii="Calibri" w:hAnsi="Calibri"/>
                <w:sz w:val="24"/>
                <w:szCs w:val="24"/>
              </w:rPr>
            </w:pPr>
          </w:p>
        </w:tc>
        <w:tc>
          <w:tcPr>
            <w:tcW w:w="9583" w:type="dxa"/>
          </w:tcPr>
          <w:p w14:paraId="0BB3B6AC" w14:textId="0F6DEBD6" w:rsidR="00393B83" w:rsidRDefault="00393B83" w:rsidP="00393B83">
            <w:pPr>
              <w:pStyle w:val="TableText"/>
              <w:rPr>
                <w:rFonts w:ascii="Calibri" w:hAnsi="Calibri"/>
                <w:sz w:val="24"/>
                <w:szCs w:val="24"/>
              </w:rPr>
            </w:pPr>
            <w:r>
              <w:rPr>
                <w:rFonts w:ascii="Calibri" w:hAnsi="Calibri"/>
                <w:sz w:val="24"/>
                <w:szCs w:val="24"/>
              </w:rPr>
              <w:t>Informatives</w:t>
            </w:r>
          </w:p>
          <w:p w14:paraId="57C17135" w14:textId="77777777" w:rsidR="00393B83" w:rsidRDefault="00393B83" w:rsidP="00393B83">
            <w:pPr>
              <w:pStyle w:val="TableText"/>
              <w:rPr>
                <w:rFonts w:ascii="Calibri" w:hAnsi="Calibri"/>
                <w:sz w:val="24"/>
                <w:szCs w:val="24"/>
              </w:rPr>
            </w:pPr>
          </w:p>
          <w:p w14:paraId="0D4E6E01" w14:textId="0873A65A" w:rsidR="00393B83" w:rsidRDefault="00393B83" w:rsidP="00393B83">
            <w:pPr>
              <w:pStyle w:val="TableText"/>
              <w:rPr>
                <w:rFonts w:ascii="Calibri" w:hAnsi="Calibri"/>
                <w:sz w:val="24"/>
                <w:szCs w:val="24"/>
              </w:rPr>
            </w:pPr>
            <w:r>
              <w:rPr>
                <w:rFonts w:ascii="Calibri" w:hAnsi="Calibri"/>
                <w:sz w:val="24"/>
                <w:szCs w:val="24"/>
              </w:rPr>
              <w:t xml:space="preserve">1 The proposed development must fully comply with the terms of The Water Resources (Control of Pollution) (Silage, Slurry and Agricultural Fuel Oil) (England) Regulations 2010 and The Code of Good Agricultural Practice (COGAP) for the protection of water, soil and air (produced by DEFRA). </w:t>
            </w:r>
          </w:p>
          <w:p w14:paraId="14DEC341" w14:textId="77777777" w:rsidR="00393B83" w:rsidRDefault="00393B83" w:rsidP="00393B83">
            <w:pPr>
              <w:pStyle w:val="TableText"/>
              <w:rPr>
                <w:rFonts w:ascii="Calibri" w:hAnsi="Calibri"/>
                <w:sz w:val="24"/>
                <w:szCs w:val="24"/>
              </w:rPr>
            </w:pPr>
          </w:p>
          <w:p w14:paraId="40F55281" w14:textId="77777777" w:rsidR="00393B83" w:rsidRDefault="00393B83" w:rsidP="00393B83">
            <w:pPr>
              <w:pStyle w:val="TableText"/>
              <w:rPr>
                <w:rFonts w:ascii="Calibri" w:hAnsi="Calibri"/>
                <w:sz w:val="24"/>
                <w:szCs w:val="24"/>
              </w:rPr>
            </w:pPr>
            <w:r>
              <w:rPr>
                <w:rFonts w:ascii="Calibri" w:hAnsi="Calibri"/>
                <w:sz w:val="24"/>
                <w:szCs w:val="24"/>
              </w:rPr>
              <w:t xml:space="preserve">Manure should be managed in accordance with The Code of Good Agricultural Practice (COGAP) for the protection of water, soil and air (produced by DEFRA). Permanent stores for solid horse manure should have bases that do not let liquids pass through and the bases should slope such that liquid run-off is contained within the store. Applicants should consider providing a roof to keep rainfall off the manure to minimise the volume of liquids produced and reduce odour by keeping the manure as dry as possible. </w:t>
            </w:r>
          </w:p>
          <w:p w14:paraId="1E6AFA0E" w14:textId="77777777" w:rsidR="00393B83" w:rsidRDefault="00393B83" w:rsidP="00393B83">
            <w:pPr>
              <w:pStyle w:val="TableText"/>
              <w:rPr>
                <w:rFonts w:ascii="Calibri" w:hAnsi="Calibri"/>
                <w:sz w:val="24"/>
                <w:szCs w:val="24"/>
              </w:rPr>
            </w:pPr>
          </w:p>
          <w:p w14:paraId="0907A0BD" w14:textId="5DCF254A" w:rsidR="00393B83" w:rsidRDefault="00393B83" w:rsidP="00393B83">
            <w:pPr>
              <w:pStyle w:val="TableText"/>
              <w:rPr>
                <w:rFonts w:ascii="Calibri" w:hAnsi="Calibri"/>
                <w:sz w:val="24"/>
                <w:szCs w:val="24"/>
              </w:rPr>
            </w:pPr>
            <w:r>
              <w:rPr>
                <w:rFonts w:ascii="Calibri" w:hAnsi="Calibri"/>
                <w:sz w:val="24"/>
                <w:szCs w:val="24"/>
              </w:rPr>
              <w:t>2 Only clean surface water from roofs and paved areas should be discharged to any surface water soakaway.</w:t>
            </w:r>
          </w:p>
          <w:p w14:paraId="364F4FC1" w14:textId="77777777" w:rsidR="00393B83" w:rsidRDefault="00393B83" w:rsidP="00393B83">
            <w:pPr>
              <w:pStyle w:val="TableText"/>
              <w:rPr>
                <w:rFonts w:ascii="Calibri" w:hAnsi="Calibri"/>
                <w:sz w:val="24"/>
                <w:szCs w:val="24"/>
              </w:rPr>
            </w:pPr>
          </w:p>
          <w:p w14:paraId="23BF8801" w14:textId="37665566" w:rsidR="00B91966" w:rsidRPr="00DD62CA" w:rsidRDefault="00393B83">
            <w:pPr>
              <w:pStyle w:val="TableText"/>
              <w:rPr>
                <w:rFonts w:ascii="Calibri" w:hAnsi="Calibri"/>
                <w:sz w:val="24"/>
                <w:szCs w:val="24"/>
              </w:rPr>
            </w:pPr>
            <w:r>
              <w:rPr>
                <w:rFonts w:ascii="Calibri" w:hAnsi="Calibri"/>
                <w:sz w:val="24"/>
                <w:szCs w:val="24"/>
              </w:rPr>
              <w:t>3 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 .</w:t>
            </w:r>
          </w:p>
        </w:tc>
      </w:tr>
    </w:tbl>
    <w:p w14:paraId="48E5DA9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91E5E54" w14:textId="77777777" w:rsidTr="002C337D">
        <w:trPr>
          <w:cantSplit/>
        </w:trPr>
        <w:tc>
          <w:tcPr>
            <w:tcW w:w="10403" w:type="dxa"/>
          </w:tcPr>
          <w:p w14:paraId="3500DB68"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5571EDA" w14:textId="77777777" w:rsidR="00393B83" w:rsidRDefault="00393B83" w:rsidP="00D320A7">
            <w:pPr>
              <w:jc w:val="both"/>
              <w:rPr>
                <w:rFonts w:ascii="Arial" w:hAnsi="Arial" w:cs="Arial"/>
                <w:b/>
                <w:bCs/>
              </w:rPr>
            </w:pPr>
          </w:p>
          <w:p w14:paraId="7CEDEFDB" w14:textId="6BE6EE76" w:rsidR="00D320A7" w:rsidRPr="00D156D9" w:rsidRDefault="00D320A7" w:rsidP="00D320A7">
            <w:pPr>
              <w:jc w:val="both"/>
              <w:rPr>
                <w:rFonts w:ascii="Arial" w:hAnsi="Arial" w:cs="Arial"/>
                <w:b/>
                <w:bCs/>
              </w:rPr>
            </w:pPr>
            <w:r w:rsidRPr="00D156D9">
              <w:rPr>
                <w:rFonts w:ascii="Arial" w:hAnsi="Arial" w:cs="Arial"/>
                <w:b/>
                <w:bCs/>
              </w:rPr>
              <w:t>NICOLA HOPKINS</w:t>
            </w:r>
          </w:p>
          <w:p w14:paraId="4F17A4E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D1594A1" w14:textId="77777777" w:rsidR="0081123F" w:rsidRDefault="0081123F" w:rsidP="0081123F">
      <w:pPr>
        <w:pStyle w:val="TableText"/>
      </w:pPr>
    </w:p>
    <w:p w14:paraId="3FF3D5B5" w14:textId="77777777" w:rsidR="00310FDD" w:rsidRDefault="00310FDD" w:rsidP="00310FDD">
      <w:pPr>
        <w:pStyle w:val="TableText"/>
        <w:rPr>
          <w:rFonts w:ascii="Calibri" w:hAnsi="Calibri" w:cs="Calibri"/>
        </w:rPr>
      </w:pPr>
    </w:p>
    <w:p w14:paraId="0A38EE97"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4525BC65" w14:textId="77777777" w:rsidR="00310FDD" w:rsidRPr="00310FDD" w:rsidRDefault="00310FDD" w:rsidP="00310FDD">
      <w:pPr>
        <w:pStyle w:val="TableText"/>
        <w:rPr>
          <w:rFonts w:ascii="Calibri" w:hAnsi="Calibri" w:cs="Calibri"/>
        </w:rPr>
      </w:pPr>
    </w:p>
    <w:p w14:paraId="53B9489B"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6233AF4" w14:textId="77777777" w:rsidR="00811162" w:rsidRDefault="00811162" w:rsidP="00811162">
      <w:pPr>
        <w:rPr>
          <w:rFonts w:ascii="Calibri" w:hAnsi="Calibri" w:cs="Calibri"/>
          <w:b/>
          <w:bCs/>
          <w:szCs w:val="22"/>
        </w:rPr>
      </w:pPr>
    </w:p>
    <w:p w14:paraId="1099518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4DA3675"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268151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DFE3DD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D965DAE" w14:textId="77777777" w:rsidR="00811162" w:rsidRDefault="00811162" w:rsidP="00811162">
      <w:pPr>
        <w:rPr>
          <w:rFonts w:ascii="Calibri" w:hAnsi="Calibri" w:cs="Calibri"/>
          <w:szCs w:val="22"/>
        </w:rPr>
      </w:pPr>
    </w:p>
    <w:p w14:paraId="3C94C57C"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26907D4" w14:textId="77777777" w:rsidR="00811162" w:rsidRDefault="00811162" w:rsidP="00811162">
      <w:pPr>
        <w:rPr>
          <w:rFonts w:ascii="Calibri" w:hAnsi="Calibri" w:cs="Calibri"/>
          <w:szCs w:val="22"/>
        </w:rPr>
      </w:pPr>
    </w:p>
    <w:p w14:paraId="025E2B6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1B4E58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3D5C888" w14:textId="77777777" w:rsidR="00310FDD" w:rsidRPr="00310FDD" w:rsidRDefault="00310FDD" w:rsidP="00310FDD">
      <w:pPr>
        <w:pStyle w:val="TableText"/>
        <w:rPr>
          <w:rFonts w:ascii="Calibri" w:hAnsi="Calibri" w:cs="Calibri"/>
        </w:rPr>
      </w:pPr>
    </w:p>
    <w:p w14:paraId="7B7AD036" w14:textId="77777777" w:rsidR="00310FDD" w:rsidRPr="00310FDD" w:rsidRDefault="00310FDD" w:rsidP="00310FDD">
      <w:pPr>
        <w:pStyle w:val="TableText"/>
        <w:rPr>
          <w:rFonts w:ascii="Calibri" w:hAnsi="Calibri" w:cs="Calibri"/>
        </w:rPr>
      </w:pPr>
    </w:p>
    <w:p w14:paraId="31929A6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AC22B" w14:textId="77777777" w:rsidR="00CD27D0" w:rsidRDefault="00CD27D0">
      <w:r>
        <w:separator/>
      </w:r>
    </w:p>
  </w:endnote>
  <w:endnote w:type="continuationSeparator" w:id="0">
    <w:p w14:paraId="3BCBD666" w14:textId="77777777" w:rsidR="00CD27D0" w:rsidRDefault="00CD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0D6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A6C1C" w14:textId="77777777" w:rsidR="00CD27D0" w:rsidRDefault="00CD27D0">
      <w:r>
        <w:separator/>
      </w:r>
    </w:p>
  </w:footnote>
  <w:footnote w:type="continuationSeparator" w:id="0">
    <w:p w14:paraId="3CE07E68" w14:textId="77777777" w:rsidR="00CD27D0" w:rsidRDefault="00CD2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EEE9" w14:textId="77777777" w:rsidR="002F3ADA" w:rsidRPr="0089171B" w:rsidRDefault="002F3ADA">
    <w:pPr>
      <w:rPr>
        <w:rFonts w:ascii="Calibri" w:hAnsi="Calibri" w:cs="Calibri"/>
      </w:rPr>
    </w:pPr>
    <w:r w:rsidRPr="0089171B">
      <w:rPr>
        <w:rFonts w:ascii="Calibri" w:hAnsi="Calibri" w:cs="Calibri"/>
      </w:rPr>
      <w:t>RIBBLE VALLEY BOROUGH COUNCIL</w:t>
    </w:r>
  </w:p>
  <w:p w14:paraId="1AC944C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65F4701" w14:textId="77777777" w:rsidR="002F3ADA" w:rsidRPr="0089171B" w:rsidRDefault="002F3ADA">
    <w:pPr>
      <w:pStyle w:val="addresses"/>
      <w:rPr>
        <w:rFonts w:ascii="Calibri" w:hAnsi="Calibri" w:cs="Calibri"/>
      </w:rPr>
    </w:pPr>
  </w:p>
  <w:p w14:paraId="0033AF42" w14:textId="6D9DEBFB" w:rsidR="002F3ADA" w:rsidRPr="0089171B" w:rsidRDefault="002F3ADA">
    <w:pPr>
      <w:rPr>
        <w:rFonts w:ascii="Calibri" w:hAnsi="Calibri" w:cs="Calibri"/>
        <w:b/>
        <w:bCs/>
      </w:rPr>
    </w:pPr>
    <w:r w:rsidRPr="0089171B">
      <w:rPr>
        <w:rFonts w:ascii="Calibri" w:hAnsi="Calibri" w:cs="Calibri"/>
        <w:b/>
        <w:bCs/>
      </w:rPr>
      <w:t xml:space="preserve">APPLICATION NO.  </w:t>
    </w:r>
    <w:r w:rsidR="00CD27D0">
      <w:rPr>
        <w:rFonts w:ascii="Calibri" w:hAnsi="Calibri" w:cs="Calibri"/>
        <w:b/>
        <w:bCs/>
      </w:rPr>
      <w:t>3/2023/0353</w:t>
    </w:r>
    <w:r w:rsidRPr="0089171B">
      <w:rPr>
        <w:rFonts w:ascii="Calibri" w:hAnsi="Calibri" w:cs="Calibri"/>
        <w:b/>
        <w:bCs/>
      </w:rPr>
      <w:t xml:space="preserve">                                DECISION DATE: </w:t>
    </w:r>
    <w:r w:rsidR="00690161">
      <w:rPr>
        <w:rFonts w:ascii="Calibri" w:hAnsi="Calibri" w:cs="Calibri"/>
        <w:b/>
        <w:bCs/>
      </w:rPr>
      <w:t xml:space="preserve"> </w:t>
    </w:r>
    <w:r w:rsidR="00393B83">
      <w:rPr>
        <w:rFonts w:ascii="Calibri" w:hAnsi="Calibri" w:cs="Calibri"/>
        <w:b/>
        <w:bCs/>
      </w:rPr>
      <w:t>11</w:t>
    </w:r>
    <w:r w:rsidR="00CD27D0">
      <w:rPr>
        <w:rFonts w:ascii="Calibri" w:hAnsi="Calibri" w:cs="Calibri"/>
        <w:b/>
        <w:bCs/>
      </w:rPr>
      <w:t xml:space="preserve"> August 2023</w:t>
    </w:r>
  </w:p>
  <w:p w14:paraId="59D72BCD" w14:textId="77777777" w:rsidR="002F3ADA" w:rsidRDefault="002F3ADA">
    <w:pPr>
      <w:pBdr>
        <w:bottom w:val="single" w:sz="4" w:space="1" w:color="auto"/>
      </w:pBdr>
    </w:pPr>
  </w:p>
  <w:p w14:paraId="2EB8337D"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2936014">
    <w:abstractNumId w:val="3"/>
  </w:num>
  <w:num w:numId="2" w16cid:durableId="1177187780">
    <w:abstractNumId w:val="2"/>
  </w:num>
  <w:num w:numId="3" w16cid:durableId="670253483">
    <w:abstractNumId w:val="0"/>
  </w:num>
  <w:num w:numId="4" w16cid:durableId="187815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7D0"/>
    <w:rsid w:val="000A2F81"/>
    <w:rsid w:val="000D0C22"/>
    <w:rsid w:val="000F244A"/>
    <w:rsid w:val="00111C12"/>
    <w:rsid w:val="001602C7"/>
    <w:rsid w:val="001613C3"/>
    <w:rsid w:val="00172E52"/>
    <w:rsid w:val="0026438E"/>
    <w:rsid w:val="002860D9"/>
    <w:rsid w:val="002C337D"/>
    <w:rsid w:val="002D5D44"/>
    <w:rsid w:val="002F3ADA"/>
    <w:rsid w:val="00310FDD"/>
    <w:rsid w:val="003243B5"/>
    <w:rsid w:val="00335DB8"/>
    <w:rsid w:val="00353EFF"/>
    <w:rsid w:val="00393B83"/>
    <w:rsid w:val="00441F1F"/>
    <w:rsid w:val="00443FA4"/>
    <w:rsid w:val="00466193"/>
    <w:rsid w:val="004B764D"/>
    <w:rsid w:val="00521961"/>
    <w:rsid w:val="005A57D0"/>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D27D0"/>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24110"/>
  <w15:chartTrackingRefBased/>
  <w15:docId w15:val="{9B56F5DB-36DA-4554-AF2B-EF3F871E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CD2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45244">
      <w:bodyDiv w:val="1"/>
      <w:marLeft w:val="0"/>
      <w:marRight w:val="0"/>
      <w:marTop w:val="0"/>
      <w:marBottom w:val="0"/>
      <w:divBdr>
        <w:top w:val="none" w:sz="0" w:space="0" w:color="auto"/>
        <w:left w:val="none" w:sz="0" w:space="0" w:color="auto"/>
        <w:bottom w:val="none" w:sz="0" w:space="0" w:color="auto"/>
        <w:right w:val="none" w:sz="0" w:space="0" w:color="auto"/>
      </w:divBdr>
    </w:div>
    <w:div w:id="896402443">
      <w:bodyDiv w:val="1"/>
      <w:marLeft w:val="0"/>
      <w:marRight w:val="0"/>
      <w:marTop w:val="0"/>
      <w:marBottom w:val="0"/>
      <w:divBdr>
        <w:top w:val="none" w:sz="0" w:space="0" w:color="auto"/>
        <w:left w:val="none" w:sz="0" w:space="0" w:color="auto"/>
        <w:bottom w:val="none" w:sz="0" w:space="0" w:color="auto"/>
        <w:right w:val="none" w:sz="0" w:space="0" w:color="auto"/>
      </w:divBdr>
    </w:div>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1245</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8001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Jane Tucker</cp:lastModifiedBy>
  <cp:revision>2</cp:revision>
  <cp:lastPrinted>2021-08-06T09:17:00Z</cp:lastPrinted>
  <dcterms:created xsi:type="dcterms:W3CDTF">2023-08-11T12:32:00Z</dcterms:created>
  <dcterms:modified xsi:type="dcterms:W3CDTF">2023-08-11T12:32:00Z</dcterms:modified>
</cp:coreProperties>
</file>