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1637"/>
        <w:gridCol w:w="36"/>
        <w:gridCol w:w="658"/>
        <w:gridCol w:w="2744"/>
        <w:gridCol w:w="3634"/>
      </w:tblGrid>
      <w:tr w:rsidR="004A5EA9" w:rsidRPr="00D2449B" w14:paraId="2094A164" w14:textId="77777777" w:rsidTr="00D7793B">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73"/>
              <w:gridCol w:w="900"/>
              <w:gridCol w:w="889"/>
              <w:gridCol w:w="1009"/>
              <w:gridCol w:w="1178"/>
              <w:gridCol w:w="1098"/>
              <w:gridCol w:w="738"/>
              <w:gridCol w:w="908"/>
              <w:gridCol w:w="1152"/>
            </w:tblGrid>
            <w:tr w:rsidR="00D7793B" w:rsidRPr="008C75E4" w14:paraId="0B81EEDC" w14:textId="77777777" w:rsidTr="00987540">
              <w:trPr>
                <w:jc w:val="center"/>
              </w:trPr>
              <w:tc>
                <w:tcPr>
                  <w:tcW w:w="9923" w:type="dxa"/>
                  <w:gridSpan w:val="9"/>
                  <w:tcMar>
                    <w:top w:w="57" w:type="dxa"/>
                    <w:bottom w:w="57" w:type="dxa"/>
                  </w:tcMar>
                </w:tcPr>
                <w:p w14:paraId="2A3D44B7" w14:textId="77777777" w:rsidR="00D7793B" w:rsidRPr="008C75E4" w:rsidRDefault="00D7793B" w:rsidP="00D7793B">
                  <w:pPr>
                    <w:jc w:val="center"/>
                    <w:rPr>
                      <w:rFonts w:ascii="Calibri" w:hAnsi="Calibri"/>
                      <w:b/>
                      <w:szCs w:val="22"/>
                    </w:rPr>
                  </w:pPr>
                  <w:r w:rsidRPr="008C75E4">
                    <w:rPr>
                      <w:rFonts w:ascii="Calibri" w:hAnsi="Calibri"/>
                      <w:b/>
                      <w:szCs w:val="22"/>
                    </w:rPr>
                    <w:t>Report to be read in conjunction with the Decision Notice.</w:t>
                  </w:r>
                </w:p>
              </w:tc>
            </w:tr>
            <w:tr w:rsidR="00D7793B" w:rsidRPr="008C75E4" w14:paraId="30316091" w14:textId="77777777" w:rsidTr="00987540">
              <w:trPr>
                <w:trHeight w:val="251"/>
                <w:jc w:val="center"/>
              </w:trPr>
              <w:tc>
                <w:tcPr>
                  <w:tcW w:w="1296" w:type="dxa"/>
                  <w:tcMar>
                    <w:top w:w="57" w:type="dxa"/>
                    <w:bottom w:w="57" w:type="dxa"/>
                  </w:tcMar>
                </w:tcPr>
                <w:p w14:paraId="12B52140" w14:textId="77777777" w:rsidR="00D7793B" w:rsidRDefault="00D7793B" w:rsidP="00D7793B">
                  <w:pPr>
                    <w:jc w:val="center"/>
                    <w:rPr>
                      <w:rFonts w:ascii="Calibri" w:hAnsi="Calibri"/>
                      <w:b/>
                      <w:szCs w:val="22"/>
                    </w:rPr>
                  </w:pPr>
                  <w:r w:rsidRPr="008C75E4">
                    <w:rPr>
                      <w:rFonts w:ascii="Calibri" w:hAnsi="Calibri"/>
                      <w:b/>
                      <w:szCs w:val="22"/>
                    </w:rPr>
                    <w:t>Signed:</w:t>
                  </w:r>
                </w:p>
                <w:p w14:paraId="49C957FC" w14:textId="77777777" w:rsidR="00D7793B" w:rsidRPr="008C75E4" w:rsidRDefault="00D7793B" w:rsidP="00D7793B">
                  <w:pPr>
                    <w:jc w:val="center"/>
                    <w:rPr>
                      <w:rFonts w:ascii="Calibri" w:hAnsi="Calibri"/>
                      <w:b/>
                      <w:szCs w:val="22"/>
                    </w:rPr>
                  </w:pPr>
                </w:p>
              </w:tc>
              <w:tc>
                <w:tcPr>
                  <w:tcW w:w="900" w:type="dxa"/>
                </w:tcPr>
                <w:p w14:paraId="4C41402E" w14:textId="77777777" w:rsidR="00D7793B" w:rsidRPr="008C75E4" w:rsidRDefault="00D7793B" w:rsidP="00D7793B">
                  <w:pPr>
                    <w:jc w:val="center"/>
                    <w:rPr>
                      <w:rFonts w:ascii="Calibri" w:hAnsi="Calibri"/>
                      <w:b/>
                      <w:szCs w:val="22"/>
                    </w:rPr>
                  </w:pPr>
                  <w:r w:rsidRPr="008C75E4">
                    <w:rPr>
                      <w:rFonts w:ascii="Calibri" w:hAnsi="Calibri"/>
                      <w:b/>
                      <w:szCs w:val="22"/>
                    </w:rPr>
                    <w:t>Officer:</w:t>
                  </w:r>
                </w:p>
              </w:tc>
              <w:tc>
                <w:tcPr>
                  <w:tcW w:w="1080" w:type="dxa"/>
                </w:tcPr>
                <w:p w14:paraId="7E47F22F" w14:textId="77777777" w:rsidR="00D7793B" w:rsidRPr="004D33C8" w:rsidRDefault="00D7793B" w:rsidP="00D7793B">
                  <w:pPr>
                    <w:jc w:val="center"/>
                    <w:rPr>
                      <w:rFonts w:ascii="Calibri" w:hAnsi="Calibri"/>
                      <w:szCs w:val="22"/>
                    </w:rPr>
                  </w:pPr>
                  <w:r w:rsidRPr="004D33C8">
                    <w:rPr>
                      <w:rFonts w:ascii="Calibri" w:hAnsi="Calibri"/>
                      <w:szCs w:val="22"/>
                    </w:rPr>
                    <w:t>BT</w:t>
                  </w:r>
                </w:p>
              </w:tc>
              <w:tc>
                <w:tcPr>
                  <w:tcW w:w="1136" w:type="dxa"/>
                </w:tcPr>
                <w:p w14:paraId="2922EE3C"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278" w:type="dxa"/>
                </w:tcPr>
                <w:p w14:paraId="3C1A42B2" w14:textId="57964AAB" w:rsidR="00D7793B" w:rsidRPr="004D33C8" w:rsidRDefault="00D7793B" w:rsidP="00D7793B">
                  <w:pPr>
                    <w:jc w:val="center"/>
                    <w:rPr>
                      <w:rFonts w:ascii="Calibri" w:hAnsi="Calibri"/>
                      <w:szCs w:val="22"/>
                    </w:rPr>
                  </w:pPr>
                  <w:r>
                    <w:rPr>
                      <w:rFonts w:ascii="Calibri" w:hAnsi="Calibri"/>
                      <w:szCs w:val="22"/>
                    </w:rPr>
                    <w:t>28/7/23</w:t>
                  </w:r>
                </w:p>
              </w:tc>
              <w:tc>
                <w:tcPr>
                  <w:tcW w:w="1098" w:type="dxa"/>
                </w:tcPr>
                <w:p w14:paraId="567D8AC4" w14:textId="77777777" w:rsidR="00D7793B" w:rsidRPr="008C75E4" w:rsidRDefault="00D7793B" w:rsidP="00D7793B">
                  <w:pPr>
                    <w:jc w:val="center"/>
                    <w:rPr>
                      <w:rFonts w:ascii="Calibri" w:hAnsi="Calibri"/>
                      <w:b/>
                      <w:szCs w:val="22"/>
                    </w:rPr>
                  </w:pPr>
                  <w:r w:rsidRPr="008C75E4">
                    <w:rPr>
                      <w:rFonts w:ascii="Calibri" w:hAnsi="Calibri"/>
                      <w:b/>
                      <w:szCs w:val="22"/>
                    </w:rPr>
                    <w:t>Manager:</w:t>
                  </w:r>
                </w:p>
              </w:tc>
              <w:tc>
                <w:tcPr>
                  <w:tcW w:w="862" w:type="dxa"/>
                </w:tcPr>
                <w:p w14:paraId="294174D2" w14:textId="21307699" w:rsidR="00D7793B" w:rsidRPr="008C75E4" w:rsidRDefault="00D7793B" w:rsidP="00D7793B">
                  <w:pPr>
                    <w:jc w:val="center"/>
                    <w:rPr>
                      <w:rFonts w:ascii="Calibri" w:hAnsi="Calibri"/>
                      <w:b/>
                      <w:szCs w:val="22"/>
                    </w:rPr>
                  </w:pPr>
                  <w:r>
                    <w:rPr>
                      <w:rFonts w:ascii="Calibri" w:hAnsi="Calibri"/>
                      <w:b/>
                      <w:szCs w:val="22"/>
                    </w:rPr>
                    <w:t>LH</w:t>
                  </w:r>
                </w:p>
              </w:tc>
              <w:tc>
                <w:tcPr>
                  <w:tcW w:w="992" w:type="dxa"/>
                </w:tcPr>
                <w:p w14:paraId="4F2B5A2E"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281" w:type="dxa"/>
                </w:tcPr>
                <w:p w14:paraId="4D2F71E6" w14:textId="605CA848" w:rsidR="00D7793B" w:rsidRPr="008C75E4" w:rsidRDefault="00D7793B" w:rsidP="00D7793B">
                  <w:pPr>
                    <w:rPr>
                      <w:rFonts w:ascii="Calibri" w:hAnsi="Calibri"/>
                      <w:b/>
                      <w:szCs w:val="22"/>
                    </w:rPr>
                  </w:pPr>
                  <w:r>
                    <w:rPr>
                      <w:rFonts w:ascii="Calibri" w:hAnsi="Calibri"/>
                      <w:b/>
                      <w:szCs w:val="22"/>
                    </w:rPr>
                    <w:t>3/8/23</w:t>
                  </w:r>
                </w:p>
              </w:tc>
            </w:tr>
            <w:tr w:rsidR="00D7793B" w:rsidRPr="008C75E4" w14:paraId="039D3A02" w14:textId="77777777" w:rsidTr="00987540">
              <w:trPr>
                <w:jc w:val="center"/>
              </w:trPr>
              <w:tc>
                <w:tcPr>
                  <w:tcW w:w="9923" w:type="dxa"/>
                  <w:gridSpan w:val="9"/>
                  <w:tcBorders>
                    <w:left w:val="nil"/>
                    <w:right w:val="nil"/>
                  </w:tcBorders>
                  <w:tcMar>
                    <w:top w:w="57" w:type="dxa"/>
                    <w:bottom w:w="57" w:type="dxa"/>
                  </w:tcMar>
                </w:tcPr>
                <w:p w14:paraId="7152769C" w14:textId="77777777" w:rsidR="00D7793B" w:rsidRPr="008C75E4" w:rsidRDefault="00D7793B" w:rsidP="00D7793B">
                  <w:pPr>
                    <w:jc w:val="center"/>
                    <w:rPr>
                      <w:rFonts w:ascii="Calibri" w:hAnsi="Calibri"/>
                      <w:b/>
                      <w:szCs w:val="22"/>
                    </w:rPr>
                  </w:pPr>
                </w:p>
              </w:tc>
            </w:tr>
          </w:tbl>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7793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C14CA2" w:rsidR="004A5EA9" w:rsidRPr="006C4E21" w:rsidRDefault="006C4E21" w:rsidP="008542DE">
            <w:pPr>
              <w:rPr>
                <w:rFonts w:ascii="Calibri" w:hAnsi="Calibri"/>
                <w:szCs w:val="22"/>
              </w:rPr>
            </w:pPr>
            <w:r w:rsidRPr="006C4E21">
              <w:rPr>
                <w:rFonts w:ascii="Calibri" w:hAnsi="Calibri"/>
                <w:szCs w:val="22"/>
              </w:rPr>
              <w:t>3/202</w:t>
            </w:r>
            <w:r w:rsidR="00686398">
              <w:rPr>
                <w:rFonts w:ascii="Calibri" w:hAnsi="Calibri"/>
                <w:szCs w:val="22"/>
              </w:rPr>
              <w:t>3/0453</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7793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F25348" w:rsidR="004A5EA9" w:rsidRPr="006C4E21" w:rsidRDefault="00686398" w:rsidP="002C6277">
            <w:pPr>
              <w:rPr>
                <w:rFonts w:ascii="Calibri" w:hAnsi="Calibri"/>
                <w:szCs w:val="22"/>
              </w:rPr>
            </w:pPr>
            <w:r>
              <w:rPr>
                <w:rFonts w:ascii="Calibri" w:hAnsi="Calibri"/>
                <w:szCs w:val="22"/>
              </w:rPr>
              <w:t>N/A</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7793B">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7793B">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020B396" w:rsidR="004A5EA9" w:rsidRPr="00D2449B" w:rsidRDefault="00C0080F" w:rsidP="002A01CF">
            <w:pPr>
              <w:jc w:val="center"/>
              <w:rPr>
                <w:rFonts w:ascii="Calibri" w:hAnsi="Calibri"/>
                <w:b/>
                <w:szCs w:val="22"/>
              </w:rPr>
            </w:pPr>
            <w:r>
              <w:rPr>
                <w:rFonts w:ascii="Calibri" w:hAnsi="Calibri"/>
                <w:b/>
                <w:szCs w:val="22"/>
              </w:rPr>
              <w:t>REFUSAL</w:t>
            </w:r>
          </w:p>
        </w:tc>
      </w:tr>
      <w:tr w:rsidR="004A5EA9" w:rsidRPr="00D2449B" w14:paraId="7813B96A"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C3A19E4" w:rsidR="004A5EA9" w:rsidRPr="002C6277" w:rsidRDefault="00686398">
            <w:pPr>
              <w:rPr>
                <w:rFonts w:ascii="Calibri" w:hAnsi="Calibri"/>
                <w:szCs w:val="22"/>
              </w:rPr>
            </w:pPr>
            <w:r w:rsidRPr="00686398">
              <w:rPr>
                <w:rFonts w:ascii="Calibri" w:hAnsi="Calibri"/>
                <w:szCs w:val="22"/>
              </w:rPr>
              <w:t>Certificate of Lawfulness for existing use of holiday let as permanent dwelling contrary to condition 4 of planning permission 3/1991/0710 (conversion of redundant barn to holiday flats) and S106 Agreement dated 26 March 1993.</w:t>
            </w:r>
          </w:p>
        </w:tc>
      </w:tr>
      <w:tr w:rsidR="002A01CF" w:rsidRPr="00D2449B" w14:paraId="52988241"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FDF600" w:rsidR="002A01CF" w:rsidRPr="00686398" w:rsidRDefault="00686398" w:rsidP="00A42E82">
            <w:pPr>
              <w:rPr>
                <w:rFonts w:ascii="Calibri" w:hAnsi="Calibri"/>
                <w:szCs w:val="22"/>
              </w:rPr>
            </w:pPr>
            <w:r w:rsidRPr="00686398">
              <w:rPr>
                <w:rFonts w:ascii="Calibri" w:hAnsi="Calibri"/>
                <w:szCs w:val="22"/>
              </w:rPr>
              <w:t>Holiday let adjacent to Clough Farm, Catlow Road, Slaidburn, BB7 3AQ.</w:t>
            </w:r>
          </w:p>
        </w:tc>
      </w:tr>
      <w:tr w:rsidR="00A95D89" w:rsidRPr="00D2449B" w14:paraId="3FB99B2E"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4F9A19" w:rsidR="002A01CF" w:rsidRPr="006C4E21" w:rsidRDefault="002109BA">
            <w:pPr>
              <w:rPr>
                <w:rFonts w:ascii="Calibri" w:hAnsi="Calibri"/>
                <w:bCs/>
                <w:szCs w:val="22"/>
              </w:rPr>
            </w:pPr>
            <w:r>
              <w:rPr>
                <w:rFonts w:ascii="Calibri" w:hAnsi="Calibri"/>
                <w:bCs/>
                <w:szCs w:val="22"/>
              </w:rPr>
              <w:t>N/A</w:t>
            </w:r>
          </w:p>
        </w:tc>
      </w:tr>
      <w:tr w:rsidR="00C618DB" w:rsidRPr="00D2449B" w14:paraId="639E958B"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C4E21" w:rsidRDefault="002A01CF">
            <w:pPr>
              <w:rPr>
                <w:rFonts w:ascii="Calibri" w:hAnsi="Calibri"/>
                <w:bCs/>
                <w:szCs w:val="22"/>
              </w:rPr>
            </w:pPr>
            <w:r w:rsidRPr="006C4E21">
              <w:rPr>
                <w:rFonts w:ascii="Calibri" w:hAnsi="Calibri"/>
                <w:bCs/>
                <w:szCs w:val="22"/>
              </w:rPr>
              <w:t>LCC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FF6F869" w:rsidR="002A01CF" w:rsidRPr="006C4E21" w:rsidRDefault="006C4E21">
            <w:pPr>
              <w:rPr>
                <w:rFonts w:ascii="Calibri" w:hAnsi="Calibri"/>
                <w:bCs/>
                <w:szCs w:val="22"/>
              </w:rPr>
            </w:pPr>
            <w:r w:rsidRPr="006C4E21">
              <w:rPr>
                <w:rFonts w:ascii="Calibri" w:hAnsi="Calibri"/>
                <w:bCs/>
                <w:szCs w:val="22"/>
              </w:rPr>
              <w:t>N</w:t>
            </w:r>
            <w:r w:rsidR="002109BA">
              <w:rPr>
                <w:rFonts w:ascii="Calibri" w:hAnsi="Calibri"/>
                <w:bCs/>
                <w:szCs w:val="22"/>
              </w:rPr>
              <w:t>/A</w:t>
            </w:r>
          </w:p>
        </w:tc>
      </w:tr>
      <w:tr w:rsidR="00A54DF1" w:rsidRPr="00D2449B" w14:paraId="62663AAF" w14:textId="77777777" w:rsidTr="00D7793B">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D7793B">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63C8C7F" w:rsidR="00C0704D" w:rsidRPr="00C0704D" w:rsidRDefault="00A54DF1" w:rsidP="00692B60">
            <w:pPr>
              <w:rPr>
                <w:rFonts w:ascii="Calibri" w:hAnsi="Calibri"/>
                <w:szCs w:val="22"/>
              </w:rPr>
            </w:pPr>
            <w:r>
              <w:rPr>
                <w:rFonts w:ascii="Calibri" w:hAnsi="Calibri"/>
                <w:szCs w:val="22"/>
              </w:rPr>
              <w:t>N</w:t>
            </w:r>
            <w:r w:rsidR="002109BA">
              <w:rPr>
                <w:rFonts w:ascii="Calibri" w:hAnsi="Calibri"/>
                <w:szCs w:val="22"/>
              </w:rPr>
              <w:t>/A</w:t>
            </w:r>
          </w:p>
        </w:tc>
      </w:tr>
      <w:tr w:rsidR="00C0704D" w:rsidRPr="00D2449B" w14:paraId="1CDFA4C3"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6B6D0" w14:textId="77777777" w:rsidR="00686398" w:rsidRDefault="00686398" w:rsidP="00686398">
            <w:pPr>
              <w:rPr>
                <w:rFonts w:ascii="Calibri" w:hAnsi="Calibri"/>
                <w:szCs w:val="22"/>
              </w:rPr>
            </w:pPr>
          </w:p>
          <w:p w14:paraId="08CB61FC" w14:textId="6CF68B9B" w:rsidR="00686398" w:rsidRPr="00686398" w:rsidRDefault="00681E01" w:rsidP="00686398">
            <w:pPr>
              <w:rPr>
                <w:rFonts w:ascii="Calibri" w:hAnsi="Calibri"/>
                <w:i/>
                <w:iCs/>
                <w:szCs w:val="22"/>
              </w:rPr>
            </w:pPr>
            <w:r>
              <w:rPr>
                <w:rFonts w:ascii="Calibri" w:hAnsi="Calibri"/>
                <w:szCs w:val="22"/>
              </w:rPr>
              <w:t>Town and Country Plan</w:t>
            </w:r>
            <w:r w:rsidR="0035044F">
              <w:rPr>
                <w:rFonts w:ascii="Calibri" w:hAnsi="Calibri"/>
                <w:szCs w:val="22"/>
              </w:rPr>
              <w:t>ning</w:t>
            </w:r>
            <w:r>
              <w:rPr>
                <w:rFonts w:ascii="Calibri" w:hAnsi="Calibri"/>
                <w:szCs w:val="22"/>
              </w:rPr>
              <w:t xml:space="preserve"> Act 1990</w:t>
            </w:r>
            <w:r w:rsidR="0035044F">
              <w:rPr>
                <w:rFonts w:ascii="Calibri" w:hAnsi="Calibri"/>
                <w:szCs w:val="22"/>
              </w:rPr>
              <w:t>,</w:t>
            </w:r>
            <w:r>
              <w:rPr>
                <w:rFonts w:ascii="Calibri" w:hAnsi="Calibri"/>
                <w:szCs w:val="22"/>
              </w:rPr>
              <w:t xml:space="preserve"> </w:t>
            </w:r>
            <w:r w:rsidR="00686398" w:rsidRPr="00686398">
              <w:rPr>
                <w:rFonts w:ascii="Calibri" w:hAnsi="Calibri"/>
                <w:szCs w:val="22"/>
              </w:rPr>
              <w:t>Section 171(B); Section 191</w:t>
            </w:r>
          </w:p>
          <w:p w14:paraId="1A0C4DD2" w14:textId="77777777" w:rsidR="00681E01" w:rsidRDefault="00681E01" w:rsidP="00C0704D">
            <w:pPr>
              <w:rPr>
                <w:rFonts w:ascii="Calibri" w:hAnsi="Calibri"/>
                <w:szCs w:val="22"/>
              </w:rPr>
            </w:pPr>
          </w:p>
          <w:p w14:paraId="03F5E778" w14:textId="67BAE789" w:rsidR="00F9645B" w:rsidRPr="00681E01" w:rsidRDefault="00681E01" w:rsidP="001F1BF5">
            <w:pPr>
              <w:rPr>
                <w:rFonts w:ascii="Calibri" w:hAnsi="Calibri"/>
                <w:szCs w:val="22"/>
              </w:rPr>
            </w:pPr>
            <w:r w:rsidRPr="00681E01">
              <w:rPr>
                <w:rFonts w:ascii="Calibri" w:hAnsi="Calibri"/>
                <w:szCs w:val="22"/>
              </w:rPr>
              <w:t xml:space="preserve">National Planning Practice Guidance: Lawful </w:t>
            </w:r>
            <w:r w:rsidR="00686398">
              <w:rPr>
                <w:rFonts w:ascii="Calibri" w:hAnsi="Calibri"/>
                <w:szCs w:val="22"/>
              </w:rPr>
              <w:t>D</w:t>
            </w:r>
            <w:r w:rsidRPr="00681E01">
              <w:rPr>
                <w:rFonts w:ascii="Calibri" w:hAnsi="Calibri"/>
                <w:szCs w:val="22"/>
              </w:rPr>
              <w:t>evelopment Certificates</w:t>
            </w:r>
          </w:p>
          <w:p w14:paraId="6C4C318E" w14:textId="2253CD40" w:rsidR="001F1BF5" w:rsidRPr="00D2449B" w:rsidRDefault="001F1BF5" w:rsidP="001F1BF5">
            <w:pPr>
              <w:rPr>
                <w:rFonts w:ascii="Calibri" w:hAnsi="Calibri"/>
                <w:b/>
                <w:szCs w:val="22"/>
              </w:rPr>
            </w:pPr>
          </w:p>
        </w:tc>
      </w:tr>
      <w:tr w:rsidR="00C0704D" w:rsidRPr="00D2449B" w14:paraId="08181FD6"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316007D" w14:textId="7F5B30C6" w:rsidR="00686398" w:rsidRDefault="00686398" w:rsidP="00686398">
            <w:pPr>
              <w:pStyle w:val="PLANNING"/>
              <w:rPr>
                <w:rFonts w:ascii="Calibri" w:hAnsi="Calibri"/>
                <w:b/>
                <w:bCs/>
                <w:szCs w:val="22"/>
              </w:rPr>
            </w:pPr>
            <w:r>
              <w:rPr>
                <w:rFonts w:ascii="Calibri" w:hAnsi="Calibri"/>
                <w:b/>
                <w:bCs/>
                <w:szCs w:val="22"/>
              </w:rPr>
              <w:t>3/1991/0710:</w:t>
            </w:r>
          </w:p>
          <w:p w14:paraId="6E516B0C" w14:textId="15ACB53B" w:rsidR="00686398" w:rsidRPr="00686398" w:rsidRDefault="00686398" w:rsidP="00686398">
            <w:pPr>
              <w:pStyle w:val="PLANNING"/>
              <w:rPr>
                <w:rFonts w:ascii="Calibri" w:hAnsi="Calibri"/>
                <w:szCs w:val="22"/>
              </w:rPr>
            </w:pPr>
            <w:r w:rsidRPr="00686398">
              <w:rPr>
                <w:rFonts w:ascii="Calibri" w:hAnsi="Calibri"/>
                <w:szCs w:val="22"/>
              </w:rPr>
              <w:t>Conversion of redundant barn to holiday flats</w:t>
            </w:r>
            <w:r>
              <w:rPr>
                <w:rFonts w:ascii="Calibri" w:hAnsi="Calibri"/>
                <w:szCs w:val="22"/>
              </w:rPr>
              <w:t xml:space="preserve"> (Approved)</w:t>
            </w:r>
          </w:p>
          <w:p w14:paraId="17147D50" w14:textId="12E1CB94" w:rsidR="00686398" w:rsidRPr="00553D35" w:rsidRDefault="00686398" w:rsidP="00686398">
            <w:pPr>
              <w:pStyle w:val="PLANNING"/>
              <w:rPr>
                <w:rFonts w:ascii="Calibri" w:hAnsi="Calibri"/>
                <w:szCs w:val="22"/>
              </w:rPr>
            </w:pPr>
          </w:p>
        </w:tc>
      </w:tr>
      <w:tr w:rsidR="00C0704D" w:rsidRPr="00D2449B" w14:paraId="6AAC3B0A" w14:textId="77777777" w:rsidTr="00D7793B">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A45459B"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E8C3841" w14:textId="77777777" w:rsidR="00F9645B" w:rsidRDefault="00F9645B" w:rsidP="00440CB6">
            <w:pPr>
              <w:pStyle w:val="Header"/>
              <w:tabs>
                <w:tab w:val="clear" w:pos="4153"/>
                <w:tab w:val="clear" w:pos="8306"/>
              </w:tabs>
              <w:contextualSpacing/>
              <w:jc w:val="both"/>
              <w:rPr>
                <w:rFonts w:ascii="Calibri" w:hAnsi="Calibri"/>
                <w:b/>
                <w:szCs w:val="22"/>
              </w:rPr>
            </w:pPr>
          </w:p>
          <w:p w14:paraId="12B5505B" w14:textId="77777777" w:rsidR="00686398" w:rsidRDefault="009A7332" w:rsidP="00522E14">
            <w:pPr>
              <w:pStyle w:val="Header"/>
              <w:contextualSpacing/>
              <w:rPr>
                <w:rFonts w:ascii="Calibri" w:hAnsi="Calibri"/>
                <w:bCs/>
                <w:szCs w:val="22"/>
              </w:rPr>
            </w:pPr>
            <w:r>
              <w:rPr>
                <w:rFonts w:ascii="Calibri" w:hAnsi="Calibri"/>
                <w:bCs/>
                <w:szCs w:val="22"/>
              </w:rPr>
              <w:t xml:space="preserve">The application relates to a barn building situated on the Northern outskirts of Slaidburn. The barn forms part of the farmstead at Clough Farm with access to the farmstead being from Catlow Road from the East. The barn building has been previously extended by way of a mono pitch side extension on its South-eastern gable end. The residential property of Clough Farm and numerous agricultural buildings lie immediately to the South-east of the barn. </w:t>
            </w:r>
            <w:r w:rsidR="00A5364F">
              <w:rPr>
                <w:rFonts w:ascii="Calibri" w:hAnsi="Calibri"/>
                <w:bCs/>
                <w:szCs w:val="22"/>
              </w:rPr>
              <w:t xml:space="preserve">The surrounding area comprises </w:t>
            </w:r>
            <w:r w:rsidR="00A5364F">
              <w:rPr>
                <w:rFonts w:ascii="Calibri" w:hAnsi="Calibri"/>
                <w:bCs/>
                <w:szCs w:val="22"/>
              </w:rPr>
              <w:lastRenderedPageBreak/>
              <w:t>a mixture of woodland, agricultural land and open countryside with the proposal site lying within the Forest Of Bowland AONB.</w:t>
            </w:r>
          </w:p>
          <w:p w14:paraId="62370E9F" w14:textId="2ED35D71" w:rsidR="00174FC6" w:rsidRPr="006C2BFA" w:rsidRDefault="00174FC6" w:rsidP="00522E14">
            <w:pPr>
              <w:pStyle w:val="Header"/>
              <w:contextualSpacing/>
              <w:rPr>
                <w:rFonts w:ascii="Calibri" w:hAnsi="Calibri"/>
                <w:bCs/>
                <w:szCs w:val="22"/>
              </w:rPr>
            </w:pPr>
          </w:p>
        </w:tc>
      </w:tr>
      <w:tr w:rsidR="00C0704D" w:rsidRPr="00D2449B" w14:paraId="408C6380"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E3B4E68" w14:textId="2FC796B2" w:rsidR="00F9645B" w:rsidRDefault="00F9645B" w:rsidP="00105930">
            <w:pPr>
              <w:rPr>
                <w:rFonts w:ascii="Calibri" w:hAnsi="Calibri"/>
                <w:szCs w:val="22"/>
              </w:rPr>
            </w:pPr>
            <w:r w:rsidRPr="006E70D4">
              <w:rPr>
                <w:rFonts w:ascii="Calibri" w:hAnsi="Calibri"/>
                <w:szCs w:val="22"/>
              </w:rPr>
              <w:t>This is an application for a</w:t>
            </w:r>
            <w:r>
              <w:rPr>
                <w:rFonts w:ascii="Calibri" w:hAnsi="Calibri"/>
                <w:szCs w:val="22"/>
              </w:rPr>
              <w:t xml:space="preserve"> Certificate of Lawfulness</w:t>
            </w:r>
            <w:r w:rsidRPr="006E70D4">
              <w:rPr>
                <w:rFonts w:ascii="Calibri" w:hAnsi="Calibri"/>
                <w:szCs w:val="22"/>
              </w:rPr>
              <w:t xml:space="preserve"> </w:t>
            </w:r>
            <w:r w:rsidR="00F70ECD">
              <w:rPr>
                <w:rFonts w:ascii="Calibri" w:hAnsi="Calibri"/>
                <w:szCs w:val="22"/>
              </w:rPr>
              <w:t xml:space="preserve">to establish </w:t>
            </w:r>
            <w:r w:rsidR="00A5364F">
              <w:rPr>
                <w:rFonts w:ascii="Calibri" w:hAnsi="Calibri"/>
                <w:szCs w:val="22"/>
              </w:rPr>
              <w:t xml:space="preserve">use of the barn building in question as a single dwellinghouse </w:t>
            </w:r>
            <w:r w:rsidR="00174FC6" w:rsidRPr="00402270">
              <w:rPr>
                <w:rFonts w:ascii="Calibri" w:hAnsi="Calibri"/>
                <w:bCs/>
                <w:szCs w:val="22"/>
              </w:rPr>
              <w:t xml:space="preserve">for a </w:t>
            </w:r>
            <w:r w:rsidR="00174FC6" w:rsidRPr="00174FC6">
              <w:rPr>
                <w:rFonts w:ascii="Calibri" w:hAnsi="Calibri"/>
                <w:bCs/>
                <w:szCs w:val="22"/>
              </w:rPr>
              <w:t xml:space="preserve">continuous </w:t>
            </w:r>
            <w:r w:rsidR="00174FC6" w:rsidRPr="00402270">
              <w:rPr>
                <w:rFonts w:ascii="Calibri" w:hAnsi="Calibri"/>
                <w:bCs/>
                <w:szCs w:val="22"/>
              </w:rPr>
              <w:t xml:space="preserve">period in excess of </w:t>
            </w:r>
            <w:r w:rsidR="00174FC6" w:rsidRPr="00174FC6">
              <w:rPr>
                <w:rFonts w:ascii="Calibri" w:hAnsi="Calibri"/>
                <w:bCs/>
                <w:szCs w:val="22"/>
              </w:rPr>
              <w:t>four</w:t>
            </w:r>
            <w:r w:rsidR="00174FC6" w:rsidRPr="00402270">
              <w:rPr>
                <w:rFonts w:ascii="Calibri" w:hAnsi="Calibri"/>
                <w:bCs/>
                <w:szCs w:val="22"/>
              </w:rPr>
              <w:t xml:space="preserve"> years</w:t>
            </w:r>
            <w:r w:rsidR="00174FC6">
              <w:rPr>
                <w:rFonts w:ascii="Calibri" w:hAnsi="Calibri"/>
                <w:bCs/>
                <w:szCs w:val="22"/>
              </w:rPr>
              <w:t>.</w:t>
            </w:r>
          </w:p>
          <w:p w14:paraId="02E95016" w14:textId="77777777" w:rsidR="00A5364F" w:rsidRDefault="00A5364F" w:rsidP="00105930">
            <w:pPr>
              <w:rPr>
                <w:rFonts w:ascii="Calibri" w:hAnsi="Calibri"/>
                <w:bCs/>
                <w:szCs w:val="22"/>
              </w:rPr>
            </w:pPr>
          </w:p>
          <w:p w14:paraId="567556AC" w14:textId="105BC84B" w:rsidR="00A5364F" w:rsidRPr="00A5364F" w:rsidRDefault="00A5364F" w:rsidP="00A5364F">
            <w:pPr>
              <w:rPr>
                <w:rFonts w:ascii="Calibri" w:hAnsi="Calibri"/>
                <w:bCs/>
                <w:szCs w:val="22"/>
              </w:rPr>
            </w:pPr>
            <w:r w:rsidRPr="00A5364F">
              <w:rPr>
                <w:rFonts w:ascii="Calibri" w:hAnsi="Calibri"/>
                <w:bCs/>
                <w:szCs w:val="22"/>
              </w:rPr>
              <w:t>Planning permission was granted for the co</w:t>
            </w:r>
            <w:r>
              <w:rPr>
                <w:rFonts w:ascii="Calibri" w:hAnsi="Calibri"/>
                <w:bCs/>
                <w:szCs w:val="22"/>
              </w:rPr>
              <w:t>nversion</w:t>
            </w:r>
            <w:r w:rsidRPr="00A5364F">
              <w:rPr>
                <w:rFonts w:ascii="Calibri" w:hAnsi="Calibri"/>
                <w:bCs/>
                <w:szCs w:val="22"/>
              </w:rPr>
              <w:t xml:space="preserve"> of the </w:t>
            </w:r>
            <w:r>
              <w:rPr>
                <w:rFonts w:ascii="Calibri" w:hAnsi="Calibri"/>
                <w:bCs/>
                <w:szCs w:val="22"/>
              </w:rPr>
              <w:t>barn building for use as a holiday let property</w:t>
            </w:r>
            <w:r w:rsidRPr="00A5364F">
              <w:rPr>
                <w:rFonts w:ascii="Calibri" w:hAnsi="Calibri"/>
                <w:bCs/>
                <w:szCs w:val="22"/>
              </w:rPr>
              <w:t xml:space="preserve"> under planning application ref: 3/199</w:t>
            </w:r>
            <w:r>
              <w:rPr>
                <w:rFonts w:ascii="Calibri" w:hAnsi="Calibri"/>
                <w:bCs/>
                <w:szCs w:val="22"/>
              </w:rPr>
              <w:t>1</w:t>
            </w:r>
            <w:r w:rsidRPr="00A5364F">
              <w:rPr>
                <w:rFonts w:ascii="Calibri" w:hAnsi="Calibri"/>
                <w:bCs/>
                <w:szCs w:val="22"/>
              </w:rPr>
              <w:t>/</w:t>
            </w:r>
            <w:r>
              <w:rPr>
                <w:rFonts w:ascii="Calibri" w:hAnsi="Calibri"/>
                <w:bCs/>
                <w:szCs w:val="22"/>
              </w:rPr>
              <w:t>0710</w:t>
            </w:r>
            <w:r w:rsidRPr="00A5364F">
              <w:rPr>
                <w:rFonts w:ascii="Calibri" w:hAnsi="Calibri"/>
                <w:bCs/>
                <w:szCs w:val="22"/>
              </w:rPr>
              <w:t xml:space="preserve"> on </w:t>
            </w:r>
            <w:r w:rsidR="00283DAC">
              <w:rPr>
                <w:rFonts w:ascii="Calibri" w:hAnsi="Calibri"/>
                <w:bCs/>
                <w:szCs w:val="22"/>
              </w:rPr>
              <w:t>26</w:t>
            </w:r>
            <w:r w:rsidRPr="00A5364F">
              <w:rPr>
                <w:rFonts w:ascii="Calibri" w:hAnsi="Calibri"/>
                <w:bCs/>
                <w:szCs w:val="22"/>
              </w:rPr>
              <w:t xml:space="preserve">th </w:t>
            </w:r>
            <w:r w:rsidR="00283DAC">
              <w:rPr>
                <w:rFonts w:ascii="Calibri" w:hAnsi="Calibri"/>
                <w:bCs/>
                <w:szCs w:val="22"/>
              </w:rPr>
              <w:t>March</w:t>
            </w:r>
            <w:r w:rsidRPr="00A5364F">
              <w:rPr>
                <w:rFonts w:ascii="Calibri" w:hAnsi="Calibri"/>
                <w:bCs/>
                <w:szCs w:val="22"/>
              </w:rPr>
              <w:t xml:space="preserve"> </w:t>
            </w:r>
            <w:r w:rsidR="00283DAC">
              <w:rPr>
                <w:rFonts w:ascii="Calibri" w:hAnsi="Calibri"/>
                <w:bCs/>
                <w:szCs w:val="22"/>
              </w:rPr>
              <w:t>1993</w:t>
            </w:r>
            <w:r w:rsidRPr="00A5364F">
              <w:rPr>
                <w:rFonts w:ascii="Calibri" w:hAnsi="Calibri"/>
                <w:bCs/>
                <w:szCs w:val="22"/>
              </w:rPr>
              <w:t xml:space="preserve">. Condition </w:t>
            </w:r>
            <w:r>
              <w:rPr>
                <w:rFonts w:ascii="Calibri" w:hAnsi="Calibri"/>
                <w:bCs/>
                <w:szCs w:val="22"/>
              </w:rPr>
              <w:t>4</w:t>
            </w:r>
            <w:r w:rsidRPr="00A5364F">
              <w:rPr>
                <w:rFonts w:ascii="Calibri" w:hAnsi="Calibri"/>
                <w:bCs/>
                <w:szCs w:val="22"/>
              </w:rPr>
              <w:t xml:space="preserve"> from this permission reads as follows:</w:t>
            </w:r>
          </w:p>
          <w:p w14:paraId="6E8AD721" w14:textId="77777777" w:rsidR="00A5364F" w:rsidRPr="00A5364F" w:rsidRDefault="00A5364F" w:rsidP="00A5364F">
            <w:pPr>
              <w:rPr>
                <w:rFonts w:ascii="Calibri" w:hAnsi="Calibri"/>
                <w:bCs/>
                <w:szCs w:val="22"/>
              </w:rPr>
            </w:pPr>
          </w:p>
          <w:p w14:paraId="62F88B92" w14:textId="6F09979A" w:rsidR="00A5364F" w:rsidRPr="00AC2DD5" w:rsidRDefault="00283DAC" w:rsidP="00A5364F">
            <w:pPr>
              <w:rPr>
                <w:rFonts w:ascii="Calibri" w:hAnsi="Calibri"/>
                <w:bCs/>
                <w:i/>
                <w:iCs/>
                <w:szCs w:val="22"/>
              </w:rPr>
            </w:pPr>
            <w:r w:rsidRPr="00AC2DD5">
              <w:rPr>
                <w:rFonts w:ascii="Calibri" w:hAnsi="Calibri"/>
                <w:bCs/>
                <w:i/>
                <w:iCs/>
                <w:szCs w:val="22"/>
              </w:rPr>
              <w:t>“The development hereby permitted shall only be used for holiday purposes and not for permanent residential occupation</w:t>
            </w:r>
            <w:r w:rsidR="00AC2DD5" w:rsidRPr="00AC2DD5">
              <w:rPr>
                <w:rFonts w:ascii="Calibri" w:hAnsi="Calibri"/>
                <w:bCs/>
                <w:i/>
                <w:iCs/>
                <w:szCs w:val="22"/>
              </w:rPr>
              <w:t>.</w:t>
            </w:r>
          </w:p>
          <w:p w14:paraId="3B7C3555" w14:textId="77777777" w:rsidR="00AC2DD5" w:rsidRPr="00AC2DD5" w:rsidRDefault="00AC2DD5" w:rsidP="00A5364F">
            <w:pPr>
              <w:rPr>
                <w:rFonts w:ascii="Calibri" w:hAnsi="Calibri"/>
                <w:bCs/>
                <w:i/>
                <w:iCs/>
                <w:szCs w:val="22"/>
              </w:rPr>
            </w:pPr>
          </w:p>
          <w:p w14:paraId="30DA70FA" w14:textId="411B7DF7" w:rsidR="00AC2DD5" w:rsidRPr="00AC2DD5" w:rsidRDefault="00AC2DD5" w:rsidP="00A5364F">
            <w:pPr>
              <w:rPr>
                <w:rFonts w:ascii="Calibri" w:hAnsi="Calibri"/>
                <w:bCs/>
                <w:i/>
                <w:iCs/>
                <w:szCs w:val="22"/>
              </w:rPr>
            </w:pPr>
            <w:r w:rsidRPr="00AC2DD5">
              <w:rPr>
                <w:rFonts w:ascii="Calibri" w:hAnsi="Calibri"/>
                <w:bCs/>
                <w:i/>
                <w:iCs/>
                <w:szCs w:val="22"/>
              </w:rPr>
              <w:t>Reason: Since the Local Planning Authority would not normally allow a permanent residential dwelling in such a location.”</w:t>
            </w:r>
          </w:p>
          <w:p w14:paraId="4B85ADB0" w14:textId="77777777" w:rsidR="00A5364F" w:rsidRPr="00A5364F" w:rsidRDefault="00A5364F" w:rsidP="00A5364F">
            <w:pPr>
              <w:rPr>
                <w:rFonts w:ascii="Calibri" w:hAnsi="Calibri"/>
                <w:bCs/>
                <w:szCs w:val="22"/>
              </w:rPr>
            </w:pPr>
          </w:p>
          <w:p w14:paraId="6265177F" w14:textId="573E2FA9" w:rsidR="00A5364F" w:rsidRPr="00A5364F" w:rsidRDefault="00A5364F" w:rsidP="00A5364F">
            <w:pPr>
              <w:rPr>
                <w:rFonts w:ascii="Calibri" w:hAnsi="Calibri"/>
                <w:bCs/>
                <w:szCs w:val="22"/>
              </w:rPr>
            </w:pPr>
            <w:r w:rsidRPr="00A5364F">
              <w:rPr>
                <w:rFonts w:ascii="Calibri" w:hAnsi="Calibri"/>
                <w:bCs/>
                <w:szCs w:val="22"/>
              </w:rPr>
              <w:t xml:space="preserve">It is the applicant’s claim that they </w:t>
            </w:r>
            <w:bookmarkStart w:id="0" w:name="_Hlk137293600"/>
            <w:r w:rsidRPr="00A5364F">
              <w:rPr>
                <w:rFonts w:ascii="Calibri" w:hAnsi="Calibri"/>
                <w:bCs/>
                <w:szCs w:val="22"/>
              </w:rPr>
              <w:t xml:space="preserve">have </w:t>
            </w:r>
            <w:r w:rsidR="00AC2DD5">
              <w:rPr>
                <w:rFonts w:ascii="Calibri" w:hAnsi="Calibri"/>
                <w:bCs/>
                <w:szCs w:val="22"/>
              </w:rPr>
              <w:t xml:space="preserve">continuously utilised the barn building in question as a single dwellinghouse </w:t>
            </w:r>
            <w:r w:rsidR="00A5500B">
              <w:rPr>
                <w:rFonts w:ascii="Calibri" w:hAnsi="Calibri"/>
                <w:bCs/>
                <w:szCs w:val="22"/>
              </w:rPr>
              <w:t>from</w:t>
            </w:r>
            <w:r w:rsidR="00AC2DD5">
              <w:rPr>
                <w:rFonts w:ascii="Calibri" w:hAnsi="Calibri"/>
                <w:bCs/>
                <w:szCs w:val="22"/>
              </w:rPr>
              <w:t xml:space="preserve"> November 2016 through to the present day</w:t>
            </w:r>
            <w:r w:rsidRPr="00A5364F">
              <w:rPr>
                <w:rFonts w:ascii="Calibri" w:hAnsi="Calibri"/>
                <w:bCs/>
                <w:szCs w:val="22"/>
              </w:rPr>
              <w:t xml:space="preserve"> </w:t>
            </w:r>
            <w:bookmarkEnd w:id="0"/>
            <w:r w:rsidR="00A5500B">
              <w:rPr>
                <w:rFonts w:ascii="Calibri" w:hAnsi="Calibri"/>
                <w:bCs/>
                <w:szCs w:val="22"/>
              </w:rPr>
              <w:t xml:space="preserve">in breach of the above condition. </w:t>
            </w:r>
            <w:r w:rsidRPr="00A5364F">
              <w:rPr>
                <w:rFonts w:ascii="Calibri" w:hAnsi="Calibri"/>
                <w:bCs/>
                <w:szCs w:val="22"/>
              </w:rPr>
              <w:t>As such, the applicant seeks confirmation of the above in the form of a Lawful Development Certificate.</w:t>
            </w:r>
          </w:p>
          <w:p w14:paraId="1B20488F" w14:textId="26BF9170" w:rsidR="00105930" w:rsidRPr="00D54E67" w:rsidRDefault="00105930" w:rsidP="00105930">
            <w:pPr>
              <w:rPr>
                <w:rFonts w:ascii="Calibri" w:hAnsi="Calibri"/>
                <w:szCs w:val="22"/>
              </w:rPr>
            </w:pPr>
          </w:p>
        </w:tc>
      </w:tr>
      <w:tr w:rsidR="00C0704D" w:rsidRPr="00D2449B" w14:paraId="617768FF" w14:textId="77777777" w:rsidTr="00D7793B">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0CF70" w14:textId="77777777" w:rsidR="00174FC6" w:rsidRDefault="00174FC6" w:rsidP="00174FC6">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9EC533C" w14:textId="77777777" w:rsidR="00174FC6" w:rsidRDefault="00174FC6" w:rsidP="00105930">
            <w:pPr>
              <w:pStyle w:val="Header"/>
              <w:jc w:val="both"/>
              <w:rPr>
                <w:rFonts w:ascii="Calibri" w:hAnsi="Calibri"/>
                <w:szCs w:val="22"/>
              </w:rPr>
            </w:pPr>
          </w:p>
          <w:p w14:paraId="704ACB5D" w14:textId="77777777" w:rsidR="00B50F3A" w:rsidRDefault="00BB7670" w:rsidP="00BB7670">
            <w:pPr>
              <w:pStyle w:val="Header"/>
              <w:rPr>
                <w:rFonts w:ascii="Calibri" w:hAnsi="Calibri"/>
                <w:bCs/>
                <w:szCs w:val="22"/>
              </w:rPr>
            </w:pPr>
            <w:r w:rsidRPr="00BB7670">
              <w:rPr>
                <w:rFonts w:ascii="Calibri" w:hAnsi="Calibri"/>
                <w:bCs/>
                <w:szCs w:val="22"/>
              </w:rPr>
              <w:t xml:space="preserve">The lawfulness of the existing use in question rests upon a detailed assessment of the supporting information provided as part of the application in relation to the provisions of Section 171(B) of the </w:t>
            </w:r>
            <w:r w:rsidR="00C706E4" w:rsidRPr="00C706E4">
              <w:rPr>
                <w:rFonts w:ascii="Calibri" w:hAnsi="Calibri"/>
                <w:bCs/>
                <w:szCs w:val="22"/>
              </w:rPr>
              <w:t>Town and Country Planning Act (1990)</w:t>
            </w:r>
            <w:r w:rsidR="00B50F3A">
              <w:rPr>
                <w:rFonts w:ascii="Calibri" w:hAnsi="Calibri"/>
                <w:bCs/>
                <w:szCs w:val="22"/>
              </w:rPr>
              <w:t xml:space="preserve"> </w:t>
            </w:r>
            <w:r w:rsidR="00B50F3A" w:rsidRPr="00B50F3A">
              <w:rPr>
                <w:rFonts w:ascii="Calibri" w:hAnsi="Calibri"/>
                <w:bCs/>
                <w:szCs w:val="22"/>
              </w:rPr>
              <w:t xml:space="preserve">(the Act). </w:t>
            </w:r>
          </w:p>
          <w:p w14:paraId="4B69ED85" w14:textId="77777777" w:rsidR="00B50F3A" w:rsidRDefault="00B50F3A" w:rsidP="00BB7670">
            <w:pPr>
              <w:pStyle w:val="Header"/>
              <w:rPr>
                <w:rFonts w:ascii="Calibri" w:hAnsi="Calibri"/>
                <w:bCs/>
                <w:szCs w:val="22"/>
              </w:rPr>
            </w:pPr>
          </w:p>
          <w:p w14:paraId="42AD3F9D" w14:textId="0068B164" w:rsidR="00BB7670" w:rsidRPr="00BB7670" w:rsidRDefault="00BB7670" w:rsidP="00BB7670">
            <w:pPr>
              <w:pStyle w:val="Header"/>
              <w:rPr>
                <w:rFonts w:ascii="Calibri" w:hAnsi="Calibri"/>
                <w:bCs/>
                <w:szCs w:val="22"/>
              </w:rPr>
            </w:pPr>
            <w:r w:rsidRPr="00BB7670">
              <w:rPr>
                <w:rFonts w:ascii="Calibri" w:hAnsi="Calibri"/>
                <w:bCs/>
                <w:szCs w:val="22"/>
              </w:rPr>
              <w:t>Section 171(B) of the Act provides timescales whereby unauthorised development becomes immune from enforcement action and as such becomes lawful as follows:</w:t>
            </w:r>
          </w:p>
          <w:p w14:paraId="0B6E3844" w14:textId="77777777" w:rsidR="00BB7670" w:rsidRPr="00BB7670" w:rsidRDefault="00BB7670" w:rsidP="00BB7670">
            <w:pPr>
              <w:pStyle w:val="Header"/>
              <w:rPr>
                <w:rFonts w:ascii="Calibri" w:hAnsi="Calibri"/>
                <w:szCs w:val="22"/>
                <w:u w:val="single"/>
              </w:rPr>
            </w:pPr>
          </w:p>
          <w:p w14:paraId="59F02117" w14:textId="77777777" w:rsidR="00BB7670" w:rsidRDefault="00BB7670" w:rsidP="00BB7670">
            <w:pPr>
              <w:pStyle w:val="Header"/>
              <w:rPr>
                <w:rFonts w:ascii="Calibri" w:hAnsi="Calibri"/>
                <w:bCs/>
                <w:i/>
                <w:iCs/>
                <w:szCs w:val="22"/>
                <w:lang w:val="en"/>
              </w:rPr>
            </w:pPr>
            <w:r>
              <w:rPr>
                <w:rFonts w:ascii="Calibri" w:hAnsi="Calibri"/>
                <w:bCs/>
                <w:i/>
                <w:iCs/>
                <w:szCs w:val="22"/>
                <w:lang w:val="en"/>
              </w:rPr>
              <w:t xml:space="preserve">(1) </w:t>
            </w:r>
            <w:r w:rsidRPr="00BB7670">
              <w:rPr>
                <w:rFonts w:ascii="Calibri" w:hAnsi="Calibri"/>
                <w:bCs/>
                <w:i/>
                <w:iCs/>
                <w:szCs w:val="22"/>
                <w:lang w:val="en"/>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608510F4" w14:textId="77777777" w:rsidR="00BB7670" w:rsidRDefault="00BB7670" w:rsidP="00BB7670">
            <w:pPr>
              <w:pStyle w:val="Header"/>
              <w:rPr>
                <w:rFonts w:ascii="Calibri" w:hAnsi="Calibri"/>
                <w:bCs/>
                <w:i/>
                <w:iCs/>
                <w:szCs w:val="22"/>
                <w:lang w:val="en"/>
              </w:rPr>
            </w:pPr>
          </w:p>
          <w:p w14:paraId="26C6FF8C" w14:textId="63A8073A" w:rsidR="00BB7670" w:rsidRPr="00BB7670" w:rsidRDefault="00BB7670" w:rsidP="00BB7670">
            <w:pPr>
              <w:pStyle w:val="Header"/>
              <w:rPr>
                <w:rFonts w:ascii="Calibri" w:hAnsi="Calibri"/>
                <w:bCs/>
                <w:i/>
                <w:iCs/>
                <w:szCs w:val="22"/>
                <w:lang w:val="en"/>
              </w:rPr>
            </w:pPr>
            <w:r>
              <w:rPr>
                <w:rFonts w:ascii="Calibri" w:hAnsi="Calibri"/>
                <w:bCs/>
                <w:i/>
                <w:iCs/>
                <w:szCs w:val="22"/>
                <w:lang w:val="en"/>
              </w:rPr>
              <w:t xml:space="preserve">(2) </w:t>
            </w:r>
            <w:r w:rsidRPr="00BB7670">
              <w:rPr>
                <w:rFonts w:ascii="Calibri" w:hAnsi="Calibri"/>
                <w:bCs/>
                <w:i/>
                <w:iCs/>
                <w:szCs w:val="22"/>
                <w:lang w:val="en"/>
              </w:rPr>
              <w:t>Where there has been a breach of planning control consisting in the change of use of any building to use as a single dwellinghouse, no enforcement action may be taken after the end of the period of four years beginning with the date of the breach.</w:t>
            </w:r>
          </w:p>
          <w:p w14:paraId="3B467274" w14:textId="77777777" w:rsidR="00BB7670" w:rsidRPr="00BB7670" w:rsidRDefault="00BB7670" w:rsidP="00BB7670">
            <w:pPr>
              <w:pStyle w:val="Header"/>
              <w:rPr>
                <w:rFonts w:ascii="Calibri" w:hAnsi="Calibri"/>
                <w:bCs/>
                <w:i/>
                <w:iCs/>
                <w:szCs w:val="22"/>
                <w:lang w:val="en"/>
              </w:rPr>
            </w:pPr>
          </w:p>
          <w:p w14:paraId="18A1A8C1" w14:textId="4F563E2A" w:rsidR="00BB7670" w:rsidRPr="0002304A" w:rsidRDefault="00BB7670" w:rsidP="00BB7670">
            <w:pPr>
              <w:pStyle w:val="Header"/>
              <w:rPr>
                <w:rFonts w:ascii="Calibri" w:hAnsi="Calibri"/>
                <w:bCs/>
                <w:i/>
                <w:iCs/>
                <w:szCs w:val="22"/>
                <w:lang w:val="en"/>
              </w:rPr>
            </w:pPr>
            <w:r>
              <w:rPr>
                <w:rFonts w:ascii="Calibri" w:hAnsi="Calibri"/>
                <w:bCs/>
                <w:i/>
                <w:iCs/>
                <w:szCs w:val="22"/>
                <w:lang w:val="en"/>
              </w:rPr>
              <w:t xml:space="preserve">(3) </w:t>
            </w:r>
            <w:r w:rsidRPr="00BB7670">
              <w:rPr>
                <w:rFonts w:ascii="Calibri" w:hAnsi="Calibri"/>
                <w:bCs/>
                <w:i/>
                <w:iCs/>
                <w:szCs w:val="22"/>
                <w:lang w:val="en"/>
              </w:rPr>
              <w:t xml:space="preserve">In the case of any other breach of planning control, no enforcement action may be taken after the end </w:t>
            </w:r>
            <w:r w:rsidRPr="0002304A">
              <w:rPr>
                <w:rFonts w:ascii="Calibri" w:hAnsi="Calibri"/>
                <w:bCs/>
                <w:i/>
                <w:iCs/>
                <w:szCs w:val="22"/>
                <w:lang w:val="en"/>
              </w:rPr>
              <w:t>of the period of ten years beginning with the date of the breach.</w:t>
            </w:r>
          </w:p>
          <w:p w14:paraId="0CD3BB13" w14:textId="77777777" w:rsidR="00BB7670" w:rsidRPr="0002304A" w:rsidRDefault="00BB7670" w:rsidP="00BB7670">
            <w:pPr>
              <w:pStyle w:val="Header"/>
              <w:rPr>
                <w:rFonts w:ascii="Calibri" w:hAnsi="Calibri"/>
                <w:bCs/>
                <w:i/>
                <w:iCs/>
                <w:szCs w:val="22"/>
                <w:lang w:val="en"/>
              </w:rPr>
            </w:pPr>
          </w:p>
          <w:p w14:paraId="7B40D215" w14:textId="6F66DF8F" w:rsidR="00B50F3A" w:rsidRPr="0002304A" w:rsidRDefault="003E6B13" w:rsidP="003E6B13">
            <w:pPr>
              <w:pStyle w:val="Header"/>
              <w:rPr>
                <w:rFonts w:ascii="Calibri" w:hAnsi="Calibri"/>
                <w:bCs/>
                <w:szCs w:val="22"/>
              </w:rPr>
            </w:pPr>
            <w:r w:rsidRPr="0002304A">
              <w:rPr>
                <w:rFonts w:ascii="Calibri" w:hAnsi="Calibri"/>
                <w:bCs/>
                <w:szCs w:val="22"/>
              </w:rPr>
              <w:t xml:space="preserve">In this instance </w:t>
            </w:r>
            <w:r w:rsidR="00941A0D" w:rsidRPr="0002304A">
              <w:rPr>
                <w:rFonts w:ascii="Calibri" w:hAnsi="Calibri"/>
                <w:bCs/>
                <w:szCs w:val="22"/>
              </w:rPr>
              <w:t xml:space="preserve">the 1991 permission was for a C3 dwellinghouse use (with restricted holiday occupancy). The current use remains a C3 dwellinghouse use (without restricted occupancy). Therefore no change of use has occurred and the council disagrees with the applicant that </w:t>
            </w:r>
            <w:r w:rsidRPr="0002304A">
              <w:rPr>
                <w:rFonts w:ascii="Calibri" w:hAnsi="Calibri"/>
                <w:bCs/>
                <w:szCs w:val="22"/>
              </w:rPr>
              <w:t>Section 171B (</w:t>
            </w:r>
            <w:r w:rsidR="00C706E4" w:rsidRPr="0002304A">
              <w:rPr>
                <w:rFonts w:ascii="Calibri" w:hAnsi="Calibri"/>
                <w:bCs/>
                <w:szCs w:val="22"/>
              </w:rPr>
              <w:t>2</w:t>
            </w:r>
            <w:r w:rsidRPr="0002304A">
              <w:rPr>
                <w:rFonts w:ascii="Calibri" w:hAnsi="Calibri"/>
                <w:bCs/>
                <w:szCs w:val="22"/>
              </w:rPr>
              <w:t xml:space="preserve">) of the Act </w:t>
            </w:r>
            <w:r w:rsidR="00941A0D" w:rsidRPr="0002304A">
              <w:rPr>
                <w:rFonts w:ascii="Calibri" w:hAnsi="Calibri"/>
                <w:bCs/>
                <w:szCs w:val="22"/>
              </w:rPr>
              <w:t>(</w:t>
            </w:r>
            <w:r w:rsidRPr="0002304A">
              <w:rPr>
                <w:rFonts w:ascii="Calibri" w:hAnsi="Calibri"/>
                <w:bCs/>
                <w:szCs w:val="22"/>
              </w:rPr>
              <w:t xml:space="preserve">minimum time period for immunity from any enforcement action is </w:t>
            </w:r>
            <w:r w:rsidR="00C706E4" w:rsidRPr="0002304A">
              <w:rPr>
                <w:rFonts w:ascii="Calibri" w:hAnsi="Calibri"/>
                <w:bCs/>
                <w:szCs w:val="22"/>
              </w:rPr>
              <w:t>four</w:t>
            </w:r>
            <w:r w:rsidRPr="0002304A">
              <w:rPr>
                <w:rFonts w:ascii="Calibri" w:hAnsi="Calibri"/>
                <w:bCs/>
                <w:szCs w:val="22"/>
              </w:rPr>
              <w:t xml:space="preserve"> years</w:t>
            </w:r>
            <w:r w:rsidR="00941A0D" w:rsidRPr="0002304A">
              <w:rPr>
                <w:rFonts w:ascii="Calibri" w:hAnsi="Calibri"/>
                <w:bCs/>
                <w:szCs w:val="22"/>
              </w:rPr>
              <w:t>) should apply</w:t>
            </w:r>
            <w:r w:rsidRPr="0002304A">
              <w:rPr>
                <w:rFonts w:ascii="Calibri" w:hAnsi="Calibri"/>
                <w:bCs/>
                <w:szCs w:val="22"/>
              </w:rPr>
              <w:t xml:space="preserve">. </w:t>
            </w:r>
            <w:r w:rsidR="00941A0D" w:rsidRPr="0002304A">
              <w:rPr>
                <w:rFonts w:ascii="Calibri" w:hAnsi="Calibri"/>
                <w:bCs/>
                <w:szCs w:val="22"/>
              </w:rPr>
              <w:t>As Section 171B (1) is also of no relevance then Section 171B (3) must apply</w:t>
            </w:r>
            <w:r w:rsidR="005148E9" w:rsidRPr="0002304A">
              <w:rPr>
                <w:rFonts w:ascii="Calibri" w:hAnsi="Calibri"/>
                <w:bCs/>
                <w:szCs w:val="22"/>
              </w:rPr>
              <w:t xml:space="preserve"> which is relevant in cases where there is a breach of planning condition</w:t>
            </w:r>
            <w:r w:rsidR="00941A0D" w:rsidRPr="0002304A">
              <w:rPr>
                <w:rFonts w:ascii="Calibri" w:hAnsi="Calibri"/>
                <w:bCs/>
                <w:szCs w:val="22"/>
              </w:rPr>
              <w:t xml:space="preserve">.  </w:t>
            </w:r>
          </w:p>
          <w:p w14:paraId="02EEACD9" w14:textId="77777777" w:rsidR="00B50F3A" w:rsidRPr="0002304A" w:rsidRDefault="00B50F3A" w:rsidP="003E6B13">
            <w:pPr>
              <w:pStyle w:val="Header"/>
              <w:rPr>
                <w:rFonts w:ascii="Calibri" w:hAnsi="Calibri"/>
                <w:bCs/>
                <w:szCs w:val="22"/>
              </w:rPr>
            </w:pPr>
          </w:p>
          <w:p w14:paraId="6FF4415D" w14:textId="0689B2A0" w:rsidR="00B50F3A" w:rsidRPr="0002304A" w:rsidRDefault="00B50F3A" w:rsidP="00B50F3A">
            <w:pPr>
              <w:pStyle w:val="Header"/>
              <w:rPr>
                <w:rFonts w:ascii="Calibri" w:hAnsi="Calibri"/>
                <w:bCs/>
                <w:szCs w:val="22"/>
              </w:rPr>
            </w:pPr>
            <w:r w:rsidRPr="0002304A">
              <w:rPr>
                <w:rFonts w:ascii="Calibri" w:hAnsi="Calibri"/>
                <w:bCs/>
                <w:szCs w:val="22"/>
              </w:rPr>
              <w:t>Section 191 (4) of the Act states:</w:t>
            </w:r>
          </w:p>
          <w:p w14:paraId="087C76D0" w14:textId="77777777" w:rsidR="00B50F3A" w:rsidRDefault="00B50F3A" w:rsidP="00B50F3A">
            <w:pPr>
              <w:pStyle w:val="Header"/>
              <w:rPr>
                <w:rFonts w:ascii="Calibri" w:hAnsi="Calibri"/>
                <w:bCs/>
                <w:i/>
                <w:iCs/>
                <w:szCs w:val="22"/>
              </w:rPr>
            </w:pPr>
            <w:r w:rsidRPr="00B50F3A">
              <w:rPr>
                <w:rFonts w:ascii="Calibri" w:hAnsi="Calibri"/>
                <w:bCs/>
                <w:i/>
                <w:iCs/>
                <w:szCs w:val="22"/>
              </w:rPr>
              <w:t>‘If, on an application under this section, the local planning authority are provided with information satisfying them of the lawfulness at the time of the application of the use, operations or other matter described in the application, they shall issue a certificate to that effect.’</w:t>
            </w:r>
          </w:p>
          <w:p w14:paraId="046A629F" w14:textId="77777777" w:rsidR="00D437BA" w:rsidRDefault="00D437BA" w:rsidP="00B50F3A">
            <w:pPr>
              <w:pStyle w:val="Header"/>
              <w:rPr>
                <w:rFonts w:ascii="Calibri" w:hAnsi="Calibri"/>
                <w:bCs/>
                <w:i/>
                <w:iCs/>
                <w:szCs w:val="22"/>
              </w:rPr>
            </w:pPr>
          </w:p>
          <w:p w14:paraId="0584D8F9" w14:textId="0C46367B" w:rsidR="00D437BA" w:rsidRPr="009B79E9" w:rsidRDefault="00D437BA" w:rsidP="00B50F3A">
            <w:pPr>
              <w:pStyle w:val="Header"/>
              <w:rPr>
                <w:rFonts w:ascii="Calibri" w:hAnsi="Calibri"/>
                <w:bCs/>
                <w:szCs w:val="22"/>
              </w:rPr>
            </w:pPr>
            <w:r w:rsidRPr="009B79E9">
              <w:rPr>
                <w:rFonts w:ascii="Calibri" w:hAnsi="Calibri"/>
                <w:bCs/>
                <w:szCs w:val="22"/>
              </w:rPr>
              <w:t xml:space="preserve">No evidence has been forthcoming to demonstrate that the barn building in question has been used as a single dwellinghouse </w:t>
            </w:r>
            <w:r w:rsidR="0002304A" w:rsidRPr="009B79E9">
              <w:rPr>
                <w:rFonts w:ascii="Calibri" w:hAnsi="Calibri"/>
                <w:bCs/>
                <w:szCs w:val="22"/>
              </w:rPr>
              <w:t xml:space="preserve">with unrestricted occupancy </w:t>
            </w:r>
            <w:r w:rsidRPr="009B79E9">
              <w:rPr>
                <w:rFonts w:ascii="Calibri" w:hAnsi="Calibri"/>
                <w:bCs/>
                <w:szCs w:val="22"/>
              </w:rPr>
              <w:t>for a continuous period of not less than ten years.</w:t>
            </w:r>
          </w:p>
          <w:p w14:paraId="4C278129" w14:textId="77777777" w:rsidR="00D437BA" w:rsidRPr="009B79E9" w:rsidRDefault="00D437BA" w:rsidP="00B50F3A">
            <w:pPr>
              <w:pStyle w:val="Header"/>
              <w:rPr>
                <w:rFonts w:ascii="Calibri" w:hAnsi="Calibri"/>
                <w:bCs/>
                <w:szCs w:val="22"/>
              </w:rPr>
            </w:pPr>
          </w:p>
          <w:p w14:paraId="5AA9E4E2" w14:textId="56271452" w:rsidR="003E6B13" w:rsidRPr="009B79E9" w:rsidRDefault="00D437BA" w:rsidP="003E6B13">
            <w:pPr>
              <w:pStyle w:val="Header"/>
              <w:rPr>
                <w:rFonts w:ascii="Calibri" w:hAnsi="Calibri"/>
                <w:bCs/>
                <w:szCs w:val="22"/>
              </w:rPr>
            </w:pPr>
            <w:r w:rsidRPr="009B79E9">
              <w:rPr>
                <w:rFonts w:ascii="Calibri" w:hAnsi="Calibri"/>
                <w:bCs/>
                <w:szCs w:val="22"/>
              </w:rPr>
              <w:t xml:space="preserve">Even if the Council were to accept the applicant’s claim that the relevant period is four years (NB this is not the council’s position but for completeness it will be assessed anyway) the Council does not consider </w:t>
            </w:r>
            <w:r w:rsidR="003E6B13" w:rsidRPr="009B79E9">
              <w:rPr>
                <w:rFonts w:ascii="Calibri" w:hAnsi="Calibri"/>
                <w:bCs/>
                <w:szCs w:val="22"/>
              </w:rPr>
              <w:t xml:space="preserve">there is sufficient evidence to support the applicant’s claim that </w:t>
            </w:r>
            <w:r w:rsidR="00C706E4" w:rsidRPr="009B79E9">
              <w:rPr>
                <w:rFonts w:ascii="Calibri" w:hAnsi="Calibri"/>
                <w:bCs/>
                <w:szCs w:val="22"/>
              </w:rPr>
              <w:t xml:space="preserve">the </w:t>
            </w:r>
            <w:r w:rsidRPr="009B79E9">
              <w:rPr>
                <w:rFonts w:ascii="Calibri" w:hAnsi="Calibri"/>
                <w:bCs/>
                <w:szCs w:val="22"/>
              </w:rPr>
              <w:t xml:space="preserve">barn </w:t>
            </w:r>
            <w:r w:rsidR="00C706E4" w:rsidRPr="009B79E9">
              <w:rPr>
                <w:rFonts w:ascii="Calibri" w:hAnsi="Calibri"/>
                <w:bCs/>
                <w:szCs w:val="22"/>
              </w:rPr>
              <w:t xml:space="preserve">building in question has been used as a single dwellinghouse </w:t>
            </w:r>
            <w:r w:rsidR="006703EB" w:rsidRPr="009B79E9">
              <w:rPr>
                <w:rFonts w:ascii="Calibri" w:hAnsi="Calibri"/>
                <w:bCs/>
                <w:szCs w:val="22"/>
              </w:rPr>
              <w:t>for a continuous period of not less than four years.</w:t>
            </w:r>
          </w:p>
          <w:p w14:paraId="0F369FD8" w14:textId="77777777" w:rsidR="003E6B13" w:rsidRPr="0002304A" w:rsidRDefault="003E6B13" w:rsidP="003E6B13">
            <w:pPr>
              <w:pStyle w:val="Header"/>
              <w:rPr>
                <w:rFonts w:ascii="Calibri" w:hAnsi="Calibri"/>
                <w:bCs/>
                <w:szCs w:val="22"/>
              </w:rPr>
            </w:pPr>
          </w:p>
          <w:p w14:paraId="13D19D44" w14:textId="291DB666" w:rsidR="003E6B13" w:rsidRPr="0002304A" w:rsidRDefault="003E6B13" w:rsidP="003E6B13">
            <w:pPr>
              <w:pStyle w:val="Header"/>
              <w:rPr>
                <w:rFonts w:ascii="Calibri" w:hAnsi="Calibri"/>
                <w:bCs/>
                <w:szCs w:val="22"/>
              </w:rPr>
            </w:pPr>
            <w:r w:rsidRPr="0002304A">
              <w:rPr>
                <w:rFonts w:ascii="Calibri" w:hAnsi="Calibri"/>
                <w:bCs/>
                <w:szCs w:val="22"/>
              </w:rPr>
              <w:t>Numerous items of evidence have been provided in support of the application which include:</w:t>
            </w:r>
          </w:p>
          <w:p w14:paraId="1E9EF6FC" w14:textId="77777777" w:rsidR="003E6B13" w:rsidRPr="0002304A" w:rsidRDefault="003E6B13" w:rsidP="003E6B13">
            <w:pPr>
              <w:pStyle w:val="Header"/>
              <w:rPr>
                <w:rFonts w:ascii="Calibri" w:hAnsi="Calibri"/>
                <w:bCs/>
                <w:szCs w:val="22"/>
              </w:rPr>
            </w:pPr>
          </w:p>
          <w:p w14:paraId="140465E1" w14:textId="5FE1AEAA" w:rsidR="002969F4" w:rsidRDefault="002969F4" w:rsidP="00A5500B">
            <w:pPr>
              <w:pStyle w:val="Header"/>
              <w:numPr>
                <w:ilvl w:val="0"/>
                <w:numId w:val="7"/>
              </w:numPr>
              <w:rPr>
                <w:rFonts w:ascii="Calibri" w:hAnsi="Calibri"/>
                <w:bCs/>
                <w:szCs w:val="22"/>
              </w:rPr>
            </w:pPr>
            <w:r w:rsidRPr="0002304A">
              <w:rPr>
                <w:rFonts w:ascii="Calibri" w:hAnsi="Calibri"/>
                <w:bCs/>
                <w:szCs w:val="22"/>
              </w:rPr>
              <w:t xml:space="preserve">Land Registry document which identifies the applicant </w:t>
            </w:r>
            <w:r>
              <w:rPr>
                <w:rFonts w:ascii="Calibri" w:hAnsi="Calibri"/>
                <w:bCs/>
                <w:szCs w:val="22"/>
              </w:rPr>
              <w:t>as the owner of the barn building and associated land in question</w:t>
            </w:r>
          </w:p>
          <w:p w14:paraId="2CAA0237" w14:textId="77777777" w:rsidR="002969F4" w:rsidRDefault="002969F4" w:rsidP="002969F4">
            <w:pPr>
              <w:pStyle w:val="Header"/>
              <w:ind w:left="720"/>
              <w:rPr>
                <w:rFonts w:ascii="Calibri" w:hAnsi="Calibri"/>
                <w:bCs/>
                <w:szCs w:val="22"/>
              </w:rPr>
            </w:pPr>
          </w:p>
          <w:p w14:paraId="6C18063A" w14:textId="70915F5D" w:rsidR="003E6B13" w:rsidRDefault="00A5500B" w:rsidP="00A5500B">
            <w:pPr>
              <w:pStyle w:val="Header"/>
              <w:numPr>
                <w:ilvl w:val="0"/>
                <w:numId w:val="7"/>
              </w:numPr>
              <w:rPr>
                <w:rFonts w:ascii="Calibri" w:hAnsi="Calibri"/>
                <w:bCs/>
                <w:szCs w:val="22"/>
              </w:rPr>
            </w:pPr>
            <w:r>
              <w:rPr>
                <w:rFonts w:ascii="Calibri" w:hAnsi="Calibri"/>
                <w:bCs/>
                <w:szCs w:val="22"/>
              </w:rPr>
              <w:t>Statutory Declarations from the applicant, applicant’s partner and parents</w:t>
            </w:r>
            <w:r w:rsidR="00C706E4">
              <w:rPr>
                <w:rFonts w:ascii="Calibri" w:hAnsi="Calibri"/>
                <w:bCs/>
                <w:szCs w:val="22"/>
              </w:rPr>
              <w:t xml:space="preserve">, all of which attest to continuous residential use of the barn building </w:t>
            </w:r>
            <w:r w:rsidR="00C706E4" w:rsidRPr="00C706E4">
              <w:rPr>
                <w:rFonts w:ascii="Calibri" w:hAnsi="Calibri"/>
                <w:bCs/>
                <w:szCs w:val="22"/>
              </w:rPr>
              <w:t>from November 2016 through to the present day</w:t>
            </w:r>
          </w:p>
          <w:p w14:paraId="04AA2C98" w14:textId="73AD911D" w:rsidR="00C706E4" w:rsidRDefault="00C706E4" w:rsidP="00C706E4">
            <w:pPr>
              <w:pStyle w:val="Header"/>
              <w:ind w:left="720"/>
              <w:rPr>
                <w:rFonts w:ascii="Calibri" w:hAnsi="Calibri"/>
                <w:bCs/>
                <w:szCs w:val="22"/>
              </w:rPr>
            </w:pPr>
          </w:p>
          <w:p w14:paraId="13E19831" w14:textId="31468CCA" w:rsidR="00C706E4" w:rsidRDefault="00016005" w:rsidP="00A5500B">
            <w:pPr>
              <w:pStyle w:val="Header"/>
              <w:numPr>
                <w:ilvl w:val="0"/>
                <w:numId w:val="7"/>
              </w:numPr>
              <w:rPr>
                <w:rFonts w:ascii="Calibri" w:hAnsi="Calibri"/>
                <w:bCs/>
                <w:szCs w:val="22"/>
              </w:rPr>
            </w:pPr>
            <w:r>
              <w:rPr>
                <w:rFonts w:ascii="Calibri" w:hAnsi="Calibri"/>
                <w:bCs/>
                <w:szCs w:val="22"/>
              </w:rPr>
              <w:t>Bank account statements for the applicant</w:t>
            </w:r>
          </w:p>
          <w:p w14:paraId="32AA33AF" w14:textId="77777777" w:rsidR="00016005" w:rsidRDefault="00016005" w:rsidP="00016005">
            <w:pPr>
              <w:pStyle w:val="ListParagraph"/>
              <w:rPr>
                <w:rFonts w:ascii="Calibri" w:hAnsi="Calibri"/>
                <w:bCs/>
                <w:szCs w:val="22"/>
              </w:rPr>
            </w:pPr>
          </w:p>
          <w:p w14:paraId="5B1AEAAF" w14:textId="3C9059B0" w:rsidR="00016005" w:rsidRDefault="00016005" w:rsidP="00A5500B">
            <w:pPr>
              <w:pStyle w:val="Header"/>
              <w:numPr>
                <w:ilvl w:val="0"/>
                <w:numId w:val="7"/>
              </w:numPr>
              <w:rPr>
                <w:rFonts w:ascii="Calibri" w:hAnsi="Calibri"/>
                <w:bCs/>
                <w:szCs w:val="22"/>
              </w:rPr>
            </w:pPr>
            <w:r>
              <w:rPr>
                <w:rFonts w:ascii="Calibri" w:hAnsi="Calibri"/>
                <w:bCs/>
                <w:szCs w:val="22"/>
              </w:rPr>
              <w:t>Credit card offer letters for the applicant</w:t>
            </w:r>
          </w:p>
          <w:p w14:paraId="5399EE66" w14:textId="77777777" w:rsidR="00016005" w:rsidRDefault="00016005" w:rsidP="00016005">
            <w:pPr>
              <w:pStyle w:val="ListParagraph"/>
              <w:rPr>
                <w:rFonts w:ascii="Calibri" w:hAnsi="Calibri"/>
                <w:bCs/>
                <w:szCs w:val="22"/>
              </w:rPr>
            </w:pPr>
          </w:p>
          <w:p w14:paraId="774600CF" w14:textId="6F7009C1" w:rsidR="00016005" w:rsidRDefault="00016005" w:rsidP="00A5500B">
            <w:pPr>
              <w:pStyle w:val="Header"/>
              <w:numPr>
                <w:ilvl w:val="0"/>
                <w:numId w:val="7"/>
              </w:numPr>
              <w:rPr>
                <w:rFonts w:ascii="Calibri" w:hAnsi="Calibri"/>
                <w:bCs/>
                <w:szCs w:val="22"/>
              </w:rPr>
            </w:pPr>
            <w:r>
              <w:rPr>
                <w:rFonts w:ascii="Calibri" w:hAnsi="Calibri"/>
                <w:bCs/>
                <w:szCs w:val="22"/>
              </w:rPr>
              <w:t>Recreational membership letters for the applicant</w:t>
            </w:r>
          </w:p>
          <w:p w14:paraId="417FB10B" w14:textId="77777777" w:rsidR="00016005" w:rsidRDefault="00016005" w:rsidP="00016005">
            <w:pPr>
              <w:pStyle w:val="ListParagraph"/>
              <w:rPr>
                <w:rFonts w:ascii="Calibri" w:hAnsi="Calibri"/>
                <w:bCs/>
                <w:szCs w:val="22"/>
              </w:rPr>
            </w:pPr>
          </w:p>
          <w:p w14:paraId="2FAAAB70" w14:textId="2F6283E3" w:rsidR="00016005" w:rsidRDefault="00016005" w:rsidP="00A5500B">
            <w:pPr>
              <w:pStyle w:val="Header"/>
              <w:numPr>
                <w:ilvl w:val="0"/>
                <w:numId w:val="7"/>
              </w:numPr>
              <w:rPr>
                <w:rFonts w:ascii="Calibri" w:hAnsi="Calibri"/>
                <w:bCs/>
                <w:szCs w:val="22"/>
              </w:rPr>
            </w:pPr>
            <w:r>
              <w:rPr>
                <w:rFonts w:ascii="Calibri" w:hAnsi="Calibri"/>
                <w:bCs/>
                <w:szCs w:val="22"/>
              </w:rPr>
              <w:t>P60 Certificates for the applicant</w:t>
            </w:r>
          </w:p>
          <w:p w14:paraId="5A5FFC65" w14:textId="77777777" w:rsidR="00016005" w:rsidRDefault="00016005" w:rsidP="00016005">
            <w:pPr>
              <w:pStyle w:val="ListParagraph"/>
              <w:rPr>
                <w:rFonts w:ascii="Calibri" w:hAnsi="Calibri"/>
                <w:bCs/>
                <w:szCs w:val="22"/>
              </w:rPr>
            </w:pPr>
          </w:p>
          <w:p w14:paraId="3CE5E3C6" w14:textId="6D6A143A" w:rsidR="00016005" w:rsidRDefault="006774C4" w:rsidP="00A5500B">
            <w:pPr>
              <w:pStyle w:val="Header"/>
              <w:numPr>
                <w:ilvl w:val="0"/>
                <w:numId w:val="7"/>
              </w:numPr>
              <w:rPr>
                <w:rFonts w:ascii="Calibri" w:hAnsi="Calibri"/>
                <w:bCs/>
                <w:szCs w:val="22"/>
              </w:rPr>
            </w:pPr>
            <w:r>
              <w:rPr>
                <w:rFonts w:ascii="Calibri" w:hAnsi="Calibri"/>
                <w:bCs/>
                <w:szCs w:val="22"/>
              </w:rPr>
              <w:t xml:space="preserve">Sales receipts and invoices for </w:t>
            </w:r>
            <w:r w:rsidR="0034162D">
              <w:rPr>
                <w:rFonts w:ascii="Calibri" w:hAnsi="Calibri"/>
                <w:bCs/>
                <w:szCs w:val="22"/>
              </w:rPr>
              <w:t>various goods</w:t>
            </w:r>
            <w:r>
              <w:rPr>
                <w:rFonts w:ascii="Calibri" w:hAnsi="Calibri"/>
                <w:bCs/>
                <w:szCs w:val="22"/>
              </w:rPr>
              <w:t xml:space="preserve"> purchased by the applicant’s partner</w:t>
            </w:r>
          </w:p>
          <w:p w14:paraId="30C6862B" w14:textId="77777777" w:rsidR="003E6B13" w:rsidRDefault="003E6B13" w:rsidP="003E6B13">
            <w:pPr>
              <w:pStyle w:val="Header"/>
              <w:rPr>
                <w:rFonts w:ascii="Calibri" w:hAnsi="Calibri"/>
                <w:bCs/>
                <w:szCs w:val="22"/>
              </w:rPr>
            </w:pPr>
          </w:p>
          <w:p w14:paraId="7D26A761" w14:textId="4E2B782F" w:rsidR="002969F4" w:rsidRPr="00941A0D" w:rsidRDefault="00101F50" w:rsidP="002969F4">
            <w:pPr>
              <w:pStyle w:val="Header"/>
              <w:rPr>
                <w:rFonts w:ascii="Calibri" w:hAnsi="Calibri"/>
                <w:bCs/>
                <w:szCs w:val="22"/>
              </w:rPr>
            </w:pPr>
            <w:r w:rsidRPr="00941A0D">
              <w:rPr>
                <w:rFonts w:ascii="Calibri" w:hAnsi="Calibri"/>
                <w:bCs/>
                <w:szCs w:val="22"/>
              </w:rPr>
              <w:t xml:space="preserve">The address listed </w:t>
            </w:r>
            <w:r w:rsidR="0015513B" w:rsidRPr="00941A0D">
              <w:rPr>
                <w:rFonts w:ascii="Calibri" w:hAnsi="Calibri"/>
                <w:bCs/>
                <w:szCs w:val="22"/>
              </w:rPr>
              <w:t xml:space="preserve">for the applicant and </w:t>
            </w:r>
            <w:r w:rsidR="00C0080F" w:rsidRPr="00941A0D">
              <w:rPr>
                <w:rFonts w:ascii="Calibri" w:hAnsi="Calibri"/>
                <w:bCs/>
                <w:szCs w:val="22"/>
              </w:rPr>
              <w:t>their</w:t>
            </w:r>
            <w:r w:rsidR="0015513B" w:rsidRPr="00941A0D">
              <w:rPr>
                <w:rFonts w:ascii="Calibri" w:hAnsi="Calibri"/>
                <w:bCs/>
                <w:szCs w:val="22"/>
              </w:rPr>
              <w:t xml:space="preserve"> partner </w:t>
            </w:r>
            <w:r w:rsidRPr="00941A0D">
              <w:rPr>
                <w:rFonts w:ascii="Calibri" w:hAnsi="Calibri"/>
                <w:bCs/>
                <w:szCs w:val="22"/>
              </w:rPr>
              <w:t xml:space="preserve">on the above bank account statements, credit card offer letters, membership letters, P60 certificates and goods invoices </w:t>
            </w:r>
            <w:r w:rsidR="002969F4" w:rsidRPr="00941A0D">
              <w:rPr>
                <w:rFonts w:ascii="Calibri" w:hAnsi="Calibri"/>
                <w:bCs/>
                <w:szCs w:val="22"/>
              </w:rPr>
              <w:t>is</w:t>
            </w:r>
            <w:r w:rsidRPr="00941A0D">
              <w:rPr>
                <w:rFonts w:ascii="Calibri" w:hAnsi="Calibri"/>
                <w:bCs/>
                <w:szCs w:val="22"/>
              </w:rPr>
              <w:t xml:space="preserve"> denoted </w:t>
            </w:r>
            <w:r w:rsidR="002969F4" w:rsidRPr="00941A0D">
              <w:rPr>
                <w:rFonts w:ascii="Calibri" w:hAnsi="Calibri"/>
                <w:bCs/>
                <w:szCs w:val="22"/>
              </w:rPr>
              <w:t xml:space="preserve">(in </w:t>
            </w:r>
            <w:r w:rsidR="0015513B" w:rsidRPr="00941A0D">
              <w:rPr>
                <w:rFonts w:ascii="Calibri" w:hAnsi="Calibri"/>
                <w:bCs/>
                <w:szCs w:val="22"/>
              </w:rPr>
              <w:t>various</w:t>
            </w:r>
            <w:r w:rsidR="002969F4" w:rsidRPr="00941A0D">
              <w:rPr>
                <w:rFonts w:ascii="Calibri" w:hAnsi="Calibri"/>
                <w:bCs/>
                <w:szCs w:val="22"/>
              </w:rPr>
              <w:t xml:space="preserve"> address formats) as ‘Clough Farm’</w:t>
            </w:r>
            <w:r w:rsidR="0015513B" w:rsidRPr="00941A0D">
              <w:rPr>
                <w:rFonts w:ascii="Calibri" w:hAnsi="Calibri"/>
                <w:bCs/>
                <w:szCs w:val="22"/>
              </w:rPr>
              <w:t xml:space="preserve"> however an existing residential property also known as Clough Farm (and with the same postal code</w:t>
            </w:r>
            <w:r w:rsidR="00CE5FDA" w:rsidRPr="00941A0D">
              <w:rPr>
                <w:rFonts w:ascii="Calibri" w:hAnsi="Calibri"/>
                <w:bCs/>
                <w:szCs w:val="22"/>
              </w:rPr>
              <w:t xml:space="preserve"> ‘BB7 3AQ’</w:t>
            </w:r>
            <w:r w:rsidR="0015513B" w:rsidRPr="00941A0D">
              <w:rPr>
                <w:rFonts w:ascii="Calibri" w:hAnsi="Calibri"/>
                <w:bCs/>
                <w:szCs w:val="22"/>
              </w:rPr>
              <w:t xml:space="preserve">) lies approximately 50 metres away to the South-east of the barn building. As such, </w:t>
            </w:r>
            <w:r w:rsidR="00D437BA" w:rsidRPr="00941A0D">
              <w:rPr>
                <w:rFonts w:ascii="Calibri" w:hAnsi="Calibri"/>
                <w:bCs/>
                <w:szCs w:val="22"/>
              </w:rPr>
              <w:t xml:space="preserve">the applicants evidence does not provide </w:t>
            </w:r>
            <w:r w:rsidR="0015513B" w:rsidRPr="00941A0D">
              <w:rPr>
                <w:rFonts w:ascii="Calibri" w:hAnsi="Calibri"/>
                <w:bCs/>
                <w:szCs w:val="22"/>
              </w:rPr>
              <w:t xml:space="preserve">clear differentiation between Clough Farm </w:t>
            </w:r>
            <w:r w:rsidR="00744E59" w:rsidRPr="00941A0D">
              <w:rPr>
                <w:rFonts w:ascii="Calibri" w:hAnsi="Calibri"/>
                <w:bCs/>
                <w:szCs w:val="22"/>
              </w:rPr>
              <w:t xml:space="preserve">and </w:t>
            </w:r>
            <w:r w:rsidR="0015513B" w:rsidRPr="00941A0D">
              <w:rPr>
                <w:rFonts w:ascii="Calibri" w:hAnsi="Calibri"/>
                <w:bCs/>
                <w:szCs w:val="22"/>
              </w:rPr>
              <w:t>the barn building in question</w:t>
            </w:r>
            <w:r w:rsidR="00D437BA" w:rsidRPr="00941A0D">
              <w:rPr>
                <w:rFonts w:ascii="Calibri" w:hAnsi="Calibri"/>
                <w:bCs/>
                <w:szCs w:val="22"/>
              </w:rPr>
              <w:t>.</w:t>
            </w:r>
          </w:p>
          <w:p w14:paraId="402575B4" w14:textId="77777777" w:rsidR="002F1F6D" w:rsidRDefault="002F1F6D" w:rsidP="002969F4">
            <w:pPr>
              <w:pStyle w:val="Header"/>
              <w:rPr>
                <w:rFonts w:ascii="Calibri" w:hAnsi="Calibri"/>
                <w:bCs/>
                <w:szCs w:val="22"/>
              </w:rPr>
            </w:pPr>
          </w:p>
          <w:p w14:paraId="2F254A13" w14:textId="1AC0EC8E" w:rsidR="002F1F6D" w:rsidRPr="00941A0D" w:rsidRDefault="002F1F6D" w:rsidP="002969F4">
            <w:pPr>
              <w:pStyle w:val="Header"/>
              <w:rPr>
                <w:rFonts w:ascii="Calibri" w:hAnsi="Calibri"/>
                <w:bCs/>
                <w:szCs w:val="22"/>
              </w:rPr>
            </w:pPr>
            <w:r w:rsidRPr="00941A0D">
              <w:rPr>
                <w:rFonts w:ascii="Calibri" w:hAnsi="Calibri"/>
                <w:bCs/>
                <w:szCs w:val="22"/>
              </w:rPr>
              <w:t xml:space="preserve">In addition, </w:t>
            </w:r>
            <w:r w:rsidR="00744E59" w:rsidRPr="00941A0D">
              <w:rPr>
                <w:rFonts w:ascii="Calibri" w:hAnsi="Calibri"/>
                <w:bCs/>
                <w:szCs w:val="22"/>
              </w:rPr>
              <w:t xml:space="preserve">it is not considered unreasonable to assume that continuous residential occupation of the barn building in question </w:t>
            </w:r>
            <w:r w:rsidR="00080BDF" w:rsidRPr="00941A0D">
              <w:rPr>
                <w:rFonts w:ascii="Calibri" w:hAnsi="Calibri"/>
                <w:bCs/>
                <w:szCs w:val="22"/>
              </w:rPr>
              <w:t xml:space="preserve">from 2016 through to the present day </w:t>
            </w:r>
            <w:r w:rsidR="00744E59" w:rsidRPr="00941A0D">
              <w:rPr>
                <w:rFonts w:ascii="Calibri" w:hAnsi="Calibri"/>
                <w:bCs/>
                <w:szCs w:val="22"/>
              </w:rPr>
              <w:t>would warrant the consumption of basic utilities such as gas, water, and electricity however no evidence in the form of utility bills has been provided in support of the application.</w:t>
            </w:r>
          </w:p>
          <w:p w14:paraId="37B56BDE" w14:textId="77777777" w:rsidR="00080BDF" w:rsidRDefault="00080BDF" w:rsidP="002969F4">
            <w:pPr>
              <w:pStyle w:val="Header"/>
              <w:rPr>
                <w:rFonts w:ascii="Calibri" w:hAnsi="Calibri"/>
                <w:bCs/>
                <w:szCs w:val="22"/>
              </w:rPr>
            </w:pPr>
          </w:p>
          <w:p w14:paraId="566E0E73" w14:textId="711D2A58" w:rsidR="00080BDF" w:rsidRPr="002969F4" w:rsidRDefault="00080BDF" w:rsidP="002969F4">
            <w:pPr>
              <w:pStyle w:val="Header"/>
              <w:rPr>
                <w:rFonts w:ascii="Calibri" w:hAnsi="Calibri"/>
                <w:bCs/>
                <w:szCs w:val="22"/>
              </w:rPr>
            </w:pPr>
            <w:r>
              <w:rPr>
                <w:rFonts w:ascii="Calibri" w:hAnsi="Calibri"/>
                <w:bCs/>
                <w:szCs w:val="22"/>
              </w:rPr>
              <w:t>Furthermore, internal consultation with the Council’s Revenues department shows th</w:t>
            </w:r>
            <w:r w:rsidR="001E7034">
              <w:rPr>
                <w:rFonts w:ascii="Calibri" w:hAnsi="Calibri"/>
                <w:bCs/>
                <w:szCs w:val="22"/>
              </w:rPr>
              <w:t xml:space="preserve">e absence of any Council Tax payments for the barn building in question, with additional enquiries </w:t>
            </w:r>
            <w:r w:rsidR="00C0080F">
              <w:rPr>
                <w:rFonts w:ascii="Calibri" w:hAnsi="Calibri"/>
                <w:bCs/>
                <w:szCs w:val="22"/>
              </w:rPr>
              <w:t>showing</w:t>
            </w:r>
            <w:r w:rsidR="001E7034">
              <w:rPr>
                <w:rFonts w:ascii="Calibri" w:hAnsi="Calibri"/>
                <w:bCs/>
                <w:szCs w:val="22"/>
              </w:rPr>
              <w:t xml:space="preserve"> the applicant and </w:t>
            </w:r>
            <w:r w:rsidR="0020078E">
              <w:rPr>
                <w:rFonts w:ascii="Calibri" w:hAnsi="Calibri"/>
                <w:bCs/>
                <w:szCs w:val="22"/>
              </w:rPr>
              <w:t>their</w:t>
            </w:r>
            <w:r w:rsidR="001E7034">
              <w:rPr>
                <w:rFonts w:ascii="Calibri" w:hAnsi="Calibri"/>
                <w:bCs/>
                <w:szCs w:val="22"/>
              </w:rPr>
              <w:t xml:space="preserve"> partner </w:t>
            </w:r>
            <w:r w:rsidR="00C0080F">
              <w:rPr>
                <w:rFonts w:ascii="Calibri" w:hAnsi="Calibri"/>
                <w:bCs/>
                <w:szCs w:val="22"/>
              </w:rPr>
              <w:t xml:space="preserve">to be absent </w:t>
            </w:r>
            <w:r w:rsidR="001E7034">
              <w:rPr>
                <w:rFonts w:ascii="Calibri" w:hAnsi="Calibri"/>
                <w:bCs/>
                <w:szCs w:val="22"/>
              </w:rPr>
              <w:t xml:space="preserve">from </w:t>
            </w:r>
            <w:r w:rsidR="0020078E">
              <w:rPr>
                <w:rFonts w:ascii="Calibri" w:hAnsi="Calibri"/>
                <w:bCs/>
                <w:szCs w:val="22"/>
              </w:rPr>
              <w:t>the</w:t>
            </w:r>
            <w:r w:rsidR="001E7034">
              <w:rPr>
                <w:rFonts w:ascii="Calibri" w:hAnsi="Calibri"/>
                <w:bCs/>
                <w:szCs w:val="22"/>
              </w:rPr>
              <w:t xml:space="preserve"> Electoral R</w:t>
            </w:r>
            <w:r w:rsidR="0020078E">
              <w:rPr>
                <w:rFonts w:ascii="Calibri" w:hAnsi="Calibri"/>
                <w:bCs/>
                <w:szCs w:val="22"/>
              </w:rPr>
              <w:t>o</w:t>
            </w:r>
            <w:r w:rsidR="001E7034">
              <w:rPr>
                <w:rFonts w:ascii="Calibri" w:hAnsi="Calibri"/>
                <w:bCs/>
                <w:szCs w:val="22"/>
              </w:rPr>
              <w:t>le register.</w:t>
            </w:r>
          </w:p>
          <w:p w14:paraId="1A3F6DDA" w14:textId="77777777" w:rsidR="006703EB" w:rsidRDefault="006703EB" w:rsidP="003E6B13">
            <w:pPr>
              <w:pStyle w:val="Header"/>
              <w:rPr>
                <w:rFonts w:ascii="Calibri" w:hAnsi="Calibri"/>
                <w:bCs/>
                <w:szCs w:val="22"/>
              </w:rPr>
            </w:pPr>
          </w:p>
          <w:p w14:paraId="34AD1D87" w14:textId="77777777" w:rsidR="00174FC6" w:rsidRDefault="00174FC6" w:rsidP="00174FC6">
            <w:pPr>
              <w:pStyle w:val="Header"/>
              <w:tabs>
                <w:tab w:val="clear" w:pos="4153"/>
                <w:tab w:val="clear" w:pos="8306"/>
              </w:tabs>
              <w:contextualSpacing/>
              <w:jc w:val="both"/>
              <w:rPr>
                <w:rFonts w:ascii="Calibri" w:hAnsi="Calibri"/>
                <w:szCs w:val="22"/>
              </w:rPr>
            </w:pPr>
            <w:r w:rsidRPr="00CE5FDA">
              <w:rPr>
                <w:rFonts w:ascii="Calibri" w:hAnsi="Calibri"/>
                <w:szCs w:val="22"/>
              </w:rPr>
              <w:t>National Planning Practice Guidance states:</w:t>
            </w:r>
          </w:p>
          <w:p w14:paraId="161E98AA" w14:textId="77777777" w:rsidR="00174FC6" w:rsidRPr="00CE5FDA" w:rsidRDefault="00174FC6" w:rsidP="00174FC6">
            <w:pPr>
              <w:pStyle w:val="Header"/>
              <w:tabs>
                <w:tab w:val="clear" w:pos="4153"/>
                <w:tab w:val="clear" w:pos="8306"/>
              </w:tabs>
              <w:contextualSpacing/>
              <w:jc w:val="both"/>
              <w:rPr>
                <w:rFonts w:ascii="Calibri" w:hAnsi="Calibri"/>
                <w:szCs w:val="22"/>
              </w:rPr>
            </w:pPr>
          </w:p>
          <w:p w14:paraId="705289CC" w14:textId="77777777" w:rsidR="00174FC6" w:rsidRPr="00CE5FDA" w:rsidRDefault="00174FC6" w:rsidP="00174FC6">
            <w:pPr>
              <w:pStyle w:val="Header"/>
              <w:tabs>
                <w:tab w:val="clear" w:pos="4153"/>
                <w:tab w:val="clear" w:pos="8306"/>
              </w:tabs>
              <w:contextualSpacing/>
              <w:jc w:val="both"/>
              <w:rPr>
                <w:rFonts w:ascii="Calibri" w:hAnsi="Calibri"/>
                <w:i/>
                <w:iCs/>
                <w:szCs w:val="22"/>
              </w:rPr>
            </w:pPr>
            <w:r w:rsidRPr="00CE5FDA">
              <w:rPr>
                <w:rFonts w:ascii="Calibri" w:hAnsi="Calibri"/>
                <w:i/>
                <w:iCs/>
                <w:szCs w:val="22"/>
              </w:rPr>
              <w:t>‘The applicant is responsible for providing sufficient information to support an application…if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p>
          <w:p w14:paraId="297D5B6F" w14:textId="77777777" w:rsidR="00174FC6" w:rsidRPr="00CE5FDA" w:rsidRDefault="00174FC6" w:rsidP="00174FC6">
            <w:pPr>
              <w:pStyle w:val="Header"/>
              <w:tabs>
                <w:tab w:val="clear" w:pos="4153"/>
                <w:tab w:val="clear" w:pos="8306"/>
              </w:tabs>
              <w:contextualSpacing/>
              <w:jc w:val="both"/>
              <w:rPr>
                <w:rFonts w:ascii="Calibri" w:hAnsi="Calibri"/>
                <w:szCs w:val="22"/>
              </w:rPr>
            </w:pPr>
          </w:p>
          <w:p w14:paraId="492982C5" w14:textId="520FDDCF" w:rsidR="00174FC6" w:rsidRPr="0002304A" w:rsidRDefault="00174FC6" w:rsidP="00174FC6">
            <w:pPr>
              <w:pStyle w:val="Header"/>
              <w:tabs>
                <w:tab w:val="clear" w:pos="4153"/>
                <w:tab w:val="clear" w:pos="8306"/>
              </w:tabs>
              <w:contextualSpacing/>
              <w:jc w:val="both"/>
              <w:rPr>
                <w:rFonts w:ascii="Calibri" w:hAnsi="Calibri"/>
                <w:szCs w:val="22"/>
              </w:rPr>
            </w:pPr>
            <w:r w:rsidRPr="00CE5FDA">
              <w:rPr>
                <w:rFonts w:ascii="Calibri" w:hAnsi="Calibri"/>
                <w:szCs w:val="22"/>
              </w:rPr>
              <w:lastRenderedPageBreak/>
              <w:t xml:space="preserve">In this instance, </w:t>
            </w:r>
            <w:r>
              <w:rPr>
                <w:rFonts w:ascii="Calibri" w:hAnsi="Calibri"/>
                <w:szCs w:val="22"/>
              </w:rPr>
              <w:t>the applicant has failed to provide evidence to unequivocally demonstrate continuous</w:t>
            </w:r>
            <w:r w:rsidRPr="005F3D8B">
              <w:rPr>
                <w:rFonts w:ascii="Calibri" w:hAnsi="Calibri"/>
                <w:szCs w:val="22"/>
              </w:rPr>
              <w:t xml:space="preserve"> use of the barn building in </w:t>
            </w:r>
            <w:r w:rsidRPr="009B79E9">
              <w:rPr>
                <w:rFonts w:ascii="Calibri" w:hAnsi="Calibri"/>
                <w:szCs w:val="22"/>
              </w:rPr>
              <w:t xml:space="preserve">question as a single dwellinghouse </w:t>
            </w:r>
            <w:r w:rsidR="0002304A" w:rsidRPr="009B79E9">
              <w:rPr>
                <w:rFonts w:ascii="Calibri" w:hAnsi="Calibri"/>
                <w:szCs w:val="22"/>
              </w:rPr>
              <w:t xml:space="preserve">with unrestricted occupancy </w:t>
            </w:r>
            <w:r w:rsidRPr="009B79E9">
              <w:rPr>
                <w:rFonts w:ascii="Calibri" w:hAnsi="Calibri"/>
                <w:szCs w:val="22"/>
              </w:rPr>
              <w:t xml:space="preserve">for a continuous period in excess of </w:t>
            </w:r>
            <w:r w:rsidR="00D437BA" w:rsidRPr="009B79E9">
              <w:rPr>
                <w:rFonts w:ascii="Calibri" w:hAnsi="Calibri"/>
                <w:szCs w:val="22"/>
              </w:rPr>
              <w:t>ten years (</w:t>
            </w:r>
            <w:r w:rsidR="00941A0D" w:rsidRPr="009B79E9">
              <w:rPr>
                <w:rFonts w:ascii="Calibri" w:hAnsi="Calibri"/>
                <w:szCs w:val="22"/>
              </w:rPr>
              <w:t>the correct</w:t>
            </w:r>
            <w:r w:rsidR="00D437BA" w:rsidRPr="009B79E9">
              <w:rPr>
                <w:rFonts w:ascii="Calibri" w:hAnsi="Calibri"/>
                <w:szCs w:val="22"/>
              </w:rPr>
              <w:t xml:space="preserve"> </w:t>
            </w:r>
            <w:r w:rsidR="00941A0D" w:rsidRPr="009B79E9">
              <w:rPr>
                <w:rFonts w:ascii="Calibri" w:hAnsi="Calibri"/>
                <w:szCs w:val="22"/>
              </w:rPr>
              <w:t>period in the view of the Council</w:t>
            </w:r>
            <w:r w:rsidR="00D437BA" w:rsidRPr="009B79E9">
              <w:rPr>
                <w:rFonts w:ascii="Calibri" w:hAnsi="Calibri"/>
                <w:szCs w:val="22"/>
              </w:rPr>
              <w:t xml:space="preserve">) or even </w:t>
            </w:r>
            <w:r w:rsidRPr="009B79E9">
              <w:rPr>
                <w:rFonts w:ascii="Calibri" w:hAnsi="Calibri"/>
                <w:szCs w:val="22"/>
              </w:rPr>
              <w:t xml:space="preserve">four years </w:t>
            </w:r>
            <w:r w:rsidR="00D437BA" w:rsidRPr="009B79E9">
              <w:rPr>
                <w:rFonts w:ascii="Calibri" w:hAnsi="Calibri"/>
                <w:szCs w:val="22"/>
              </w:rPr>
              <w:t>(</w:t>
            </w:r>
            <w:r w:rsidR="00941A0D" w:rsidRPr="009B79E9">
              <w:rPr>
                <w:rFonts w:ascii="Calibri" w:hAnsi="Calibri"/>
                <w:szCs w:val="22"/>
              </w:rPr>
              <w:t xml:space="preserve">the correct period in the view of the </w:t>
            </w:r>
            <w:r w:rsidR="00D437BA" w:rsidRPr="009B79E9">
              <w:rPr>
                <w:rFonts w:ascii="Calibri" w:hAnsi="Calibri"/>
                <w:szCs w:val="22"/>
              </w:rPr>
              <w:t xml:space="preserve">applicant) </w:t>
            </w:r>
            <w:r w:rsidRPr="009B79E9">
              <w:rPr>
                <w:rFonts w:ascii="Calibri" w:hAnsi="Calibri"/>
                <w:szCs w:val="22"/>
              </w:rPr>
              <w:t>therefore the evidence provided in support of the application is not considered to be sufficiently precise</w:t>
            </w:r>
            <w:r w:rsidRPr="0002304A">
              <w:rPr>
                <w:rFonts w:ascii="Calibri" w:hAnsi="Calibri"/>
                <w:szCs w:val="22"/>
              </w:rPr>
              <w:t xml:space="preserve"> or unambiguous to justify the grant of a certificate on the balance of probability.</w:t>
            </w:r>
          </w:p>
          <w:p w14:paraId="588AAA6A" w14:textId="77777777" w:rsidR="00174FC6" w:rsidRPr="0002304A" w:rsidRDefault="00174FC6" w:rsidP="00174FC6">
            <w:pPr>
              <w:pStyle w:val="Header"/>
              <w:tabs>
                <w:tab w:val="clear" w:pos="4153"/>
                <w:tab w:val="clear" w:pos="8306"/>
              </w:tabs>
              <w:contextualSpacing/>
              <w:jc w:val="both"/>
              <w:rPr>
                <w:rFonts w:ascii="Calibri" w:hAnsi="Calibri"/>
                <w:szCs w:val="22"/>
              </w:rPr>
            </w:pPr>
          </w:p>
          <w:p w14:paraId="5AB87F18" w14:textId="343118AB" w:rsidR="00174FC6" w:rsidRPr="0002304A" w:rsidRDefault="00174FC6" w:rsidP="00174FC6">
            <w:pPr>
              <w:pStyle w:val="Header"/>
              <w:rPr>
                <w:rFonts w:ascii="Calibri" w:hAnsi="Calibri"/>
                <w:bCs/>
                <w:szCs w:val="22"/>
              </w:rPr>
            </w:pPr>
            <w:r w:rsidRPr="0002304A">
              <w:rPr>
                <w:rFonts w:ascii="Calibri" w:hAnsi="Calibri"/>
                <w:bCs/>
                <w:szCs w:val="22"/>
              </w:rPr>
              <w:t>As such, taking into account the submitted supporting information and in the absence of any other evidence to suggest otherwise, it is considered that the property has not been used as a single dwellinghouse</w:t>
            </w:r>
            <w:r w:rsidR="009B79E9">
              <w:rPr>
                <w:rFonts w:ascii="Calibri" w:hAnsi="Calibri"/>
                <w:bCs/>
                <w:szCs w:val="22"/>
              </w:rPr>
              <w:t xml:space="preserve"> with unrestricted occupancy </w:t>
            </w:r>
            <w:r w:rsidRPr="0002304A">
              <w:rPr>
                <w:rFonts w:ascii="Calibri" w:hAnsi="Calibri"/>
                <w:bCs/>
                <w:szCs w:val="22"/>
              </w:rPr>
              <w:t xml:space="preserve">for a continuous period in excess of </w:t>
            </w:r>
            <w:r w:rsidR="00941A0D" w:rsidRPr="0002304A">
              <w:rPr>
                <w:rFonts w:ascii="Calibri" w:hAnsi="Calibri"/>
                <w:bCs/>
                <w:szCs w:val="22"/>
              </w:rPr>
              <w:t xml:space="preserve">ten </w:t>
            </w:r>
            <w:r w:rsidRPr="0002304A">
              <w:rPr>
                <w:rFonts w:ascii="Calibri" w:hAnsi="Calibri"/>
                <w:bCs/>
                <w:szCs w:val="22"/>
              </w:rPr>
              <w:t>years and as such is not considered lawful by virtue of section (</w:t>
            </w:r>
            <w:r w:rsidR="00941A0D" w:rsidRPr="0002304A">
              <w:rPr>
                <w:rFonts w:ascii="Calibri" w:hAnsi="Calibri"/>
                <w:bCs/>
                <w:szCs w:val="22"/>
              </w:rPr>
              <w:t>3</w:t>
            </w:r>
            <w:r w:rsidRPr="0002304A">
              <w:rPr>
                <w:rFonts w:ascii="Calibri" w:hAnsi="Calibri"/>
                <w:bCs/>
                <w:szCs w:val="22"/>
              </w:rPr>
              <w:t>) of 171(B) of the Town and Country Planning Act 1990.</w:t>
            </w:r>
          </w:p>
          <w:p w14:paraId="0DB485A3" w14:textId="66441A38" w:rsidR="00AD0B00" w:rsidRPr="00C0704D" w:rsidRDefault="00AD0B00" w:rsidP="003E6B13">
            <w:pPr>
              <w:pStyle w:val="Header"/>
              <w:rPr>
                <w:rFonts w:ascii="Calibri" w:hAnsi="Calibri"/>
                <w:szCs w:val="22"/>
              </w:rPr>
            </w:pPr>
          </w:p>
        </w:tc>
      </w:tr>
      <w:tr w:rsidR="00C0704D" w:rsidRPr="00D2449B" w14:paraId="507FC89B" w14:textId="77777777" w:rsidTr="00D7793B">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73490" w:rsidR="00C0704D" w:rsidRPr="00D2449B" w:rsidRDefault="00402270" w:rsidP="00CD2CEF">
            <w:pPr>
              <w:rPr>
                <w:rFonts w:ascii="Calibri" w:hAnsi="Calibri"/>
                <w:bCs/>
                <w:szCs w:val="22"/>
              </w:rPr>
            </w:pPr>
            <w:r w:rsidRPr="00402270">
              <w:rPr>
                <w:rFonts w:ascii="Calibri" w:hAnsi="Calibri"/>
                <w:bCs/>
                <w:szCs w:val="22"/>
              </w:rPr>
              <w:t>That the certificate of lawfulness be refused for the following reason</w:t>
            </w:r>
            <w:r>
              <w:rPr>
                <w:rFonts w:ascii="Calibri" w:hAnsi="Calibri"/>
                <w:bCs/>
                <w:szCs w:val="22"/>
              </w:rPr>
              <w:t>:</w:t>
            </w:r>
          </w:p>
        </w:tc>
      </w:tr>
      <w:tr w:rsidR="00402270" w:rsidRPr="00D2449B" w14:paraId="441552EE" w14:textId="77777777" w:rsidTr="00D7793B">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82F047" w14:textId="553EF2B5" w:rsidR="00402270" w:rsidRPr="00402270" w:rsidRDefault="00402270" w:rsidP="00402270">
            <w:pPr>
              <w:jc w:val="center"/>
              <w:rPr>
                <w:rFonts w:ascii="Calibri" w:hAnsi="Calibri"/>
                <w:b/>
                <w:szCs w:val="22"/>
              </w:rPr>
            </w:pPr>
            <w:r w:rsidRPr="00402270">
              <w:rPr>
                <w:rFonts w:ascii="Calibri" w:hAnsi="Calibri"/>
                <w:b/>
                <w:szCs w:val="22"/>
              </w:rPr>
              <w:t>01:</w:t>
            </w:r>
          </w:p>
        </w:tc>
        <w:tc>
          <w:tcPr>
            <w:tcW w:w="87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255406" w14:textId="507C910C" w:rsidR="00402270" w:rsidRPr="00402270" w:rsidRDefault="00AD0B00" w:rsidP="00CD2CEF">
            <w:pPr>
              <w:rPr>
                <w:rFonts w:ascii="Calibri" w:hAnsi="Calibri"/>
                <w:bCs/>
                <w:szCs w:val="22"/>
              </w:rPr>
            </w:pPr>
            <w:r w:rsidRPr="0002304A">
              <w:rPr>
                <w:rFonts w:ascii="Calibri" w:hAnsi="Calibri"/>
                <w:bCs/>
                <w:szCs w:val="22"/>
              </w:rPr>
              <w:t xml:space="preserve">The applicant has failed to demonstrate that the barn building, subject to this application, has been used as a single dwellinghouse </w:t>
            </w:r>
            <w:r w:rsidR="009B79E9">
              <w:rPr>
                <w:rFonts w:ascii="Calibri" w:hAnsi="Calibri"/>
                <w:bCs/>
                <w:szCs w:val="22"/>
              </w:rPr>
              <w:t xml:space="preserve">with unrestricted occupancy </w:t>
            </w:r>
            <w:r w:rsidRPr="0002304A">
              <w:rPr>
                <w:rFonts w:ascii="Calibri" w:hAnsi="Calibri"/>
                <w:bCs/>
                <w:szCs w:val="22"/>
              </w:rPr>
              <w:t xml:space="preserve">for a continuous period in excess of </w:t>
            </w:r>
            <w:r w:rsidR="005148E9" w:rsidRPr="0002304A">
              <w:rPr>
                <w:rFonts w:ascii="Calibri" w:hAnsi="Calibri"/>
                <w:bCs/>
                <w:szCs w:val="22"/>
              </w:rPr>
              <w:t>ten</w:t>
            </w:r>
            <w:r w:rsidRPr="0002304A">
              <w:rPr>
                <w:rFonts w:ascii="Calibri" w:hAnsi="Calibri"/>
                <w:bCs/>
                <w:szCs w:val="22"/>
              </w:rPr>
              <w:t xml:space="preserve"> years, </w:t>
            </w:r>
            <w:r w:rsidR="005148E9" w:rsidRPr="0002304A">
              <w:rPr>
                <w:rFonts w:ascii="Calibri" w:hAnsi="Calibri"/>
                <w:bCs/>
                <w:szCs w:val="22"/>
              </w:rPr>
              <w:t xml:space="preserve">in breach of planning condition, </w:t>
            </w:r>
            <w:r w:rsidRPr="0002304A">
              <w:rPr>
                <w:rFonts w:ascii="Calibri" w:hAnsi="Calibri"/>
                <w:bCs/>
                <w:szCs w:val="22"/>
              </w:rPr>
              <w:t>as such the C3 use of the property is not considered lawful by virtue of section (</w:t>
            </w:r>
            <w:r w:rsidR="00E25565">
              <w:rPr>
                <w:rFonts w:ascii="Calibri" w:hAnsi="Calibri"/>
                <w:bCs/>
                <w:szCs w:val="22"/>
              </w:rPr>
              <w:t>3</w:t>
            </w:r>
            <w:r w:rsidRPr="0002304A">
              <w:rPr>
                <w:rFonts w:ascii="Calibri" w:hAnsi="Calibri"/>
                <w:bCs/>
                <w:szCs w:val="22"/>
              </w:rPr>
              <w:t>) of 171(B) of the Town and Country Planning Act 1990.</w:t>
            </w:r>
          </w:p>
        </w:tc>
      </w:tr>
    </w:tbl>
    <w:p w14:paraId="513FB541" w14:textId="77777777" w:rsidR="0002304A" w:rsidRPr="00D2449B" w:rsidRDefault="0002304A">
      <w:pPr>
        <w:rPr>
          <w:rFonts w:ascii="Calibri" w:hAnsi="Calibri"/>
          <w:szCs w:val="22"/>
        </w:rPr>
      </w:pPr>
    </w:p>
    <w:sectPr w:rsidR="0002304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64D4A"/>
    <w:multiLevelType w:val="hybridMultilevel"/>
    <w:tmpl w:val="54C8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27121"/>
    <w:multiLevelType w:val="hybridMultilevel"/>
    <w:tmpl w:val="678E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863CF"/>
    <w:multiLevelType w:val="hybridMultilevel"/>
    <w:tmpl w:val="969A05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6C416A8"/>
    <w:multiLevelType w:val="hybridMultilevel"/>
    <w:tmpl w:val="D152C688"/>
    <w:lvl w:ilvl="0" w:tplc="05ECA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7E0E69"/>
    <w:multiLevelType w:val="hybridMultilevel"/>
    <w:tmpl w:val="1398F65E"/>
    <w:lvl w:ilvl="0" w:tplc="CB4473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1C9376F"/>
    <w:multiLevelType w:val="hybridMultilevel"/>
    <w:tmpl w:val="BB5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D6824"/>
    <w:multiLevelType w:val="hybridMultilevel"/>
    <w:tmpl w:val="1A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633176010">
    <w:abstractNumId w:val="1"/>
  </w:num>
  <w:num w:numId="3" w16cid:durableId="1330208351">
    <w:abstractNumId w:val="5"/>
  </w:num>
  <w:num w:numId="4" w16cid:durableId="1855730261">
    <w:abstractNumId w:val="0"/>
  </w:num>
  <w:num w:numId="5" w16cid:durableId="1717967737">
    <w:abstractNumId w:val="3"/>
  </w:num>
  <w:num w:numId="6" w16cid:durableId="624508807">
    <w:abstractNumId w:val="4"/>
  </w:num>
  <w:num w:numId="7" w16cid:durableId="1686175993">
    <w:abstractNumId w:val="7"/>
  </w:num>
  <w:num w:numId="8" w16cid:durableId="78602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005"/>
    <w:rsid w:val="0002273F"/>
    <w:rsid w:val="0002304A"/>
    <w:rsid w:val="000758A4"/>
    <w:rsid w:val="00080BDF"/>
    <w:rsid w:val="000B5CB5"/>
    <w:rsid w:val="000C1A6C"/>
    <w:rsid w:val="000F2F98"/>
    <w:rsid w:val="000F346C"/>
    <w:rsid w:val="00101F50"/>
    <w:rsid w:val="00105930"/>
    <w:rsid w:val="001238E5"/>
    <w:rsid w:val="00130035"/>
    <w:rsid w:val="00134FBA"/>
    <w:rsid w:val="001512F0"/>
    <w:rsid w:val="00151FE2"/>
    <w:rsid w:val="00153BF7"/>
    <w:rsid w:val="0015513B"/>
    <w:rsid w:val="00174FC6"/>
    <w:rsid w:val="0019211F"/>
    <w:rsid w:val="001C4E32"/>
    <w:rsid w:val="001D4F7A"/>
    <w:rsid w:val="001E634E"/>
    <w:rsid w:val="001E7034"/>
    <w:rsid w:val="001E70DB"/>
    <w:rsid w:val="001F1BF5"/>
    <w:rsid w:val="0020078E"/>
    <w:rsid w:val="002109BA"/>
    <w:rsid w:val="00213A08"/>
    <w:rsid w:val="002164C6"/>
    <w:rsid w:val="0022092D"/>
    <w:rsid w:val="00230DEC"/>
    <w:rsid w:val="00250879"/>
    <w:rsid w:val="00283DAC"/>
    <w:rsid w:val="0029334A"/>
    <w:rsid w:val="002969F4"/>
    <w:rsid w:val="002A01CF"/>
    <w:rsid w:val="002C6277"/>
    <w:rsid w:val="002E3882"/>
    <w:rsid w:val="002F1F6D"/>
    <w:rsid w:val="002F2580"/>
    <w:rsid w:val="0030336C"/>
    <w:rsid w:val="00321B6E"/>
    <w:rsid w:val="00332D3C"/>
    <w:rsid w:val="003375D3"/>
    <w:rsid w:val="0034162D"/>
    <w:rsid w:val="0035044F"/>
    <w:rsid w:val="00352EC0"/>
    <w:rsid w:val="00354A0F"/>
    <w:rsid w:val="0036309D"/>
    <w:rsid w:val="003709AA"/>
    <w:rsid w:val="00394AAD"/>
    <w:rsid w:val="003A6175"/>
    <w:rsid w:val="003B459A"/>
    <w:rsid w:val="003B63E9"/>
    <w:rsid w:val="003E6B13"/>
    <w:rsid w:val="00402270"/>
    <w:rsid w:val="00440CB6"/>
    <w:rsid w:val="0046548C"/>
    <w:rsid w:val="0048424C"/>
    <w:rsid w:val="004947BB"/>
    <w:rsid w:val="004974CD"/>
    <w:rsid w:val="004A5EA9"/>
    <w:rsid w:val="004B432E"/>
    <w:rsid w:val="004C2434"/>
    <w:rsid w:val="004C2AD3"/>
    <w:rsid w:val="004F0649"/>
    <w:rsid w:val="005017E6"/>
    <w:rsid w:val="00503194"/>
    <w:rsid w:val="00510FA2"/>
    <w:rsid w:val="005141A2"/>
    <w:rsid w:val="005148AF"/>
    <w:rsid w:val="005148E9"/>
    <w:rsid w:val="00522E14"/>
    <w:rsid w:val="00527882"/>
    <w:rsid w:val="0055014A"/>
    <w:rsid w:val="00553D35"/>
    <w:rsid w:val="0055645B"/>
    <w:rsid w:val="00556ECD"/>
    <w:rsid w:val="005673BE"/>
    <w:rsid w:val="00591C39"/>
    <w:rsid w:val="00593603"/>
    <w:rsid w:val="005A25C4"/>
    <w:rsid w:val="005B1843"/>
    <w:rsid w:val="005D1C53"/>
    <w:rsid w:val="005E1C6C"/>
    <w:rsid w:val="005E65DF"/>
    <w:rsid w:val="005E67DA"/>
    <w:rsid w:val="005F3D8B"/>
    <w:rsid w:val="00632F2C"/>
    <w:rsid w:val="006339A4"/>
    <w:rsid w:val="006703EB"/>
    <w:rsid w:val="00673B0A"/>
    <w:rsid w:val="006774C4"/>
    <w:rsid w:val="00681E01"/>
    <w:rsid w:val="00686398"/>
    <w:rsid w:val="00692B60"/>
    <w:rsid w:val="00692EDA"/>
    <w:rsid w:val="00696A3B"/>
    <w:rsid w:val="006A2818"/>
    <w:rsid w:val="006A71AD"/>
    <w:rsid w:val="006B10AF"/>
    <w:rsid w:val="006C2BFA"/>
    <w:rsid w:val="006C4E21"/>
    <w:rsid w:val="006D0BAE"/>
    <w:rsid w:val="006D7CA0"/>
    <w:rsid w:val="006E2F1F"/>
    <w:rsid w:val="006E513A"/>
    <w:rsid w:val="006F6849"/>
    <w:rsid w:val="0070054B"/>
    <w:rsid w:val="00730776"/>
    <w:rsid w:val="0073672C"/>
    <w:rsid w:val="00743F8C"/>
    <w:rsid w:val="00744E59"/>
    <w:rsid w:val="0075645B"/>
    <w:rsid w:val="00761403"/>
    <w:rsid w:val="00776AE2"/>
    <w:rsid w:val="00777FCE"/>
    <w:rsid w:val="007C791C"/>
    <w:rsid w:val="007D7DF4"/>
    <w:rsid w:val="007E0D23"/>
    <w:rsid w:val="007F16D6"/>
    <w:rsid w:val="00811771"/>
    <w:rsid w:val="008314CD"/>
    <w:rsid w:val="00835CEC"/>
    <w:rsid w:val="00847D6C"/>
    <w:rsid w:val="008542DE"/>
    <w:rsid w:val="00856A43"/>
    <w:rsid w:val="00867B9F"/>
    <w:rsid w:val="008A28C8"/>
    <w:rsid w:val="008A34F6"/>
    <w:rsid w:val="008C16BF"/>
    <w:rsid w:val="008D47F3"/>
    <w:rsid w:val="008D7825"/>
    <w:rsid w:val="00931915"/>
    <w:rsid w:val="0093510F"/>
    <w:rsid w:val="00941A0D"/>
    <w:rsid w:val="009442D2"/>
    <w:rsid w:val="0098748F"/>
    <w:rsid w:val="00991156"/>
    <w:rsid w:val="009A7332"/>
    <w:rsid w:val="009B4248"/>
    <w:rsid w:val="009B79E9"/>
    <w:rsid w:val="009F5A44"/>
    <w:rsid w:val="00A24574"/>
    <w:rsid w:val="00A30B19"/>
    <w:rsid w:val="00A30F48"/>
    <w:rsid w:val="00A42E82"/>
    <w:rsid w:val="00A464CB"/>
    <w:rsid w:val="00A513AA"/>
    <w:rsid w:val="00A5364F"/>
    <w:rsid w:val="00A54DF1"/>
    <w:rsid w:val="00A5500B"/>
    <w:rsid w:val="00A579BB"/>
    <w:rsid w:val="00A57DE0"/>
    <w:rsid w:val="00A63D55"/>
    <w:rsid w:val="00A76842"/>
    <w:rsid w:val="00A95D89"/>
    <w:rsid w:val="00AC2DD5"/>
    <w:rsid w:val="00AD072C"/>
    <w:rsid w:val="00AD0B00"/>
    <w:rsid w:val="00AD0DE2"/>
    <w:rsid w:val="00AD60E1"/>
    <w:rsid w:val="00AD6D81"/>
    <w:rsid w:val="00AE2457"/>
    <w:rsid w:val="00AF4FCD"/>
    <w:rsid w:val="00B1768A"/>
    <w:rsid w:val="00B232A9"/>
    <w:rsid w:val="00B30F74"/>
    <w:rsid w:val="00B50F3A"/>
    <w:rsid w:val="00B55C2D"/>
    <w:rsid w:val="00B6149C"/>
    <w:rsid w:val="00B81671"/>
    <w:rsid w:val="00B83E74"/>
    <w:rsid w:val="00B93EB5"/>
    <w:rsid w:val="00BB7670"/>
    <w:rsid w:val="00BD3F03"/>
    <w:rsid w:val="00BE54A4"/>
    <w:rsid w:val="00C0080F"/>
    <w:rsid w:val="00C0704D"/>
    <w:rsid w:val="00C15D89"/>
    <w:rsid w:val="00C25722"/>
    <w:rsid w:val="00C32411"/>
    <w:rsid w:val="00C571EC"/>
    <w:rsid w:val="00C57654"/>
    <w:rsid w:val="00C618DB"/>
    <w:rsid w:val="00C706E4"/>
    <w:rsid w:val="00CA4F6E"/>
    <w:rsid w:val="00CB0859"/>
    <w:rsid w:val="00CB4390"/>
    <w:rsid w:val="00CC0ED4"/>
    <w:rsid w:val="00CE20C9"/>
    <w:rsid w:val="00CE5725"/>
    <w:rsid w:val="00CE5FDA"/>
    <w:rsid w:val="00CF0230"/>
    <w:rsid w:val="00D003C9"/>
    <w:rsid w:val="00D11007"/>
    <w:rsid w:val="00D17EB1"/>
    <w:rsid w:val="00D2449B"/>
    <w:rsid w:val="00D30857"/>
    <w:rsid w:val="00D422FA"/>
    <w:rsid w:val="00D437BA"/>
    <w:rsid w:val="00D5061D"/>
    <w:rsid w:val="00D51CBF"/>
    <w:rsid w:val="00D54A8D"/>
    <w:rsid w:val="00D54E67"/>
    <w:rsid w:val="00D7793B"/>
    <w:rsid w:val="00D81FB8"/>
    <w:rsid w:val="00D97FC9"/>
    <w:rsid w:val="00DA1A1A"/>
    <w:rsid w:val="00DA3856"/>
    <w:rsid w:val="00DB194D"/>
    <w:rsid w:val="00DC026D"/>
    <w:rsid w:val="00DC167B"/>
    <w:rsid w:val="00DD62F6"/>
    <w:rsid w:val="00E03E88"/>
    <w:rsid w:val="00E179E9"/>
    <w:rsid w:val="00E25565"/>
    <w:rsid w:val="00E30B69"/>
    <w:rsid w:val="00E33586"/>
    <w:rsid w:val="00E46243"/>
    <w:rsid w:val="00E509F6"/>
    <w:rsid w:val="00E621E6"/>
    <w:rsid w:val="00E66534"/>
    <w:rsid w:val="00E70ECF"/>
    <w:rsid w:val="00E72F6C"/>
    <w:rsid w:val="00E9515F"/>
    <w:rsid w:val="00EA09F9"/>
    <w:rsid w:val="00EC23C7"/>
    <w:rsid w:val="00EC4568"/>
    <w:rsid w:val="00EC6E97"/>
    <w:rsid w:val="00EC7A87"/>
    <w:rsid w:val="00ED00B7"/>
    <w:rsid w:val="00EE1A8C"/>
    <w:rsid w:val="00EE5E05"/>
    <w:rsid w:val="00EF44E6"/>
    <w:rsid w:val="00F066ED"/>
    <w:rsid w:val="00F11AB5"/>
    <w:rsid w:val="00F1219C"/>
    <w:rsid w:val="00F26010"/>
    <w:rsid w:val="00F40ADE"/>
    <w:rsid w:val="00F61CA0"/>
    <w:rsid w:val="00F65C9B"/>
    <w:rsid w:val="00F66A63"/>
    <w:rsid w:val="00F70ECD"/>
    <w:rsid w:val="00F87051"/>
    <w:rsid w:val="00F90C0C"/>
    <w:rsid w:val="00F940FB"/>
    <w:rsid w:val="00F94414"/>
    <w:rsid w:val="00F9645B"/>
    <w:rsid w:val="00FA3F01"/>
    <w:rsid w:val="00FB54EF"/>
    <w:rsid w:val="00FC3150"/>
    <w:rsid w:val="00FD52B5"/>
    <w:rsid w:val="00FD6AE3"/>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134FBA"/>
    <w:rPr>
      <w:color w:val="0000FF" w:themeColor="hyperlink"/>
      <w:u w:val="single"/>
    </w:rPr>
  </w:style>
  <w:style w:type="character" w:styleId="UnresolvedMention">
    <w:name w:val="Unresolved Mention"/>
    <w:basedOn w:val="DefaultParagraphFont"/>
    <w:uiPriority w:val="99"/>
    <w:semiHidden/>
    <w:unhideWhenUsed/>
    <w:rsid w:val="0013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651449400">
      <w:bodyDiv w:val="1"/>
      <w:marLeft w:val="0"/>
      <w:marRight w:val="0"/>
      <w:marTop w:val="0"/>
      <w:marBottom w:val="0"/>
      <w:divBdr>
        <w:top w:val="none" w:sz="0" w:space="0" w:color="auto"/>
        <w:left w:val="none" w:sz="0" w:space="0" w:color="auto"/>
        <w:bottom w:val="none" w:sz="0" w:space="0" w:color="auto"/>
        <w:right w:val="none" w:sz="0" w:space="0" w:color="auto"/>
      </w:divBdr>
    </w:div>
    <w:div w:id="700399396">
      <w:bodyDiv w:val="1"/>
      <w:marLeft w:val="0"/>
      <w:marRight w:val="0"/>
      <w:marTop w:val="0"/>
      <w:marBottom w:val="0"/>
      <w:divBdr>
        <w:top w:val="none" w:sz="0" w:space="0" w:color="auto"/>
        <w:left w:val="none" w:sz="0" w:space="0" w:color="auto"/>
        <w:bottom w:val="none" w:sz="0" w:space="0" w:color="auto"/>
        <w:right w:val="none" w:sz="0" w:space="0" w:color="auto"/>
      </w:divBdr>
    </w:div>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955791083">
      <w:bodyDiv w:val="1"/>
      <w:marLeft w:val="0"/>
      <w:marRight w:val="0"/>
      <w:marTop w:val="0"/>
      <w:marBottom w:val="0"/>
      <w:divBdr>
        <w:top w:val="none" w:sz="0" w:space="0" w:color="auto"/>
        <w:left w:val="none" w:sz="0" w:space="0" w:color="auto"/>
        <w:bottom w:val="none" w:sz="0" w:space="0" w:color="auto"/>
        <w:right w:val="none" w:sz="0" w:space="0" w:color="auto"/>
      </w:divBdr>
    </w:div>
    <w:div w:id="1025904089">
      <w:bodyDiv w:val="1"/>
      <w:marLeft w:val="0"/>
      <w:marRight w:val="0"/>
      <w:marTop w:val="0"/>
      <w:marBottom w:val="0"/>
      <w:divBdr>
        <w:top w:val="none" w:sz="0" w:space="0" w:color="auto"/>
        <w:left w:val="none" w:sz="0" w:space="0" w:color="auto"/>
        <w:bottom w:val="none" w:sz="0" w:space="0" w:color="auto"/>
        <w:right w:val="none" w:sz="0" w:space="0" w:color="auto"/>
      </w:divBdr>
    </w:div>
    <w:div w:id="1287156528">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977180845">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2023-08-03T09:47:00Z</dcterms:created>
  <dcterms:modified xsi:type="dcterms:W3CDTF">2023-08-03T09:47:00Z</dcterms:modified>
</cp:coreProperties>
</file>