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6"/>
        <w:gridCol w:w="602"/>
        <w:gridCol w:w="699"/>
        <w:gridCol w:w="579"/>
        <w:gridCol w:w="812"/>
        <w:gridCol w:w="992"/>
        <w:gridCol w:w="1287"/>
      </w:tblGrid>
      <w:tr w:rsidR="004A5EA9" w:rsidRPr="00D2449B" w14:paraId="230E00AF"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452E7B">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0E4B7B41" w:rsidR="00B1590F" w:rsidRPr="00D2449B" w:rsidRDefault="009E1372"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7BDF3A45" w:rsidR="00B1590F" w:rsidRPr="00D2449B" w:rsidRDefault="00645895" w:rsidP="00D2449B">
            <w:pPr>
              <w:jc w:val="center"/>
              <w:rPr>
                <w:rFonts w:ascii="Calibri" w:hAnsi="Calibri"/>
                <w:b/>
                <w:szCs w:val="22"/>
              </w:rPr>
            </w:pPr>
            <w:r>
              <w:rPr>
                <w:rFonts w:ascii="Calibri" w:hAnsi="Calibri"/>
                <w:b/>
                <w:szCs w:val="22"/>
              </w:rPr>
              <w:t>13/09/2023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49AD26A8" w:rsidR="00B1590F" w:rsidRPr="00D2449B" w:rsidRDefault="00452E7B"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2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68EBD3E1" w:rsidR="00B1590F" w:rsidRPr="00D2449B" w:rsidRDefault="00452E7B" w:rsidP="00D2449B">
            <w:pPr>
              <w:jc w:val="center"/>
              <w:rPr>
                <w:rFonts w:ascii="Calibri" w:hAnsi="Calibri"/>
                <w:b/>
                <w:szCs w:val="22"/>
              </w:rPr>
            </w:pPr>
            <w:r>
              <w:rPr>
                <w:rFonts w:ascii="Calibri" w:hAnsi="Calibri"/>
                <w:b/>
                <w:szCs w:val="22"/>
              </w:rPr>
              <w:t>19/09/23</w:t>
            </w:r>
          </w:p>
        </w:tc>
      </w:tr>
      <w:tr w:rsidR="004A5EA9" w:rsidRPr="00D2449B" w14:paraId="2094A164" w14:textId="77777777" w:rsidTr="00EB611C">
        <w:trPr>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B611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78C65B0" w:rsidR="004A5EA9" w:rsidRPr="009E1372" w:rsidRDefault="005223F9" w:rsidP="008542DE">
            <w:pPr>
              <w:rPr>
                <w:rFonts w:ascii="Calibri" w:hAnsi="Calibri"/>
                <w:szCs w:val="22"/>
              </w:rPr>
            </w:pPr>
            <w:r w:rsidRPr="009E1372">
              <w:rPr>
                <w:rFonts w:ascii="Calibri" w:hAnsi="Calibri"/>
                <w:szCs w:val="22"/>
              </w:rPr>
              <w:t>3/2023/0</w:t>
            </w:r>
            <w:r w:rsidR="00BB6356">
              <w:rPr>
                <w:rFonts w:ascii="Calibri" w:hAnsi="Calibri"/>
                <w:szCs w:val="22"/>
              </w:rPr>
              <w:t>519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EB611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4DE6F39D" w:rsidR="00CA7A7E" w:rsidRPr="00C0704D" w:rsidRDefault="005223F9" w:rsidP="002C6277">
            <w:pPr>
              <w:rPr>
                <w:rFonts w:ascii="Calibri" w:hAnsi="Calibri"/>
                <w:szCs w:val="22"/>
              </w:rPr>
            </w:pPr>
            <w:r>
              <w:rPr>
                <w:rFonts w:ascii="Calibri" w:hAnsi="Calibri"/>
                <w:szCs w:val="22"/>
              </w:rPr>
              <w:t>N/A</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5613E58" w:rsidR="00CA7A7E" w:rsidRPr="00C0704D" w:rsidRDefault="005223F9"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EB611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8F22489" w:rsidR="004A5EA9" w:rsidRPr="00250879" w:rsidRDefault="005223F9" w:rsidP="00811771">
            <w:pPr>
              <w:rPr>
                <w:rFonts w:ascii="Calibri" w:hAnsi="Calibri"/>
                <w:color w:val="548DD4" w:themeColor="text2" w:themeTint="99"/>
                <w:szCs w:val="22"/>
              </w:rPr>
            </w:pPr>
            <w:r>
              <w:rPr>
                <w:rFonts w:ascii="Calibri" w:hAnsi="Calibri"/>
                <w:color w:val="548DD4" w:themeColor="text2" w:themeTint="99"/>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B611C">
        <w:trPr>
          <w:jc w:val="center"/>
        </w:trPr>
        <w:tc>
          <w:tcPr>
            <w:tcW w:w="61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4D172553" w:rsidR="004A5EA9" w:rsidRPr="00D2449B" w:rsidRDefault="004D7D8D" w:rsidP="002A01CF">
            <w:pPr>
              <w:jc w:val="center"/>
              <w:rPr>
                <w:rFonts w:ascii="Calibri" w:hAnsi="Calibri"/>
                <w:b/>
                <w:szCs w:val="22"/>
              </w:rPr>
            </w:pPr>
            <w:r>
              <w:rPr>
                <w:rFonts w:ascii="Calibri" w:hAnsi="Calibri"/>
                <w:b/>
                <w:szCs w:val="22"/>
              </w:rPr>
              <w:t>REFUSAL</w:t>
            </w:r>
          </w:p>
        </w:tc>
      </w:tr>
      <w:tr w:rsidR="004A5EA9" w:rsidRPr="00D2449B" w14:paraId="7813B96A" w14:textId="77777777" w:rsidTr="00EB611C">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DB2296A" w:rsidR="004A5EA9" w:rsidRPr="002C6277" w:rsidRDefault="00A67AF5">
            <w:pPr>
              <w:rPr>
                <w:rFonts w:ascii="Calibri" w:hAnsi="Calibri"/>
                <w:szCs w:val="22"/>
              </w:rPr>
            </w:pPr>
            <w:r>
              <w:rPr>
                <w:rFonts w:ascii="Calibri" w:hAnsi="Calibri"/>
                <w:szCs w:val="22"/>
              </w:rPr>
              <w:t xml:space="preserve">Lawful development certificate for existing hip to gable roof alteration and front and rear dormer windows. </w:t>
            </w:r>
            <w:r w:rsidR="005223F9">
              <w:rPr>
                <w:rFonts w:ascii="Calibri" w:hAnsi="Calibri"/>
                <w:szCs w:val="22"/>
              </w:rPr>
              <w:t xml:space="preserve"> </w:t>
            </w:r>
          </w:p>
        </w:tc>
      </w:tr>
      <w:tr w:rsidR="002A01CF" w:rsidRPr="00D2449B" w14:paraId="52988241"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8FB4713" w:rsidR="002A01CF" w:rsidRPr="002C6277" w:rsidRDefault="00A67AF5" w:rsidP="00A42E82">
            <w:pPr>
              <w:rPr>
                <w:rFonts w:ascii="Calibri" w:hAnsi="Calibri"/>
                <w:szCs w:val="22"/>
              </w:rPr>
            </w:pPr>
            <w:r>
              <w:rPr>
                <w:rFonts w:ascii="Calibri" w:hAnsi="Calibri"/>
                <w:szCs w:val="22"/>
              </w:rPr>
              <w:t xml:space="preserve">318 </w:t>
            </w:r>
            <w:proofErr w:type="spellStart"/>
            <w:r>
              <w:rPr>
                <w:rFonts w:ascii="Calibri" w:hAnsi="Calibri"/>
                <w:szCs w:val="22"/>
              </w:rPr>
              <w:t>Pleckgate</w:t>
            </w:r>
            <w:proofErr w:type="spellEnd"/>
            <w:r>
              <w:rPr>
                <w:rFonts w:ascii="Calibri" w:hAnsi="Calibri"/>
                <w:szCs w:val="22"/>
              </w:rPr>
              <w:t xml:space="preserve"> Road Ramsgreave</w:t>
            </w:r>
            <w:r w:rsidR="00BB6356">
              <w:rPr>
                <w:rFonts w:ascii="Calibri" w:hAnsi="Calibri"/>
                <w:szCs w:val="22"/>
              </w:rPr>
              <w:t xml:space="preserve"> BB1 8QU</w:t>
            </w:r>
          </w:p>
        </w:tc>
      </w:tr>
      <w:tr w:rsidR="00A95D89" w:rsidRPr="00D2449B" w14:paraId="3FB99B2E" w14:textId="77777777" w:rsidTr="00EB611C">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486AC39" w:rsidR="002A01CF" w:rsidRPr="00D2449B" w:rsidRDefault="005223F9">
            <w:pPr>
              <w:rPr>
                <w:rFonts w:ascii="Calibri" w:hAnsi="Calibri"/>
                <w:b/>
                <w:szCs w:val="22"/>
              </w:rPr>
            </w:pPr>
            <w:r>
              <w:rPr>
                <w:rFonts w:ascii="Calibri" w:hAnsi="Calibri"/>
                <w:b/>
                <w:szCs w:val="22"/>
              </w:rPr>
              <w:t>N/A</w:t>
            </w:r>
          </w:p>
        </w:tc>
      </w:tr>
      <w:tr w:rsidR="00C618DB" w:rsidRPr="00D2449B" w14:paraId="639E958B" w14:textId="77777777" w:rsidTr="00EB611C">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2F5EA9D" w:rsidR="002A01CF" w:rsidRPr="00D2449B" w:rsidRDefault="005223F9">
            <w:pPr>
              <w:rPr>
                <w:rFonts w:ascii="Calibri" w:hAnsi="Calibri"/>
                <w:b/>
                <w:szCs w:val="22"/>
              </w:rPr>
            </w:pPr>
            <w:r>
              <w:rPr>
                <w:rFonts w:ascii="Calibri" w:hAnsi="Calibri"/>
                <w:b/>
                <w:szCs w:val="22"/>
              </w:rPr>
              <w:t>N/A</w:t>
            </w:r>
          </w:p>
        </w:tc>
      </w:tr>
      <w:tr w:rsidR="00C0704D" w:rsidRPr="00D2449B" w14:paraId="62663AAF"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B611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68F61D9" w:rsidR="00C0704D" w:rsidRPr="00346FFC" w:rsidRDefault="005223F9" w:rsidP="00692B60">
            <w:pPr>
              <w:rPr>
                <w:rFonts w:ascii="Calibri" w:hAnsi="Calibri"/>
                <w:b/>
                <w:bCs/>
                <w:szCs w:val="22"/>
              </w:rPr>
            </w:pPr>
            <w:r w:rsidRPr="00346FFC">
              <w:rPr>
                <w:rFonts w:ascii="Calibri" w:hAnsi="Calibri"/>
                <w:b/>
                <w:bCs/>
                <w:szCs w:val="22"/>
              </w:rPr>
              <w:t>N/A</w:t>
            </w:r>
          </w:p>
        </w:tc>
      </w:tr>
      <w:tr w:rsidR="00C0704D" w:rsidRPr="00D2449B" w14:paraId="1CDFA4C3" w14:textId="77777777" w:rsidTr="00EB611C">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76E252" w14:textId="77777777" w:rsidR="00005632" w:rsidRDefault="00005632" w:rsidP="00005632">
            <w:pPr>
              <w:rPr>
                <w:rFonts w:ascii="Calibri" w:hAnsi="Calibri"/>
                <w:szCs w:val="22"/>
              </w:rPr>
            </w:pPr>
          </w:p>
          <w:p w14:paraId="41F685E9" w14:textId="481C7EC2" w:rsidR="00005632" w:rsidRDefault="00005632" w:rsidP="00005632">
            <w:pPr>
              <w:rPr>
                <w:rFonts w:ascii="Calibri" w:hAnsi="Calibri"/>
                <w:szCs w:val="22"/>
              </w:rPr>
            </w:pPr>
            <w:r>
              <w:rPr>
                <w:rFonts w:ascii="Calibri" w:hAnsi="Calibri"/>
                <w:szCs w:val="22"/>
              </w:rPr>
              <w:t>Town and Country Planning Act 1990 Section 191</w:t>
            </w:r>
          </w:p>
          <w:p w14:paraId="297C01A1" w14:textId="77777777" w:rsidR="00005632" w:rsidRDefault="00005632" w:rsidP="00005632">
            <w:pPr>
              <w:rPr>
                <w:rFonts w:ascii="Calibri" w:hAnsi="Calibri"/>
                <w:szCs w:val="22"/>
              </w:rPr>
            </w:pPr>
          </w:p>
          <w:p w14:paraId="155749FE" w14:textId="77777777" w:rsidR="00005632" w:rsidRDefault="00005632" w:rsidP="00005632">
            <w:pPr>
              <w:rPr>
                <w:rFonts w:ascii="Calibri" w:hAnsi="Calibri"/>
                <w:szCs w:val="22"/>
              </w:rPr>
            </w:pPr>
            <w:r>
              <w:rPr>
                <w:rFonts w:ascii="Calibri" w:hAnsi="Calibri"/>
                <w:szCs w:val="22"/>
              </w:rPr>
              <w:t>Planning and Compensation Act 1991 Section 171B Time limits</w:t>
            </w:r>
          </w:p>
          <w:p w14:paraId="50BE5A35" w14:textId="77777777" w:rsidR="00005632" w:rsidRDefault="00005632" w:rsidP="00005632">
            <w:pPr>
              <w:rPr>
                <w:rFonts w:ascii="Calibri" w:hAnsi="Calibri"/>
                <w:szCs w:val="22"/>
              </w:rPr>
            </w:pPr>
          </w:p>
          <w:p w14:paraId="3197814A" w14:textId="77777777" w:rsidR="00005632" w:rsidRDefault="00005632" w:rsidP="00005632">
            <w:pPr>
              <w:rPr>
                <w:rFonts w:ascii="Calibri" w:hAnsi="Calibri"/>
                <w:szCs w:val="22"/>
              </w:rPr>
            </w:pPr>
            <w:r>
              <w:rPr>
                <w:rFonts w:ascii="Calibri" w:hAnsi="Calibri"/>
                <w:szCs w:val="22"/>
              </w:rPr>
              <w:t>National Planning Practice Guidance: Lawful development certificates</w:t>
            </w:r>
          </w:p>
          <w:p w14:paraId="6C4C318E" w14:textId="1B70659A" w:rsidR="008542DE" w:rsidRPr="00D2449B" w:rsidRDefault="008542DE" w:rsidP="005223F9">
            <w:pPr>
              <w:rPr>
                <w:rFonts w:ascii="Calibri" w:hAnsi="Calibri"/>
                <w:b/>
                <w:szCs w:val="22"/>
              </w:rPr>
            </w:pPr>
          </w:p>
        </w:tc>
      </w:tr>
      <w:tr w:rsidR="00C0704D" w:rsidRPr="00D2449B" w14:paraId="08181FD6"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6B481E61"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48C26061" w14:textId="63F84DDD" w:rsidR="003C3962" w:rsidRDefault="003C3962" w:rsidP="006A71AD">
            <w:pPr>
              <w:pStyle w:val="PLANNING"/>
              <w:rPr>
                <w:rFonts w:ascii="Calibri" w:hAnsi="Calibri"/>
                <w:b/>
                <w:bCs/>
                <w:szCs w:val="22"/>
              </w:rPr>
            </w:pPr>
          </w:p>
          <w:p w14:paraId="6B9F3FA7" w14:textId="2C51A5A9" w:rsidR="0046548C" w:rsidRPr="00F6582C" w:rsidRDefault="00F6582C" w:rsidP="00A67AF5">
            <w:pPr>
              <w:spacing w:after="20" w:line="220" w:lineRule="auto"/>
              <w:jc w:val="both"/>
              <w:rPr>
                <w:rFonts w:ascii="Calibri" w:hAnsi="Calibri"/>
                <w:szCs w:val="22"/>
              </w:rPr>
            </w:pPr>
            <w:r w:rsidRPr="00F6582C">
              <w:rPr>
                <w:rFonts w:ascii="Calibri" w:hAnsi="Calibri"/>
                <w:szCs w:val="22"/>
              </w:rPr>
              <w:t xml:space="preserve">No relevant planning history. </w:t>
            </w:r>
          </w:p>
          <w:p w14:paraId="17147D50" w14:textId="2A7D762F" w:rsidR="00F6582C" w:rsidRPr="00D2449B" w:rsidRDefault="00F6582C" w:rsidP="00A67AF5">
            <w:pPr>
              <w:spacing w:after="20" w:line="220" w:lineRule="auto"/>
              <w:jc w:val="both"/>
              <w:rPr>
                <w:rFonts w:ascii="Calibri" w:hAnsi="Calibri"/>
                <w:b/>
                <w:bCs/>
                <w:szCs w:val="22"/>
              </w:rPr>
            </w:pPr>
          </w:p>
        </w:tc>
      </w:tr>
      <w:tr w:rsidR="00C0704D" w:rsidRPr="00D2449B" w14:paraId="6AAC3B0A" w14:textId="77777777" w:rsidTr="00EB611C">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0705A8E" w14:textId="2C8A750E" w:rsidR="00ED172A" w:rsidRDefault="00ED172A" w:rsidP="00ED172A">
            <w:pPr>
              <w:pStyle w:val="Header"/>
              <w:tabs>
                <w:tab w:val="left" w:pos="720"/>
              </w:tabs>
              <w:jc w:val="both"/>
              <w:rPr>
                <w:rFonts w:ascii="Calibri" w:hAnsi="Calibri"/>
                <w:bCs/>
                <w:szCs w:val="22"/>
              </w:rPr>
            </w:pPr>
            <w:r>
              <w:rPr>
                <w:rFonts w:ascii="Calibri" w:hAnsi="Calibri"/>
                <w:bCs/>
                <w:szCs w:val="22"/>
              </w:rPr>
              <w:t>The proposal relates to a semi-detached property located within the settlement boundary of Ramsgreave. The surrounding area is predominantly residential, with Greenbelt land situated to the North of the site. The site itself is not sit</w:t>
            </w:r>
            <w:r w:rsidR="00645895">
              <w:rPr>
                <w:rFonts w:ascii="Calibri" w:hAnsi="Calibri"/>
                <w:bCs/>
                <w:szCs w:val="22"/>
              </w:rPr>
              <w:t>uat</w:t>
            </w:r>
            <w:r>
              <w:rPr>
                <w:rFonts w:ascii="Calibri" w:hAnsi="Calibri"/>
                <w:bCs/>
                <w:szCs w:val="22"/>
              </w:rPr>
              <w:t xml:space="preserve">ed on any designated land. </w:t>
            </w:r>
          </w:p>
          <w:p w14:paraId="62370E9F" w14:textId="77777777" w:rsidR="00C0704D" w:rsidRPr="006C2BFA" w:rsidRDefault="00C0704D" w:rsidP="00BB6356">
            <w:pPr>
              <w:spacing w:line="237" w:lineRule="auto"/>
              <w:jc w:val="both"/>
              <w:rPr>
                <w:rFonts w:ascii="Calibri" w:hAnsi="Calibri"/>
                <w:bCs/>
                <w:szCs w:val="22"/>
              </w:rPr>
            </w:pPr>
          </w:p>
        </w:tc>
      </w:tr>
      <w:tr w:rsidR="00C0704D" w:rsidRPr="00D2449B" w14:paraId="408C6380"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F90C466" w14:textId="01BD9126" w:rsidR="00005632" w:rsidRDefault="00005632" w:rsidP="00005632">
            <w:pPr>
              <w:rPr>
                <w:rFonts w:ascii="Calibri" w:hAnsi="Calibri"/>
                <w:bCs/>
                <w:szCs w:val="22"/>
              </w:rPr>
            </w:pPr>
            <w:r>
              <w:rPr>
                <w:rFonts w:ascii="Calibri" w:hAnsi="Calibri"/>
                <w:bCs/>
                <w:szCs w:val="22"/>
              </w:rPr>
              <w:t xml:space="preserve">The application seeks to establish that the works carried out to the building are lawful having regard to Section 171(B) of the </w:t>
            </w:r>
            <w:r>
              <w:rPr>
                <w:rFonts w:ascii="Calibri" w:hAnsi="Calibri"/>
                <w:szCs w:val="22"/>
              </w:rPr>
              <w:t>Planning and Compensation Act 1991</w:t>
            </w:r>
            <w:r>
              <w:rPr>
                <w:rFonts w:ascii="Calibri" w:hAnsi="Calibri"/>
                <w:bCs/>
                <w:szCs w:val="22"/>
              </w:rPr>
              <w:t xml:space="preserve">. It is the applicant’s claim that the building </w:t>
            </w:r>
            <w:r>
              <w:rPr>
                <w:rFonts w:ascii="Calibri" w:hAnsi="Calibri"/>
                <w:bCs/>
                <w:szCs w:val="22"/>
              </w:rPr>
              <w:lastRenderedPageBreak/>
              <w:t xml:space="preserve">works had been completed by April 2019, with the ‘relevant period’ being more than four years. As such, the applicant seeks confirmation of the above in the form of a Lawful Development Certificate. </w:t>
            </w:r>
          </w:p>
          <w:p w14:paraId="29CE06AE" w14:textId="77777777" w:rsidR="00005632" w:rsidRDefault="00005632" w:rsidP="00005632">
            <w:pPr>
              <w:rPr>
                <w:rFonts w:ascii="Calibri" w:hAnsi="Calibri"/>
                <w:bCs/>
                <w:szCs w:val="22"/>
              </w:rPr>
            </w:pPr>
          </w:p>
          <w:p w14:paraId="25D6BBCD" w14:textId="10F4D192" w:rsidR="00005632" w:rsidRDefault="00005632" w:rsidP="00005632">
            <w:pPr>
              <w:rPr>
                <w:rFonts w:ascii="Calibri" w:hAnsi="Calibri"/>
                <w:bCs/>
                <w:szCs w:val="22"/>
              </w:rPr>
            </w:pPr>
            <w:r>
              <w:rPr>
                <w:rFonts w:ascii="Calibri" w:hAnsi="Calibri"/>
                <w:bCs/>
                <w:szCs w:val="22"/>
              </w:rPr>
              <w:t xml:space="preserve">The building works applied for are: Hip to Gable Roof alterations and dormer windows to both the front and rear elevations. </w:t>
            </w:r>
          </w:p>
          <w:p w14:paraId="1B20488F" w14:textId="628251ED" w:rsidR="001C0430" w:rsidRPr="00D54E67" w:rsidRDefault="001C0430" w:rsidP="002F2580">
            <w:pPr>
              <w:rPr>
                <w:rFonts w:ascii="Calibri" w:hAnsi="Calibri"/>
                <w:szCs w:val="22"/>
              </w:rPr>
            </w:pPr>
          </w:p>
        </w:tc>
      </w:tr>
      <w:tr w:rsidR="0046548C" w:rsidRPr="00D2449B" w14:paraId="06BBE02F"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ACEDB" w14:textId="7D6D31D0" w:rsidR="005223F9" w:rsidRPr="001C0430"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D2E75FF" w14:textId="77777777" w:rsidR="005223F9" w:rsidRDefault="005223F9" w:rsidP="0046548C">
            <w:pPr>
              <w:pStyle w:val="Header"/>
              <w:tabs>
                <w:tab w:val="clear" w:pos="4153"/>
                <w:tab w:val="clear" w:pos="8306"/>
              </w:tabs>
              <w:contextualSpacing/>
              <w:jc w:val="both"/>
              <w:rPr>
                <w:rFonts w:ascii="Calibri" w:hAnsi="Calibri"/>
                <w:b/>
                <w:szCs w:val="22"/>
              </w:rPr>
            </w:pPr>
          </w:p>
          <w:p w14:paraId="3D235514" w14:textId="598598D7" w:rsidR="008F53B0" w:rsidRDefault="008F53B0" w:rsidP="008F53B0">
            <w:pPr>
              <w:jc w:val="both"/>
              <w:rPr>
                <w:rFonts w:ascii="Calibri" w:hAnsi="Calibri"/>
              </w:rPr>
            </w:pPr>
            <w:r>
              <w:rPr>
                <w:rFonts w:ascii="Calibri" w:hAnsi="Calibri"/>
              </w:rPr>
              <w:t>The main issue is whether or not there is sufficient evidence to support that the operational development is lawful by virtue of it being in place for four years or more on or before the date of this application (</w:t>
            </w:r>
            <w:r w:rsidR="00F6582C">
              <w:rPr>
                <w:rFonts w:ascii="Calibri" w:hAnsi="Calibri"/>
              </w:rPr>
              <w:t>11/07/2023</w:t>
            </w:r>
            <w:r>
              <w:rPr>
                <w:rFonts w:ascii="Calibri" w:hAnsi="Calibri"/>
              </w:rPr>
              <w:t>) and beginning with the date on which the operations were substantially completed, which would make the building operations exempt from enforcement action under Planning and Compensation Act 1991 171B Time limits.</w:t>
            </w:r>
          </w:p>
          <w:p w14:paraId="07A958AF" w14:textId="4B2A75C0" w:rsidR="002938D9" w:rsidRDefault="002938D9" w:rsidP="00D90A2C">
            <w:pPr>
              <w:pStyle w:val="Header"/>
              <w:tabs>
                <w:tab w:val="left" w:pos="720"/>
              </w:tabs>
              <w:rPr>
                <w:rFonts w:ascii="Calibri" w:hAnsi="Calibri"/>
                <w:b/>
                <w:szCs w:val="22"/>
              </w:rPr>
            </w:pPr>
          </w:p>
        </w:tc>
      </w:tr>
      <w:tr w:rsidR="00C0704D" w:rsidRPr="00D2449B" w14:paraId="0A9D02B4" w14:textId="77777777" w:rsidTr="00EB611C">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7BD6482C" w14:textId="77777777" w:rsidR="0057780C" w:rsidRDefault="0057780C" w:rsidP="0057780C">
            <w:pPr>
              <w:contextualSpacing/>
              <w:jc w:val="both"/>
              <w:rPr>
                <w:rFonts w:ascii="Calibri" w:hAnsi="Calibri"/>
                <w:b/>
                <w:bCs/>
                <w:szCs w:val="22"/>
              </w:rPr>
            </w:pPr>
          </w:p>
          <w:p w14:paraId="5007756D" w14:textId="26A6E2A2" w:rsidR="00D90A2C" w:rsidRPr="00EB611C" w:rsidRDefault="00D90A2C" w:rsidP="00D90A2C">
            <w:pPr>
              <w:pStyle w:val="Header"/>
              <w:tabs>
                <w:tab w:val="left" w:pos="720"/>
              </w:tabs>
              <w:rPr>
                <w:rFonts w:asciiTheme="minorHAnsi" w:hAnsiTheme="minorHAnsi" w:cstheme="minorHAnsi"/>
                <w:i/>
                <w:iCs/>
                <w:color w:val="000000"/>
                <w:szCs w:val="22"/>
                <w:shd w:val="clear" w:color="auto" w:fill="FFFFFF"/>
              </w:rPr>
            </w:pPr>
            <w:r w:rsidRPr="00EB611C">
              <w:rPr>
                <w:rFonts w:asciiTheme="minorHAnsi" w:hAnsiTheme="minorHAnsi" w:cstheme="minorHAnsi"/>
                <w:bCs/>
                <w:szCs w:val="22"/>
              </w:rPr>
              <w:t xml:space="preserve">Section 171B of the Town and Country Planning Act states that </w:t>
            </w:r>
            <w:r w:rsidRPr="00EB611C">
              <w:rPr>
                <w:rFonts w:asciiTheme="minorHAnsi" w:hAnsiTheme="minorHAnsi" w:cstheme="minorHAnsi"/>
                <w:bCs/>
                <w:i/>
                <w:iCs/>
                <w:szCs w:val="22"/>
              </w:rPr>
              <w:t>‘</w:t>
            </w:r>
            <w:r w:rsidRPr="00EB611C">
              <w:rPr>
                <w:rFonts w:asciiTheme="minorHAnsi" w:hAnsiTheme="minorHAnsi" w:cstheme="minorHAnsi"/>
                <w:i/>
                <w:iCs/>
                <w:color w:val="000000"/>
                <w:szCs w:val="22"/>
                <w:shd w:val="clear" w:color="auto" w:fill="FFFFFF"/>
              </w:rPr>
              <w:t>Where there has been a breach of planning control consisting in the carrying out without planning permission of building, engineering, mining or other operations in, on, over or under land, no enforcement action may be taken after the end of the period of four years beginning with the date on which the operations were substantially completed’.</w:t>
            </w:r>
          </w:p>
          <w:p w14:paraId="15558187" w14:textId="77777777" w:rsidR="00EB611C" w:rsidRPr="00EB611C" w:rsidRDefault="00EB611C" w:rsidP="00D90A2C">
            <w:pPr>
              <w:pStyle w:val="Header"/>
              <w:tabs>
                <w:tab w:val="left" w:pos="720"/>
              </w:tabs>
              <w:rPr>
                <w:rFonts w:asciiTheme="minorHAnsi" w:hAnsiTheme="minorHAnsi" w:cstheme="minorHAnsi"/>
                <w:bCs/>
                <w:i/>
                <w:iCs/>
                <w:color w:val="000000"/>
                <w:szCs w:val="22"/>
                <w:shd w:val="clear" w:color="auto" w:fill="FFFFFF"/>
              </w:rPr>
            </w:pPr>
          </w:p>
          <w:p w14:paraId="1A530854" w14:textId="7E733EE0" w:rsidR="004D7D8D" w:rsidRDefault="00EB611C" w:rsidP="00EB611C">
            <w:pPr>
              <w:pStyle w:val="legclearfix"/>
              <w:shd w:val="clear" w:color="auto" w:fill="FFFFFF"/>
              <w:spacing w:before="0" w:beforeAutospacing="0" w:after="120" w:afterAutospacing="0" w:line="360" w:lineRule="atLeast"/>
              <w:rPr>
                <w:rStyle w:val="legaddition"/>
                <w:rFonts w:asciiTheme="minorHAnsi" w:hAnsiTheme="minorHAnsi" w:cstheme="minorHAnsi"/>
                <w:i/>
                <w:iCs/>
                <w:color w:val="000000"/>
                <w:sz w:val="22"/>
                <w:szCs w:val="22"/>
              </w:rPr>
            </w:pPr>
            <w:r w:rsidRPr="00EB611C">
              <w:rPr>
                <w:rFonts w:asciiTheme="minorHAnsi" w:hAnsiTheme="minorHAnsi" w:cstheme="minorHAnsi"/>
                <w:bCs/>
                <w:color w:val="000000"/>
                <w:sz w:val="22"/>
                <w:szCs w:val="22"/>
                <w:shd w:val="clear" w:color="auto" w:fill="FFFFFF"/>
              </w:rPr>
              <w:t>Furthermore section 191 of the same act states that</w:t>
            </w:r>
            <w:r>
              <w:rPr>
                <w:rFonts w:asciiTheme="minorHAnsi" w:hAnsiTheme="minorHAnsi" w:cstheme="minorHAnsi"/>
                <w:bCs/>
                <w:color w:val="000000"/>
                <w:szCs w:val="22"/>
                <w:shd w:val="clear" w:color="auto" w:fill="FFFFFF"/>
              </w:rPr>
              <w:t>:</w:t>
            </w:r>
            <w:r w:rsidRPr="00EB611C">
              <w:rPr>
                <w:rFonts w:asciiTheme="minorHAnsi" w:hAnsiTheme="minorHAnsi" w:cstheme="minorHAnsi"/>
                <w:color w:val="000000"/>
                <w:sz w:val="19"/>
                <w:szCs w:val="19"/>
              </w:rPr>
              <w:br/>
            </w:r>
            <w:r w:rsidRPr="00EB611C">
              <w:rPr>
                <w:rStyle w:val="legaddition"/>
                <w:rFonts w:asciiTheme="minorHAnsi" w:hAnsiTheme="minorHAnsi" w:cstheme="minorHAnsi"/>
                <w:i/>
                <w:iCs/>
                <w:color w:val="000000"/>
                <w:sz w:val="22"/>
                <w:szCs w:val="22"/>
              </w:rPr>
              <w:t>If, on an application under this section, the local planning authority are provided with information satisfying them of the lawfulness at the time of the application of the use, operations or other matter described in the application, or that description as modified by the local planning authority or a description substituted by them, they shall issue a certificate to that effect; and in any other case they shall refuse the application.</w:t>
            </w:r>
          </w:p>
          <w:p w14:paraId="040078A7" w14:textId="423D4B61" w:rsidR="004D7D8D" w:rsidRPr="004D7D8D" w:rsidRDefault="004D7D8D" w:rsidP="00EB611C">
            <w:pPr>
              <w:pStyle w:val="legclearfix"/>
              <w:shd w:val="clear" w:color="auto" w:fill="FFFFFF"/>
              <w:spacing w:before="0" w:beforeAutospacing="0" w:after="120" w:afterAutospacing="0" w:line="360" w:lineRule="atLeast"/>
              <w:rPr>
                <w:rFonts w:asciiTheme="minorHAnsi" w:hAnsiTheme="minorHAnsi" w:cstheme="minorHAnsi"/>
                <w:sz w:val="22"/>
                <w:szCs w:val="22"/>
              </w:rPr>
            </w:pPr>
            <w:r w:rsidRPr="004D7D8D">
              <w:rPr>
                <w:rFonts w:asciiTheme="minorHAnsi" w:hAnsiTheme="minorHAnsi" w:cstheme="minorHAnsi"/>
                <w:i/>
                <w:iCs/>
                <w:color w:val="000000"/>
                <w:sz w:val="22"/>
                <w:szCs w:val="22"/>
              </w:rPr>
              <w:t>T</w:t>
            </w:r>
            <w:r w:rsidRPr="004D7D8D">
              <w:rPr>
                <w:rFonts w:asciiTheme="minorHAnsi" w:hAnsiTheme="minorHAnsi" w:cstheme="minorHAnsi"/>
                <w:sz w:val="22"/>
                <w:szCs w:val="22"/>
              </w:rPr>
              <w:t>he information submitted with the application is listed below</w:t>
            </w:r>
          </w:p>
          <w:p w14:paraId="29BE76BF" w14:textId="435726EE" w:rsidR="004D7D8D" w:rsidRPr="004D7D8D" w:rsidRDefault="004D7D8D" w:rsidP="004D7D8D">
            <w:pPr>
              <w:pStyle w:val="legclearfix"/>
              <w:numPr>
                <w:ilvl w:val="0"/>
                <w:numId w:val="5"/>
              </w:numPr>
              <w:shd w:val="clear" w:color="auto" w:fill="FFFFFF"/>
              <w:spacing w:before="0" w:beforeAutospacing="0" w:after="120" w:afterAutospacing="0" w:line="360" w:lineRule="atLeast"/>
              <w:rPr>
                <w:rFonts w:asciiTheme="minorHAnsi" w:hAnsiTheme="minorHAnsi" w:cstheme="minorHAnsi"/>
                <w:color w:val="000000"/>
                <w:sz w:val="22"/>
                <w:szCs w:val="22"/>
              </w:rPr>
            </w:pPr>
            <w:r w:rsidRPr="004D7D8D">
              <w:rPr>
                <w:rFonts w:asciiTheme="minorHAnsi" w:hAnsiTheme="minorHAnsi" w:cstheme="minorHAnsi"/>
                <w:color w:val="000000"/>
                <w:sz w:val="22"/>
                <w:szCs w:val="22"/>
              </w:rPr>
              <w:t xml:space="preserve">Existing Floor Plans and Elevations </w:t>
            </w:r>
            <w:r w:rsidR="00646475">
              <w:rPr>
                <w:rFonts w:asciiTheme="minorHAnsi" w:hAnsiTheme="minorHAnsi" w:cstheme="minorHAnsi"/>
                <w:color w:val="000000"/>
                <w:sz w:val="22"/>
                <w:szCs w:val="22"/>
              </w:rPr>
              <w:t>23/2403/01</w:t>
            </w:r>
          </w:p>
          <w:p w14:paraId="084797B9" w14:textId="1E3CE9A9" w:rsidR="004D7D8D" w:rsidRPr="004D7D8D" w:rsidRDefault="004D7D8D" w:rsidP="004D7D8D">
            <w:pPr>
              <w:pStyle w:val="legclearfix"/>
              <w:numPr>
                <w:ilvl w:val="0"/>
                <w:numId w:val="5"/>
              </w:numPr>
              <w:shd w:val="clear" w:color="auto" w:fill="FFFFFF"/>
              <w:spacing w:before="0" w:beforeAutospacing="0" w:after="120" w:afterAutospacing="0" w:line="360" w:lineRule="atLeast"/>
              <w:rPr>
                <w:rFonts w:asciiTheme="minorHAnsi" w:hAnsiTheme="minorHAnsi" w:cstheme="minorHAnsi"/>
                <w:color w:val="000000"/>
                <w:sz w:val="22"/>
                <w:szCs w:val="22"/>
              </w:rPr>
            </w:pPr>
            <w:r w:rsidRPr="004D7D8D">
              <w:rPr>
                <w:rFonts w:asciiTheme="minorHAnsi" w:hAnsiTheme="minorHAnsi" w:cstheme="minorHAnsi"/>
                <w:color w:val="000000"/>
                <w:sz w:val="22"/>
                <w:szCs w:val="22"/>
              </w:rPr>
              <w:t>Proposed Floor Plans and elevations</w:t>
            </w:r>
            <w:r w:rsidR="00646475">
              <w:rPr>
                <w:rFonts w:asciiTheme="minorHAnsi" w:hAnsiTheme="minorHAnsi" w:cstheme="minorHAnsi"/>
                <w:color w:val="000000"/>
                <w:sz w:val="22"/>
                <w:szCs w:val="22"/>
              </w:rPr>
              <w:t xml:space="preserve"> 23/2403/02</w:t>
            </w:r>
          </w:p>
          <w:p w14:paraId="4D5B99C5" w14:textId="0CE1D884" w:rsidR="003C6932" w:rsidRPr="00AA6BEB" w:rsidRDefault="004D7D8D" w:rsidP="00AA6BEB">
            <w:pPr>
              <w:pStyle w:val="legclearfix"/>
              <w:numPr>
                <w:ilvl w:val="0"/>
                <w:numId w:val="5"/>
              </w:numPr>
              <w:shd w:val="clear" w:color="auto" w:fill="FFFFFF"/>
              <w:spacing w:before="0" w:beforeAutospacing="0" w:after="120" w:afterAutospacing="0" w:line="360" w:lineRule="atLeast"/>
              <w:rPr>
                <w:rFonts w:asciiTheme="minorHAnsi" w:hAnsiTheme="minorHAnsi" w:cstheme="minorHAnsi"/>
                <w:color w:val="000000"/>
                <w:sz w:val="22"/>
                <w:szCs w:val="22"/>
              </w:rPr>
            </w:pPr>
            <w:r w:rsidRPr="004D7D8D">
              <w:rPr>
                <w:rFonts w:asciiTheme="minorHAnsi" w:hAnsiTheme="minorHAnsi" w:cstheme="minorHAnsi"/>
                <w:color w:val="000000"/>
                <w:sz w:val="22"/>
                <w:szCs w:val="22"/>
              </w:rPr>
              <w:t xml:space="preserve">Design </w:t>
            </w:r>
            <w:r>
              <w:rPr>
                <w:rFonts w:asciiTheme="minorHAnsi" w:hAnsiTheme="minorHAnsi" w:cstheme="minorHAnsi"/>
                <w:color w:val="000000"/>
                <w:sz w:val="22"/>
                <w:szCs w:val="22"/>
              </w:rPr>
              <w:t>and A</w:t>
            </w:r>
            <w:r w:rsidRPr="004D7D8D">
              <w:rPr>
                <w:rFonts w:asciiTheme="minorHAnsi" w:hAnsiTheme="minorHAnsi" w:cstheme="minorHAnsi"/>
                <w:color w:val="000000"/>
                <w:sz w:val="22"/>
                <w:szCs w:val="22"/>
              </w:rPr>
              <w:t xml:space="preserve">ccess Statement </w:t>
            </w:r>
          </w:p>
          <w:p w14:paraId="66C27041" w14:textId="0BB15BBE" w:rsidR="004D7D8D" w:rsidRPr="004D7D8D" w:rsidRDefault="004D7D8D" w:rsidP="00AA6BEB">
            <w:pPr>
              <w:pStyle w:val="legclearfix"/>
              <w:shd w:val="clear" w:color="auto" w:fill="FFFFFF"/>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elevation</w:t>
            </w:r>
            <w:r w:rsidR="00C92863">
              <w:rPr>
                <w:rFonts w:asciiTheme="minorHAnsi" w:hAnsiTheme="minorHAnsi" w:cstheme="minorHAnsi"/>
                <w:color w:val="000000"/>
                <w:sz w:val="22"/>
                <w:szCs w:val="22"/>
              </w:rPr>
              <w:t>al</w:t>
            </w:r>
            <w:r>
              <w:rPr>
                <w:rFonts w:asciiTheme="minorHAnsi" w:hAnsiTheme="minorHAnsi" w:cstheme="minorHAnsi"/>
                <w:color w:val="000000"/>
                <w:sz w:val="22"/>
                <w:szCs w:val="22"/>
              </w:rPr>
              <w:t xml:space="preserve"> drawings provided show the property prior to the commencement of works and the property following works commencing. </w:t>
            </w:r>
            <w:r w:rsidR="00452E7B">
              <w:rPr>
                <w:rFonts w:asciiTheme="minorHAnsi" w:hAnsiTheme="minorHAnsi" w:cstheme="minorHAnsi"/>
                <w:color w:val="000000"/>
                <w:sz w:val="22"/>
                <w:szCs w:val="22"/>
              </w:rPr>
              <w:t>Th</w:t>
            </w:r>
            <w:r>
              <w:rPr>
                <w:rFonts w:asciiTheme="minorHAnsi" w:hAnsiTheme="minorHAnsi" w:cstheme="minorHAnsi"/>
                <w:color w:val="000000"/>
                <w:sz w:val="22"/>
                <w:szCs w:val="22"/>
              </w:rPr>
              <w:t>ere is insufficient detail on the plans to establish whether the hip to gable</w:t>
            </w:r>
            <w:r w:rsidR="003C6932">
              <w:rPr>
                <w:rFonts w:asciiTheme="minorHAnsi" w:hAnsiTheme="minorHAnsi" w:cstheme="minorHAnsi"/>
                <w:color w:val="000000"/>
                <w:sz w:val="22"/>
                <w:szCs w:val="22"/>
              </w:rPr>
              <w:t xml:space="preserve"> and rear dormer</w:t>
            </w:r>
            <w:r>
              <w:rPr>
                <w:rFonts w:asciiTheme="minorHAnsi" w:hAnsiTheme="minorHAnsi" w:cstheme="minorHAnsi"/>
                <w:color w:val="000000"/>
                <w:sz w:val="22"/>
                <w:szCs w:val="22"/>
              </w:rPr>
              <w:t xml:space="preserve"> roof extension</w:t>
            </w:r>
            <w:r w:rsidR="003C6932">
              <w:rPr>
                <w:rFonts w:asciiTheme="minorHAnsi" w:hAnsiTheme="minorHAnsi" w:cstheme="minorHAnsi"/>
                <w:color w:val="000000"/>
                <w:sz w:val="22"/>
                <w:szCs w:val="22"/>
              </w:rPr>
              <w:t>s</w:t>
            </w:r>
            <w:r>
              <w:rPr>
                <w:rFonts w:asciiTheme="minorHAnsi" w:hAnsiTheme="minorHAnsi" w:cstheme="minorHAnsi"/>
                <w:color w:val="000000"/>
                <w:sz w:val="22"/>
                <w:szCs w:val="22"/>
              </w:rPr>
              <w:t xml:space="preserve"> fall</w:t>
            </w:r>
            <w:r w:rsidR="003C693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under the realm of permitted development. The </w:t>
            </w:r>
            <w:r w:rsidR="003C6932">
              <w:rPr>
                <w:rFonts w:asciiTheme="minorHAnsi" w:hAnsiTheme="minorHAnsi" w:cstheme="minorHAnsi"/>
                <w:color w:val="000000"/>
                <w:sz w:val="22"/>
                <w:szCs w:val="22"/>
              </w:rPr>
              <w:t xml:space="preserve">front </w:t>
            </w:r>
            <w:r>
              <w:rPr>
                <w:rFonts w:asciiTheme="minorHAnsi" w:hAnsiTheme="minorHAnsi" w:cstheme="minorHAnsi"/>
                <w:color w:val="000000"/>
                <w:sz w:val="22"/>
                <w:szCs w:val="22"/>
              </w:rPr>
              <w:t>dormer extension, given it is on a principal elevation fronting a public highway, does not fall under permitted development.</w:t>
            </w:r>
          </w:p>
          <w:p w14:paraId="1CC19074" w14:textId="77777777" w:rsidR="00D90A2C" w:rsidRPr="00D90A2C" w:rsidRDefault="00D90A2C" w:rsidP="00AA6BEB">
            <w:pPr>
              <w:pStyle w:val="Header"/>
              <w:tabs>
                <w:tab w:val="left" w:pos="720"/>
              </w:tabs>
              <w:rPr>
                <w:rFonts w:asciiTheme="minorHAnsi" w:hAnsiTheme="minorHAnsi" w:cstheme="minorHAnsi"/>
                <w:bCs/>
                <w:i/>
                <w:iCs/>
                <w:szCs w:val="22"/>
              </w:rPr>
            </w:pPr>
          </w:p>
          <w:p w14:paraId="1671CEE2" w14:textId="2559E532" w:rsidR="00ED172A" w:rsidRDefault="00D90A2C" w:rsidP="00AA6BEB">
            <w:pPr>
              <w:pStyle w:val="Header"/>
              <w:tabs>
                <w:tab w:val="left" w:pos="720"/>
              </w:tabs>
              <w:rPr>
                <w:rFonts w:asciiTheme="minorHAnsi" w:hAnsiTheme="minorHAnsi" w:cstheme="minorHAnsi"/>
                <w:bCs/>
                <w:szCs w:val="22"/>
              </w:rPr>
            </w:pPr>
            <w:r>
              <w:rPr>
                <w:rFonts w:asciiTheme="minorHAnsi" w:hAnsiTheme="minorHAnsi" w:cstheme="minorHAnsi"/>
                <w:bCs/>
                <w:szCs w:val="22"/>
              </w:rPr>
              <w:t xml:space="preserve">The applicant has </w:t>
            </w:r>
            <w:r w:rsidR="00EB611C">
              <w:rPr>
                <w:rFonts w:asciiTheme="minorHAnsi" w:hAnsiTheme="minorHAnsi" w:cstheme="minorHAnsi"/>
                <w:bCs/>
                <w:szCs w:val="22"/>
              </w:rPr>
              <w:t>provided a brief supporting statement which states that work commenced in November 2018 and w</w:t>
            </w:r>
            <w:r w:rsidR="00C92863">
              <w:rPr>
                <w:rFonts w:asciiTheme="minorHAnsi" w:hAnsiTheme="minorHAnsi" w:cstheme="minorHAnsi"/>
                <w:bCs/>
                <w:szCs w:val="22"/>
              </w:rPr>
              <w:t>ere</w:t>
            </w:r>
            <w:r w:rsidR="00EB611C">
              <w:rPr>
                <w:rFonts w:asciiTheme="minorHAnsi" w:hAnsiTheme="minorHAnsi" w:cstheme="minorHAnsi"/>
                <w:bCs/>
                <w:szCs w:val="22"/>
              </w:rPr>
              <w:t xml:space="preserve"> completed by April 2019. </w:t>
            </w:r>
            <w:r w:rsidR="00452E7B">
              <w:rPr>
                <w:rFonts w:asciiTheme="minorHAnsi" w:hAnsiTheme="minorHAnsi" w:cstheme="minorHAnsi"/>
                <w:bCs/>
                <w:szCs w:val="22"/>
              </w:rPr>
              <w:t>However, n</w:t>
            </w:r>
            <w:r w:rsidR="00EB611C">
              <w:rPr>
                <w:rFonts w:asciiTheme="minorHAnsi" w:hAnsiTheme="minorHAnsi" w:cstheme="minorHAnsi"/>
                <w:bCs/>
                <w:szCs w:val="22"/>
              </w:rPr>
              <w:t>o</w:t>
            </w:r>
            <w:r w:rsidR="004D7D8D">
              <w:rPr>
                <w:rFonts w:asciiTheme="minorHAnsi" w:hAnsiTheme="minorHAnsi" w:cstheme="minorHAnsi"/>
                <w:bCs/>
                <w:szCs w:val="22"/>
              </w:rPr>
              <w:t xml:space="preserve"> timestamped</w:t>
            </w:r>
            <w:r w:rsidR="00EB611C">
              <w:rPr>
                <w:rFonts w:asciiTheme="minorHAnsi" w:hAnsiTheme="minorHAnsi" w:cstheme="minorHAnsi"/>
                <w:bCs/>
                <w:szCs w:val="22"/>
              </w:rPr>
              <w:t xml:space="preserve"> images of the works during construction have been provided, nor </w:t>
            </w:r>
            <w:r w:rsidR="00452E7B">
              <w:rPr>
                <w:rFonts w:asciiTheme="minorHAnsi" w:hAnsiTheme="minorHAnsi" w:cstheme="minorHAnsi"/>
                <w:bCs/>
                <w:szCs w:val="22"/>
              </w:rPr>
              <w:t xml:space="preserve">has any </w:t>
            </w:r>
            <w:r w:rsidR="00EB611C">
              <w:rPr>
                <w:rFonts w:asciiTheme="minorHAnsi" w:hAnsiTheme="minorHAnsi" w:cstheme="minorHAnsi"/>
                <w:bCs/>
                <w:szCs w:val="22"/>
              </w:rPr>
              <w:t xml:space="preserve">documentation </w:t>
            </w:r>
            <w:r w:rsidR="00452E7B">
              <w:rPr>
                <w:rFonts w:asciiTheme="minorHAnsi" w:hAnsiTheme="minorHAnsi" w:cstheme="minorHAnsi"/>
                <w:bCs/>
                <w:szCs w:val="22"/>
              </w:rPr>
              <w:t xml:space="preserve">been provided which </w:t>
            </w:r>
            <w:r w:rsidR="00EB611C">
              <w:rPr>
                <w:rFonts w:asciiTheme="minorHAnsi" w:hAnsiTheme="minorHAnsi" w:cstheme="minorHAnsi"/>
                <w:bCs/>
                <w:szCs w:val="22"/>
              </w:rPr>
              <w:t>confirm</w:t>
            </w:r>
            <w:r w:rsidR="00452E7B">
              <w:rPr>
                <w:rFonts w:asciiTheme="minorHAnsi" w:hAnsiTheme="minorHAnsi" w:cstheme="minorHAnsi"/>
                <w:bCs/>
                <w:szCs w:val="22"/>
              </w:rPr>
              <w:t>s</w:t>
            </w:r>
            <w:r w:rsidR="00EB611C">
              <w:rPr>
                <w:rFonts w:asciiTheme="minorHAnsi" w:hAnsiTheme="minorHAnsi" w:cstheme="minorHAnsi"/>
                <w:bCs/>
                <w:szCs w:val="22"/>
              </w:rPr>
              <w:t xml:space="preserve"> the commencement and completion of works. </w:t>
            </w:r>
            <w:r w:rsidR="00BD501A">
              <w:rPr>
                <w:rFonts w:asciiTheme="minorHAnsi" w:hAnsiTheme="minorHAnsi" w:cstheme="minorHAnsi"/>
                <w:bCs/>
                <w:szCs w:val="22"/>
              </w:rPr>
              <w:t xml:space="preserve">The timeframe for works provided by the applicant is </w:t>
            </w:r>
            <w:r w:rsidR="00452E7B">
              <w:rPr>
                <w:rFonts w:asciiTheme="minorHAnsi" w:hAnsiTheme="minorHAnsi" w:cstheme="minorHAnsi"/>
                <w:bCs/>
                <w:szCs w:val="22"/>
              </w:rPr>
              <w:t>vague</w:t>
            </w:r>
            <w:r w:rsidR="00BD501A">
              <w:rPr>
                <w:rFonts w:asciiTheme="minorHAnsi" w:hAnsiTheme="minorHAnsi" w:cstheme="minorHAnsi"/>
                <w:bCs/>
                <w:szCs w:val="22"/>
              </w:rPr>
              <w:t xml:space="preserve"> </w:t>
            </w:r>
            <w:r w:rsidR="00452E7B">
              <w:rPr>
                <w:rFonts w:asciiTheme="minorHAnsi" w:hAnsiTheme="minorHAnsi" w:cstheme="minorHAnsi"/>
                <w:bCs/>
                <w:szCs w:val="22"/>
              </w:rPr>
              <w:t xml:space="preserve">with </w:t>
            </w:r>
            <w:r w:rsidR="00BD501A">
              <w:rPr>
                <w:rFonts w:asciiTheme="minorHAnsi" w:hAnsiTheme="minorHAnsi" w:cstheme="minorHAnsi"/>
                <w:bCs/>
                <w:szCs w:val="22"/>
              </w:rPr>
              <w:t>no specific detail</w:t>
            </w:r>
            <w:r w:rsidR="004D7D8D">
              <w:rPr>
                <w:rFonts w:asciiTheme="minorHAnsi" w:hAnsiTheme="minorHAnsi" w:cstheme="minorHAnsi"/>
                <w:bCs/>
                <w:szCs w:val="22"/>
              </w:rPr>
              <w:t xml:space="preserve"> of dates</w:t>
            </w:r>
            <w:r w:rsidR="00BD501A">
              <w:rPr>
                <w:rFonts w:asciiTheme="minorHAnsi" w:hAnsiTheme="minorHAnsi" w:cstheme="minorHAnsi"/>
                <w:bCs/>
                <w:szCs w:val="22"/>
              </w:rPr>
              <w:t xml:space="preserve"> </w:t>
            </w:r>
            <w:r w:rsidR="00452E7B">
              <w:rPr>
                <w:rFonts w:asciiTheme="minorHAnsi" w:hAnsiTheme="minorHAnsi" w:cstheme="minorHAnsi"/>
                <w:bCs/>
                <w:szCs w:val="22"/>
              </w:rPr>
              <w:t>provided</w:t>
            </w:r>
            <w:r w:rsidR="00BD501A">
              <w:rPr>
                <w:rFonts w:asciiTheme="minorHAnsi" w:hAnsiTheme="minorHAnsi" w:cstheme="minorHAnsi"/>
                <w:bCs/>
                <w:szCs w:val="22"/>
              </w:rPr>
              <w:t xml:space="preserve">. </w:t>
            </w:r>
            <w:r w:rsidR="00452E7B">
              <w:rPr>
                <w:rFonts w:asciiTheme="minorHAnsi" w:hAnsiTheme="minorHAnsi" w:cstheme="minorHAnsi"/>
                <w:bCs/>
                <w:szCs w:val="22"/>
              </w:rPr>
              <w:t>Moreover, n</w:t>
            </w:r>
            <w:r w:rsidR="004D7D8D">
              <w:rPr>
                <w:rFonts w:asciiTheme="minorHAnsi" w:hAnsiTheme="minorHAnsi" w:cstheme="minorHAnsi"/>
                <w:bCs/>
                <w:szCs w:val="22"/>
              </w:rPr>
              <w:t xml:space="preserve">o testimonials </w:t>
            </w:r>
            <w:r w:rsidR="00452E7B">
              <w:rPr>
                <w:rFonts w:asciiTheme="minorHAnsi" w:hAnsiTheme="minorHAnsi" w:cstheme="minorHAnsi"/>
                <w:bCs/>
                <w:szCs w:val="22"/>
              </w:rPr>
              <w:t xml:space="preserve">have been </w:t>
            </w:r>
            <w:r w:rsidR="004D7D8D">
              <w:rPr>
                <w:rFonts w:asciiTheme="minorHAnsi" w:hAnsiTheme="minorHAnsi" w:cstheme="minorHAnsi"/>
                <w:bCs/>
                <w:szCs w:val="22"/>
              </w:rPr>
              <w:t xml:space="preserve">provided to confirm </w:t>
            </w:r>
            <w:r w:rsidR="00C92863">
              <w:rPr>
                <w:rFonts w:asciiTheme="minorHAnsi" w:hAnsiTheme="minorHAnsi" w:cstheme="minorHAnsi"/>
                <w:bCs/>
                <w:szCs w:val="22"/>
              </w:rPr>
              <w:t xml:space="preserve">when the </w:t>
            </w:r>
            <w:r w:rsidR="00452E7B">
              <w:rPr>
                <w:rFonts w:asciiTheme="minorHAnsi" w:hAnsiTheme="minorHAnsi" w:cstheme="minorHAnsi"/>
                <w:bCs/>
                <w:szCs w:val="22"/>
              </w:rPr>
              <w:t xml:space="preserve">development </w:t>
            </w:r>
            <w:r w:rsidR="00C92863">
              <w:rPr>
                <w:rFonts w:asciiTheme="minorHAnsi" w:hAnsiTheme="minorHAnsi" w:cstheme="minorHAnsi"/>
                <w:bCs/>
                <w:szCs w:val="22"/>
              </w:rPr>
              <w:t xml:space="preserve">was </w:t>
            </w:r>
            <w:r w:rsidR="00452E7B">
              <w:rPr>
                <w:rFonts w:asciiTheme="minorHAnsi" w:hAnsiTheme="minorHAnsi" w:cstheme="minorHAnsi"/>
                <w:bCs/>
                <w:szCs w:val="22"/>
              </w:rPr>
              <w:t xml:space="preserve">started and </w:t>
            </w:r>
            <w:r w:rsidR="00C92863">
              <w:rPr>
                <w:rFonts w:asciiTheme="minorHAnsi" w:hAnsiTheme="minorHAnsi" w:cstheme="minorHAnsi"/>
                <w:bCs/>
                <w:szCs w:val="22"/>
              </w:rPr>
              <w:t>substantially completed.</w:t>
            </w:r>
          </w:p>
          <w:p w14:paraId="39FED635" w14:textId="77777777" w:rsidR="00ED172A" w:rsidRDefault="00ED172A" w:rsidP="00D90A2C">
            <w:pPr>
              <w:pStyle w:val="Header"/>
              <w:tabs>
                <w:tab w:val="left" w:pos="720"/>
              </w:tabs>
              <w:rPr>
                <w:rFonts w:asciiTheme="minorHAnsi" w:hAnsiTheme="minorHAnsi" w:cstheme="minorHAnsi"/>
                <w:bCs/>
                <w:szCs w:val="22"/>
              </w:rPr>
            </w:pPr>
          </w:p>
          <w:p w14:paraId="214F2C33" w14:textId="043871D3" w:rsidR="0046548C" w:rsidRDefault="004D7D8D" w:rsidP="00EB611C">
            <w:pPr>
              <w:rPr>
                <w:rFonts w:asciiTheme="minorHAnsi" w:hAnsiTheme="minorHAnsi"/>
                <w:bCs/>
                <w:szCs w:val="22"/>
              </w:rPr>
            </w:pPr>
            <w:r>
              <w:rPr>
                <w:rFonts w:asciiTheme="minorHAnsi" w:hAnsiTheme="minorHAnsi"/>
                <w:bCs/>
                <w:szCs w:val="22"/>
              </w:rPr>
              <w:t>In conclusion, t</w:t>
            </w:r>
            <w:r w:rsidR="00EB611C">
              <w:rPr>
                <w:rFonts w:asciiTheme="minorHAnsi" w:hAnsiTheme="minorHAnsi"/>
                <w:bCs/>
                <w:szCs w:val="22"/>
              </w:rPr>
              <w:t>he applicant has failed to demonstrate</w:t>
            </w:r>
            <w:r w:rsidR="00BD501A">
              <w:rPr>
                <w:rFonts w:asciiTheme="minorHAnsi" w:hAnsiTheme="minorHAnsi"/>
                <w:bCs/>
                <w:szCs w:val="22"/>
              </w:rPr>
              <w:t>, due to a lack of supporting evidence</w:t>
            </w:r>
            <w:r w:rsidR="00C92863">
              <w:rPr>
                <w:rFonts w:asciiTheme="minorHAnsi" w:hAnsiTheme="minorHAnsi"/>
                <w:bCs/>
                <w:szCs w:val="22"/>
              </w:rPr>
              <w:t xml:space="preserve"> as required by Section 191 of the Town and Country Planning Act 1990 that </w:t>
            </w:r>
            <w:r w:rsidR="00452E7B">
              <w:rPr>
                <w:rFonts w:asciiTheme="minorHAnsi" w:hAnsiTheme="minorHAnsi"/>
                <w:bCs/>
                <w:szCs w:val="22"/>
              </w:rPr>
              <w:t xml:space="preserve">the </w:t>
            </w:r>
            <w:r w:rsidR="00C92863">
              <w:rPr>
                <w:rFonts w:asciiTheme="minorHAnsi" w:hAnsiTheme="minorHAnsi"/>
                <w:bCs/>
                <w:szCs w:val="22"/>
              </w:rPr>
              <w:t xml:space="preserve">works </w:t>
            </w:r>
            <w:r w:rsidR="00452E7B">
              <w:rPr>
                <w:rFonts w:asciiTheme="minorHAnsi" w:hAnsiTheme="minorHAnsi"/>
                <w:bCs/>
                <w:szCs w:val="22"/>
              </w:rPr>
              <w:t xml:space="preserve">had been </w:t>
            </w:r>
            <w:r w:rsidR="00C92863">
              <w:rPr>
                <w:rFonts w:asciiTheme="minorHAnsi" w:hAnsiTheme="minorHAnsi"/>
                <w:bCs/>
                <w:szCs w:val="22"/>
              </w:rPr>
              <w:t xml:space="preserve">reasonably completed in excess of four years ago to align with the time limits within Section 171B of the same act. </w:t>
            </w:r>
          </w:p>
          <w:p w14:paraId="3A4BD7A7" w14:textId="1AB61790" w:rsidR="00EB611C" w:rsidRPr="00EB611C" w:rsidRDefault="00EB611C" w:rsidP="00EB611C">
            <w:pPr>
              <w:rPr>
                <w:rFonts w:asciiTheme="minorHAnsi" w:hAnsiTheme="minorHAnsi"/>
                <w:bCs/>
                <w:szCs w:val="22"/>
              </w:rPr>
            </w:pPr>
          </w:p>
        </w:tc>
      </w:tr>
      <w:tr w:rsidR="00C0704D" w:rsidRPr="00D2449B" w14:paraId="507FC89B" w14:textId="77777777" w:rsidTr="00EB611C">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5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CEB1E1F" w:rsidR="00C0704D" w:rsidRPr="00D2449B" w:rsidRDefault="00D90A2C" w:rsidP="00CD2CEF">
            <w:pPr>
              <w:rPr>
                <w:rFonts w:ascii="Calibri" w:hAnsi="Calibri"/>
                <w:bCs/>
                <w:szCs w:val="22"/>
              </w:rPr>
            </w:pPr>
            <w:r>
              <w:rPr>
                <w:rFonts w:ascii="Calibri" w:hAnsi="Calibri"/>
                <w:bCs/>
                <w:szCs w:val="22"/>
              </w:rPr>
              <w:t xml:space="preserve">That consent for a Certificate of Lawfulness be </w:t>
            </w:r>
            <w:r w:rsidR="004D7D8D">
              <w:rPr>
                <w:rFonts w:ascii="Calibri" w:hAnsi="Calibri"/>
                <w:bCs/>
                <w:szCs w:val="22"/>
              </w:rPr>
              <w:t>refused</w:t>
            </w:r>
            <w:r>
              <w:rPr>
                <w:rFonts w:ascii="Calibri" w:hAnsi="Calibri"/>
                <w:bCs/>
                <w:szCs w:val="22"/>
              </w:rPr>
              <w:t xml:space="preserve">. </w:t>
            </w:r>
          </w:p>
        </w:tc>
      </w:tr>
    </w:tbl>
    <w:p w14:paraId="513FB541" w14:textId="77777777" w:rsidR="00ED172A" w:rsidRPr="00D2449B" w:rsidRDefault="00ED172A">
      <w:pPr>
        <w:rPr>
          <w:rFonts w:ascii="Calibri" w:hAnsi="Calibri"/>
          <w:szCs w:val="22"/>
        </w:rPr>
      </w:pPr>
    </w:p>
    <w:sectPr w:rsidR="00ED172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1E6"/>
    <w:multiLevelType w:val="hybridMultilevel"/>
    <w:tmpl w:val="07E651A6"/>
    <w:lvl w:ilvl="0" w:tplc="5ED6A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E2CEA"/>
    <w:multiLevelType w:val="hybridMultilevel"/>
    <w:tmpl w:val="0EBEDF6A"/>
    <w:lvl w:ilvl="0" w:tplc="26B66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14F62"/>
    <w:multiLevelType w:val="hybridMultilevel"/>
    <w:tmpl w:val="16BED224"/>
    <w:lvl w:ilvl="0" w:tplc="CF08F4C0">
      <w:start w:val="4"/>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C6571"/>
    <w:multiLevelType w:val="hybridMultilevel"/>
    <w:tmpl w:val="DDD23C5A"/>
    <w:lvl w:ilvl="0" w:tplc="2AD81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67388865">
    <w:abstractNumId w:val="0"/>
  </w:num>
  <w:num w:numId="3" w16cid:durableId="1934967592">
    <w:abstractNumId w:val="1"/>
  </w:num>
  <w:num w:numId="4" w16cid:durableId="1798528420">
    <w:abstractNumId w:val="3"/>
  </w:num>
  <w:num w:numId="5" w16cid:durableId="17839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632"/>
    <w:rsid w:val="00070E4A"/>
    <w:rsid w:val="000B5CB5"/>
    <w:rsid w:val="000E4211"/>
    <w:rsid w:val="00130035"/>
    <w:rsid w:val="001C0430"/>
    <w:rsid w:val="001D4F7A"/>
    <w:rsid w:val="00250879"/>
    <w:rsid w:val="0029334A"/>
    <w:rsid w:val="002938D9"/>
    <w:rsid w:val="002A01CF"/>
    <w:rsid w:val="002A6B7F"/>
    <w:rsid w:val="002C6277"/>
    <w:rsid w:val="002F2580"/>
    <w:rsid w:val="00301565"/>
    <w:rsid w:val="003072B7"/>
    <w:rsid w:val="00321B6E"/>
    <w:rsid w:val="00346FFC"/>
    <w:rsid w:val="003619C5"/>
    <w:rsid w:val="0039683F"/>
    <w:rsid w:val="003A2A7B"/>
    <w:rsid w:val="003C3962"/>
    <w:rsid w:val="003C6932"/>
    <w:rsid w:val="00440CB6"/>
    <w:rsid w:val="00452E7B"/>
    <w:rsid w:val="0046548C"/>
    <w:rsid w:val="004666C6"/>
    <w:rsid w:val="004947BB"/>
    <w:rsid w:val="004A50DC"/>
    <w:rsid w:val="004A5EA9"/>
    <w:rsid w:val="004C2434"/>
    <w:rsid w:val="004D7D8D"/>
    <w:rsid w:val="004F0649"/>
    <w:rsid w:val="004F77A7"/>
    <w:rsid w:val="00510FA2"/>
    <w:rsid w:val="005223F9"/>
    <w:rsid w:val="00556ECD"/>
    <w:rsid w:val="0057780C"/>
    <w:rsid w:val="005E1C6C"/>
    <w:rsid w:val="005E65DF"/>
    <w:rsid w:val="006032F8"/>
    <w:rsid w:val="00645895"/>
    <w:rsid w:val="00646475"/>
    <w:rsid w:val="00663647"/>
    <w:rsid w:val="00692B60"/>
    <w:rsid w:val="006A71AD"/>
    <w:rsid w:val="006C2BFA"/>
    <w:rsid w:val="006F6849"/>
    <w:rsid w:val="0070054B"/>
    <w:rsid w:val="00716125"/>
    <w:rsid w:val="007172D8"/>
    <w:rsid w:val="00776AE2"/>
    <w:rsid w:val="007C791C"/>
    <w:rsid w:val="007D7DF4"/>
    <w:rsid w:val="007E0D23"/>
    <w:rsid w:val="007F16D6"/>
    <w:rsid w:val="00811771"/>
    <w:rsid w:val="008542DE"/>
    <w:rsid w:val="008A28C8"/>
    <w:rsid w:val="008F53B0"/>
    <w:rsid w:val="0092215D"/>
    <w:rsid w:val="009D0C0E"/>
    <w:rsid w:val="009E1372"/>
    <w:rsid w:val="00A42E82"/>
    <w:rsid w:val="00A579BB"/>
    <w:rsid w:val="00A625E3"/>
    <w:rsid w:val="00A63D55"/>
    <w:rsid w:val="00A67AF5"/>
    <w:rsid w:val="00A95D89"/>
    <w:rsid w:val="00AA6BEB"/>
    <w:rsid w:val="00B1590F"/>
    <w:rsid w:val="00B93EB5"/>
    <w:rsid w:val="00BB6356"/>
    <w:rsid w:val="00BD3F03"/>
    <w:rsid w:val="00BD501A"/>
    <w:rsid w:val="00C0704D"/>
    <w:rsid w:val="00C25722"/>
    <w:rsid w:val="00C618DB"/>
    <w:rsid w:val="00C86F49"/>
    <w:rsid w:val="00C92863"/>
    <w:rsid w:val="00CA7A7E"/>
    <w:rsid w:val="00D11007"/>
    <w:rsid w:val="00D17EB1"/>
    <w:rsid w:val="00D2449B"/>
    <w:rsid w:val="00D54E67"/>
    <w:rsid w:val="00D90A2C"/>
    <w:rsid w:val="00DD62F6"/>
    <w:rsid w:val="00DE4AC5"/>
    <w:rsid w:val="00E46243"/>
    <w:rsid w:val="00E66534"/>
    <w:rsid w:val="00E72F6C"/>
    <w:rsid w:val="00EA09F9"/>
    <w:rsid w:val="00EB611C"/>
    <w:rsid w:val="00EC23C7"/>
    <w:rsid w:val="00ED00B7"/>
    <w:rsid w:val="00ED172A"/>
    <w:rsid w:val="00EF44E6"/>
    <w:rsid w:val="00F6582C"/>
    <w:rsid w:val="00F7455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legclearfix">
    <w:name w:val="legclearfix"/>
    <w:basedOn w:val="Normal"/>
    <w:rsid w:val="00EB611C"/>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legaddition">
    <w:name w:val="legaddition"/>
    <w:basedOn w:val="DefaultParagraphFont"/>
    <w:rsid w:val="00EB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316">
      <w:bodyDiv w:val="1"/>
      <w:marLeft w:val="0"/>
      <w:marRight w:val="0"/>
      <w:marTop w:val="0"/>
      <w:marBottom w:val="0"/>
      <w:divBdr>
        <w:top w:val="none" w:sz="0" w:space="0" w:color="auto"/>
        <w:left w:val="none" w:sz="0" w:space="0" w:color="auto"/>
        <w:bottom w:val="none" w:sz="0" w:space="0" w:color="auto"/>
        <w:right w:val="none" w:sz="0" w:space="0" w:color="auto"/>
      </w:divBdr>
    </w:div>
    <w:div w:id="550919488">
      <w:bodyDiv w:val="1"/>
      <w:marLeft w:val="0"/>
      <w:marRight w:val="0"/>
      <w:marTop w:val="0"/>
      <w:marBottom w:val="0"/>
      <w:divBdr>
        <w:top w:val="none" w:sz="0" w:space="0" w:color="auto"/>
        <w:left w:val="none" w:sz="0" w:space="0" w:color="auto"/>
        <w:bottom w:val="none" w:sz="0" w:space="0" w:color="auto"/>
        <w:right w:val="none" w:sz="0" w:space="0" w:color="auto"/>
      </w:divBdr>
    </w:div>
    <w:div w:id="777720181">
      <w:bodyDiv w:val="1"/>
      <w:marLeft w:val="0"/>
      <w:marRight w:val="0"/>
      <w:marTop w:val="0"/>
      <w:marBottom w:val="0"/>
      <w:divBdr>
        <w:top w:val="none" w:sz="0" w:space="0" w:color="auto"/>
        <w:left w:val="none" w:sz="0" w:space="0" w:color="auto"/>
        <w:bottom w:val="none" w:sz="0" w:space="0" w:color="auto"/>
        <w:right w:val="none" w:sz="0" w:space="0" w:color="auto"/>
      </w:divBdr>
    </w:div>
    <w:div w:id="1063135354">
      <w:bodyDiv w:val="1"/>
      <w:marLeft w:val="0"/>
      <w:marRight w:val="0"/>
      <w:marTop w:val="0"/>
      <w:marBottom w:val="0"/>
      <w:divBdr>
        <w:top w:val="none" w:sz="0" w:space="0" w:color="auto"/>
        <w:left w:val="none" w:sz="0" w:space="0" w:color="auto"/>
        <w:bottom w:val="none" w:sz="0" w:space="0" w:color="auto"/>
        <w:right w:val="none" w:sz="0" w:space="0" w:color="auto"/>
      </w:divBdr>
    </w:div>
    <w:div w:id="1095899312">
      <w:bodyDiv w:val="1"/>
      <w:marLeft w:val="0"/>
      <w:marRight w:val="0"/>
      <w:marTop w:val="0"/>
      <w:marBottom w:val="0"/>
      <w:divBdr>
        <w:top w:val="none" w:sz="0" w:space="0" w:color="auto"/>
        <w:left w:val="none" w:sz="0" w:space="0" w:color="auto"/>
        <w:bottom w:val="none" w:sz="0" w:space="0" w:color="auto"/>
        <w:right w:val="none" w:sz="0" w:space="0" w:color="auto"/>
      </w:divBdr>
    </w:div>
    <w:div w:id="1341129333">
      <w:bodyDiv w:val="1"/>
      <w:marLeft w:val="0"/>
      <w:marRight w:val="0"/>
      <w:marTop w:val="0"/>
      <w:marBottom w:val="0"/>
      <w:divBdr>
        <w:top w:val="none" w:sz="0" w:space="0" w:color="auto"/>
        <w:left w:val="none" w:sz="0" w:space="0" w:color="auto"/>
        <w:bottom w:val="none" w:sz="0" w:space="0" w:color="auto"/>
        <w:right w:val="none" w:sz="0" w:space="0" w:color="auto"/>
      </w:divBdr>
    </w:div>
    <w:div w:id="1774282124">
      <w:bodyDiv w:val="1"/>
      <w:marLeft w:val="0"/>
      <w:marRight w:val="0"/>
      <w:marTop w:val="0"/>
      <w:marBottom w:val="0"/>
      <w:divBdr>
        <w:top w:val="none" w:sz="0" w:space="0" w:color="auto"/>
        <w:left w:val="none" w:sz="0" w:space="0" w:color="auto"/>
        <w:bottom w:val="none" w:sz="0" w:space="0" w:color="auto"/>
        <w:right w:val="none" w:sz="0" w:space="0" w:color="auto"/>
      </w:divBdr>
    </w:div>
    <w:div w:id="2014643400">
      <w:bodyDiv w:val="1"/>
      <w:marLeft w:val="0"/>
      <w:marRight w:val="0"/>
      <w:marTop w:val="0"/>
      <w:marBottom w:val="0"/>
      <w:divBdr>
        <w:top w:val="none" w:sz="0" w:space="0" w:color="auto"/>
        <w:left w:val="none" w:sz="0" w:space="0" w:color="auto"/>
        <w:bottom w:val="none" w:sz="0" w:space="0" w:color="auto"/>
        <w:right w:val="none" w:sz="0" w:space="0" w:color="auto"/>
      </w:divBdr>
    </w:div>
    <w:div w:id="20527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2023-09-19T12:05:00Z</dcterms:created>
  <dcterms:modified xsi:type="dcterms:W3CDTF">2023-09-19T12:05:00Z</dcterms:modified>
</cp:coreProperties>
</file>