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67"/>
      </w:tblGrid>
      <w:tr w:rsidR="004A5EA9" w:rsidRPr="00D2449B" w14:paraId="230E00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81C7AD0" w:rsidR="00837F4F" w:rsidRPr="00D2449B" w:rsidRDefault="00302C49"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FFD8FD9" w:rsidR="00837F4F" w:rsidRPr="00D2449B" w:rsidRDefault="002C512B" w:rsidP="00D2449B">
            <w:pPr>
              <w:jc w:val="center"/>
              <w:rPr>
                <w:rFonts w:ascii="Calibri" w:hAnsi="Calibri"/>
                <w:b/>
                <w:szCs w:val="22"/>
              </w:rPr>
            </w:pPr>
            <w:r>
              <w:rPr>
                <w:rFonts w:ascii="Calibri" w:hAnsi="Calibri"/>
                <w:b/>
                <w:szCs w:val="22"/>
              </w:rPr>
              <w:t>26/10/23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FC37D14" w:rsidR="004A5EA9" w:rsidRPr="00302C49" w:rsidRDefault="00302C49" w:rsidP="008542DE">
            <w:pPr>
              <w:rPr>
                <w:rFonts w:ascii="Calibri" w:hAnsi="Calibri"/>
                <w:szCs w:val="22"/>
              </w:rPr>
            </w:pPr>
            <w:r>
              <w:rPr>
                <w:rFonts w:ascii="Calibri" w:hAnsi="Calibri"/>
                <w:szCs w:val="22"/>
              </w:rPr>
              <w:t>3/2023/0528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C7781E6" w:rsidR="00824DB6" w:rsidRPr="00C0704D" w:rsidRDefault="00302C49" w:rsidP="002C6277">
            <w:pPr>
              <w:rPr>
                <w:rFonts w:ascii="Calibri" w:hAnsi="Calibri"/>
                <w:szCs w:val="22"/>
              </w:rPr>
            </w:pPr>
            <w:r>
              <w:rPr>
                <w:rFonts w:ascii="Calibri" w:hAnsi="Calibri"/>
                <w:szCs w:val="22"/>
              </w:rPr>
              <w:t>29/09/23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B99774A" w:rsidR="00824DB6" w:rsidRPr="00C0704D" w:rsidRDefault="00302C49" w:rsidP="002C6277">
            <w:pPr>
              <w:rPr>
                <w:rFonts w:ascii="Calibri" w:hAnsi="Calibri"/>
                <w:szCs w:val="22"/>
              </w:rPr>
            </w:pPr>
            <w:r>
              <w:rPr>
                <w:rFonts w:ascii="Calibri" w:hAnsi="Calibri"/>
                <w:szCs w:val="22"/>
              </w:rPr>
              <w:t>29/09/23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150B817" w:rsidR="004A5EA9" w:rsidRPr="00302C49" w:rsidRDefault="00302C49"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068B63" w:rsidR="004A5EA9" w:rsidRPr="002C6277" w:rsidRDefault="00302C49">
            <w:pPr>
              <w:rPr>
                <w:rFonts w:ascii="Calibri" w:hAnsi="Calibri"/>
                <w:szCs w:val="22"/>
              </w:rPr>
            </w:pPr>
            <w:r>
              <w:rPr>
                <w:rFonts w:ascii="Calibri" w:hAnsi="Calibri"/>
                <w:szCs w:val="22"/>
              </w:rPr>
              <w:t xml:space="preserve">Advertisement consent for replacement of existing external signs and associated lighting. </w:t>
            </w:r>
          </w:p>
        </w:tc>
      </w:tr>
      <w:tr w:rsidR="002A01CF" w:rsidRPr="00D2449B" w14:paraId="52988241"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F9BF2A0" w:rsidR="002A01CF" w:rsidRPr="002C6277" w:rsidRDefault="00302C49" w:rsidP="00A42E82">
            <w:pPr>
              <w:rPr>
                <w:rFonts w:ascii="Calibri" w:hAnsi="Calibri"/>
                <w:szCs w:val="22"/>
              </w:rPr>
            </w:pPr>
            <w:r>
              <w:rPr>
                <w:rFonts w:ascii="Calibri" w:hAnsi="Calibri"/>
                <w:szCs w:val="22"/>
              </w:rPr>
              <w:t>Bayley Arms Hotel, Avenue Road, Hurst Green BB7 9QB</w:t>
            </w:r>
          </w:p>
        </w:tc>
      </w:tr>
      <w:tr w:rsidR="00A95D89" w:rsidRPr="00D2449B" w14:paraId="3FB99B2E"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8C9CC4A" w:rsidR="002A01CF" w:rsidRPr="00302C49" w:rsidRDefault="00302C49">
            <w:pPr>
              <w:rPr>
                <w:rFonts w:ascii="Calibri" w:hAnsi="Calibri"/>
                <w:bCs/>
                <w:szCs w:val="22"/>
              </w:rPr>
            </w:pPr>
            <w:r>
              <w:rPr>
                <w:rFonts w:ascii="Calibri" w:hAnsi="Calibri"/>
                <w:bCs/>
                <w:szCs w:val="22"/>
              </w:rPr>
              <w:t xml:space="preserve">No objections to the proposed development. </w:t>
            </w:r>
          </w:p>
        </w:tc>
      </w:tr>
      <w:tr w:rsidR="00C618DB" w:rsidRPr="00D2449B" w14:paraId="639E958B"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AF1E71" w:rsidRPr="00D2449B" w14:paraId="1EA955B4"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AF1E71" w:rsidRPr="00D2449B" w:rsidRDefault="00AF1E71" w:rsidP="00AF1E71">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C5CD84" w:rsidR="00AF1E71" w:rsidRPr="00D2449B" w:rsidRDefault="00AF1E71" w:rsidP="00AF1E71">
            <w:pPr>
              <w:rPr>
                <w:rFonts w:ascii="Calibri" w:hAnsi="Calibri"/>
                <w:b/>
                <w:szCs w:val="22"/>
              </w:rPr>
            </w:pPr>
            <w:r>
              <w:rPr>
                <w:rFonts w:ascii="Calibri" w:hAnsi="Calibri"/>
                <w:bCs/>
                <w:szCs w:val="22"/>
              </w:rPr>
              <w:t xml:space="preserve">No objection to the proposal subject to the imposition of a conditions. </w:t>
            </w:r>
          </w:p>
        </w:tc>
      </w:tr>
      <w:tr w:rsidR="00AF1E71" w:rsidRPr="00D2449B" w14:paraId="62663AA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AF1E71" w:rsidRPr="00C0704D" w:rsidRDefault="00AF1E71" w:rsidP="00AF1E71">
            <w:pPr>
              <w:rPr>
                <w:rFonts w:ascii="Calibri" w:hAnsi="Calibri"/>
                <w:szCs w:val="22"/>
              </w:rPr>
            </w:pPr>
          </w:p>
        </w:tc>
      </w:tr>
      <w:tr w:rsidR="00AF1E71" w:rsidRPr="00D2449B" w14:paraId="29EBDA1F" w14:textId="77777777" w:rsidTr="00773A66">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AF1E71" w:rsidRPr="00C0704D" w:rsidRDefault="00AF1E71" w:rsidP="00AF1E71">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AF1E71" w:rsidRPr="00C0704D" w:rsidRDefault="00AF1E71" w:rsidP="00AF1E71">
            <w:pPr>
              <w:rPr>
                <w:rFonts w:ascii="Calibri" w:hAnsi="Calibri"/>
                <w:b/>
                <w:szCs w:val="22"/>
              </w:rPr>
            </w:pPr>
            <w:r w:rsidRPr="00C0704D">
              <w:rPr>
                <w:rFonts w:ascii="Calibri" w:hAnsi="Calibri"/>
                <w:b/>
                <w:szCs w:val="22"/>
              </w:rPr>
              <w:t>Additional Representations.</w:t>
            </w:r>
          </w:p>
        </w:tc>
      </w:tr>
      <w:tr w:rsidR="00AF1E71" w:rsidRPr="00D2449B" w14:paraId="3999C1CA"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E866DB" w:rsidR="00AF1E71" w:rsidRPr="00302C49" w:rsidRDefault="00AF1E71" w:rsidP="00AF1E71">
            <w:pPr>
              <w:rPr>
                <w:rFonts w:ascii="Calibri" w:hAnsi="Calibri"/>
                <w:szCs w:val="22"/>
              </w:rPr>
            </w:pPr>
            <w:r>
              <w:rPr>
                <w:rFonts w:ascii="Calibri" w:hAnsi="Calibri"/>
                <w:szCs w:val="22"/>
              </w:rPr>
              <w:t>One letter of representation has been received raising concerns in regard to light pollution.</w:t>
            </w:r>
          </w:p>
        </w:tc>
      </w:tr>
      <w:tr w:rsidR="00AF1E71" w:rsidRPr="00D2449B" w14:paraId="1CDFA4C3"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AF1E71" w:rsidRPr="00D2449B" w:rsidRDefault="00AF1E71" w:rsidP="00AF1E71">
            <w:pPr>
              <w:rPr>
                <w:rFonts w:ascii="Calibri" w:hAnsi="Calibri"/>
                <w:color w:val="FF0000"/>
                <w:szCs w:val="22"/>
              </w:rPr>
            </w:pPr>
          </w:p>
        </w:tc>
      </w:tr>
      <w:tr w:rsidR="00AF1E71" w:rsidRPr="00D2449B" w14:paraId="55EAB66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AF1E71" w:rsidRPr="00D2449B" w:rsidRDefault="00AF1E71" w:rsidP="00AF1E71">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AF1E71" w:rsidRPr="00D2449B" w14:paraId="421609D9"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AF1E71" w:rsidRPr="00D2449B" w:rsidRDefault="00AF1E71" w:rsidP="00AF1E71">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AF1E71" w:rsidRDefault="00AF1E71" w:rsidP="00AF1E71">
            <w:pPr>
              <w:rPr>
                <w:rFonts w:ascii="Calibri" w:hAnsi="Calibri"/>
                <w:b/>
                <w:szCs w:val="22"/>
              </w:rPr>
            </w:pPr>
          </w:p>
          <w:p w14:paraId="23753E24" w14:textId="44ECF738" w:rsidR="00AF1E71" w:rsidRPr="00C618DB" w:rsidRDefault="00AF1E71" w:rsidP="00AF1E71">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3DD9EED" w14:textId="51D4E806" w:rsidR="00AF1E71" w:rsidRDefault="00AF1E71" w:rsidP="00AF1E71">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47C1315" w14:textId="6E5D6DC1" w:rsidR="00AF1E71" w:rsidRDefault="00AF1E71" w:rsidP="00AF1E71">
            <w:pPr>
              <w:pStyle w:val="PLANNING"/>
              <w:rPr>
                <w:rFonts w:ascii="Calibri" w:hAnsi="Calibri"/>
                <w:szCs w:val="22"/>
              </w:rPr>
            </w:pPr>
            <w:r>
              <w:rPr>
                <w:rFonts w:ascii="Calibri" w:hAnsi="Calibri"/>
                <w:szCs w:val="22"/>
              </w:rPr>
              <w:t>Key Statement EN2:</w:t>
            </w:r>
            <w:r>
              <w:rPr>
                <w:rFonts w:ascii="Calibri" w:hAnsi="Calibri"/>
                <w:szCs w:val="22"/>
              </w:rPr>
              <w:tab/>
              <w:t>Landscape</w:t>
            </w:r>
          </w:p>
          <w:p w14:paraId="4A77E8F9" w14:textId="1AC09D57" w:rsidR="00AF1E71" w:rsidRDefault="00AF1E71" w:rsidP="00AF1E71">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C968DA6" w14:textId="288CE997" w:rsidR="00AF1E71" w:rsidRDefault="00AF1E71" w:rsidP="00AF1E71">
            <w:pPr>
              <w:pStyle w:val="PLANNING"/>
              <w:rPr>
                <w:rFonts w:ascii="Calibri" w:hAnsi="Calibri"/>
                <w:szCs w:val="22"/>
              </w:rPr>
            </w:pPr>
            <w:r>
              <w:rPr>
                <w:rFonts w:ascii="Calibri" w:hAnsi="Calibri"/>
                <w:szCs w:val="22"/>
              </w:rPr>
              <w:t>Key Statement EC1:</w:t>
            </w:r>
            <w:r>
              <w:rPr>
                <w:rFonts w:ascii="Calibri" w:hAnsi="Calibri"/>
                <w:szCs w:val="22"/>
              </w:rPr>
              <w:tab/>
              <w:t>Business and Employment Development</w:t>
            </w:r>
          </w:p>
          <w:p w14:paraId="1DDE8FAF" w14:textId="0B62C449" w:rsidR="00AF1E71" w:rsidRDefault="00AF1E71" w:rsidP="00AF1E71">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AF1E71" w:rsidRPr="00C618DB" w:rsidRDefault="00AF1E71" w:rsidP="00AF1E71">
            <w:pPr>
              <w:pStyle w:val="PLANNING"/>
              <w:rPr>
                <w:rFonts w:ascii="Calibri" w:hAnsi="Calibri"/>
                <w:szCs w:val="22"/>
              </w:rPr>
            </w:pPr>
          </w:p>
          <w:p w14:paraId="1636F1D2" w14:textId="7E41133F" w:rsidR="00AF1E71" w:rsidRPr="00C618DB" w:rsidRDefault="00AF1E71" w:rsidP="00AF1E71">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54E7D563" w14:textId="33429D12" w:rsidR="00AF1E71" w:rsidRPr="00C618DB" w:rsidRDefault="00AF1E71" w:rsidP="00AF1E71">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CF21779" w14:textId="765B9768" w:rsidR="00AF1E71" w:rsidRPr="00C618DB" w:rsidRDefault="00AF1E71" w:rsidP="00AF1E71">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20F9F1F6" w14:textId="3CC2F0B5" w:rsidR="00AF1E71" w:rsidRDefault="00AF1E71" w:rsidP="00AF1E71">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1D9933A3" w:rsidR="00AF1E71" w:rsidRPr="00C618DB" w:rsidRDefault="00AF1E71" w:rsidP="00AF1E71">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1360EE56" w14:textId="77777777" w:rsidR="00AF1E71" w:rsidRDefault="00AF1E71" w:rsidP="00AF1E71">
            <w:pPr>
              <w:pStyle w:val="PLANNING"/>
              <w:rPr>
                <w:rFonts w:ascii="Calibri" w:hAnsi="Calibri"/>
                <w:szCs w:val="22"/>
              </w:rPr>
            </w:pPr>
          </w:p>
          <w:p w14:paraId="08A423E0" w14:textId="77777777" w:rsidR="00AF1E71" w:rsidRPr="00C618DB" w:rsidRDefault="00AF1E71" w:rsidP="00AF1E71">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AF1E71" w:rsidRDefault="00AF1E71" w:rsidP="00AF1E71">
            <w:pPr>
              <w:rPr>
                <w:rFonts w:ascii="Calibri" w:hAnsi="Calibri"/>
                <w:szCs w:val="22"/>
              </w:rPr>
            </w:pPr>
            <w:r w:rsidRPr="00C618DB">
              <w:rPr>
                <w:rFonts w:ascii="Calibri" w:hAnsi="Calibri"/>
                <w:szCs w:val="22"/>
              </w:rPr>
              <w:t>National Planning Policy Framework (NPPF)</w:t>
            </w:r>
          </w:p>
          <w:p w14:paraId="600EDA91" w14:textId="1D1B8272" w:rsidR="00AF1E71" w:rsidRDefault="00AF1E71" w:rsidP="00AF1E71">
            <w:pPr>
              <w:rPr>
                <w:rFonts w:ascii="Calibri" w:hAnsi="Calibri"/>
                <w:szCs w:val="22"/>
              </w:rPr>
            </w:pPr>
            <w:r>
              <w:rPr>
                <w:rFonts w:ascii="Calibri" w:hAnsi="Calibri"/>
                <w:szCs w:val="22"/>
              </w:rPr>
              <w:t xml:space="preserve">Hurst Green Conservation Area Appraisal </w:t>
            </w:r>
          </w:p>
          <w:p w14:paraId="6C4C318E" w14:textId="77777777" w:rsidR="00AF1E71" w:rsidRPr="00D2449B" w:rsidRDefault="00AF1E71" w:rsidP="00AF1E71">
            <w:pPr>
              <w:rPr>
                <w:rFonts w:ascii="Calibri" w:hAnsi="Calibri"/>
                <w:b/>
                <w:szCs w:val="22"/>
              </w:rPr>
            </w:pPr>
          </w:p>
        </w:tc>
      </w:tr>
      <w:tr w:rsidR="00AF1E71" w:rsidRPr="00D2449B" w14:paraId="08181FD6"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332710" w14:textId="23097DED" w:rsidR="00AF1E71" w:rsidRDefault="00AF1E71" w:rsidP="00AF1E71">
            <w:pPr>
              <w:pStyle w:val="PLANNING"/>
              <w:rPr>
                <w:rFonts w:ascii="Calibri" w:hAnsi="Calibri"/>
                <w:b/>
                <w:bCs/>
                <w:szCs w:val="22"/>
              </w:rPr>
            </w:pPr>
            <w:r w:rsidRPr="006A71AD">
              <w:rPr>
                <w:rFonts w:ascii="Calibri" w:hAnsi="Calibri"/>
                <w:b/>
                <w:bCs/>
                <w:szCs w:val="22"/>
              </w:rPr>
              <w:t>Relevant Planning History:</w:t>
            </w:r>
          </w:p>
          <w:p w14:paraId="6D9AD5E5" w14:textId="77777777" w:rsidR="00AF1E71" w:rsidRDefault="00AF1E71" w:rsidP="00AF1E71">
            <w:pPr>
              <w:pStyle w:val="PLANNING"/>
              <w:rPr>
                <w:rFonts w:ascii="Calibri" w:hAnsi="Calibri"/>
                <w:b/>
                <w:bCs/>
                <w:szCs w:val="22"/>
              </w:rPr>
            </w:pPr>
          </w:p>
          <w:p w14:paraId="48D16DB3" w14:textId="280DB984" w:rsidR="00AF1E71" w:rsidRDefault="00AF1E71" w:rsidP="00AF1E71">
            <w:pPr>
              <w:pStyle w:val="PLANNING"/>
              <w:rPr>
                <w:rFonts w:ascii="Calibri" w:hAnsi="Calibri"/>
                <w:szCs w:val="22"/>
              </w:rPr>
            </w:pPr>
            <w:r>
              <w:rPr>
                <w:rFonts w:ascii="Calibri" w:hAnsi="Calibri"/>
                <w:szCs w:val="22"/>
              </w:rPr>
              <w:t xml:space="preserve">3/2023/0529: Listed Building Consent for the installation of replacement external signs, associated lighting and re-painting of the exterior. </w:t>
            </w:r>
          </w:p>
          <w:p w14:paraId="655BC88D" w14:textId="77777777" w:rsidR="00AF1E71" w:rsidRDefault="00AF1E71" w:rsidP="00AF1E71">
            <w:pPr>
              <w:pStyle w:val="PLANNING"/>
              <w:rPr>
                <w:rFonts w:ascii="Calibri" w:hAnsi="Calibri"/>
                <w:szCs w:val="22"/>
              </w:rPr>
            </w:pPr>
          </w:p>
          <w:p w14:paraId="1421AECD" w14:textId="729E7861" w:rsidR="00AF1E71" w:rsidRDefault="00AF1E71" w:rsidP="00AF1E71">
            <w:pPr>
              <w:pStyle w:val="PLANNING"/>
              <w:rPr>
                <w:rFonts w:ascii="Calibri" w:hAnsi="Calibri"/>
                <w:szCs w:val="22"/>
              </w:rPr>
            </w:pPr>
            <w:r>
              <w:rPr>
                <w:rFonts w:ascii="Calibri" w:hAnsi="Calibri"/>
                <w:szCs w:val="22"/>
              </w:rPr>
              <w:lastRenderedPageBreak/>
              <w:t>3/2020/0044: Listed Building Consent to install replacement signs and lighting including re-painting of the exterior (Approved)</w:t>
            </w:r>
          </w:p>
          <w:p w14:paraId="0D5DC603" w14:textId="77777777" w:rsidR="00AF1E71" w:rsidRDefault="00AF1E71" w:rsidP="00AF1E71">
            <w:pPr>
              <w:pStyle w:val="PLANNING"/>
              <w:rPr>
                <w:rFonts w:ascii="Calibri" w:hAnsi="Calibri"/>
                <w:szCs w:val="22"/>
              </w:rPr>
            </w:pPr>
          </w:p>
          <w:p w14:paraId="57A0A1BC" w14:textId="66FD091E" w:rsidR="00AF1E71" w:rsidRPr="00302C49" w:rsidRDefault="00AF1E71" w:rsidP="00AF1E71">
            <w:pPr>
              <w:pStyle w:val="PLANNING"/>
              <w:rPr>
                <w:rFonts w:ascii="Calibri" w:hAnsi="Calibri"/>
                <w:szCs w:val="22"/>
              </w:rPr>
            </w:pPr>
            <w:r>
              <w:rPr>
                <w:rFonts w:ascii="Calibri" w:hAnsi="Calibri"/>
                <w:szCs w:val="22"/>
              </w:rPr>
              <w:t>3/2019/0998: Advertisement Consent for replacement of existing external signs and associated lighting (Approved)</w:t>
            </w:r>
          </w:p>
          <w:p w14:paraId="5F6E77C3" w14:textId="77777777" w:rsidR="00AF1E71" w:rsidRDefault="00AF1E71" w:rsidP="00AF1E71">
            <w:pPr>
              <w:pStyle w:val="PLANNING"/>
              <w:rPr>
                <w:rFonts w:ascii="Calibri" w:hAnsi="Calibri"/>
                <w:b/>
                <w:bCs/>
                <w:szCs w:val="22"/>
              </w:rPr>
            </w:pPr>
          </w:p>
          <w:p w14:paraId="2E8E60A0" w14:textId="2D09D215" w:rsidR="00AF1E71" w:rsidRPr="0039334D" w:rsidRDefault="00AF1E71" w:rsidP="00AF1E71">
            <w:pPr>
              <w:pStyle w:val="PLANNING"/>
              <w:rPr>
                <w:rFonts w:ascii="Calibri" w:hAnsi="Calibri"/>
              </w:rPr>
            </w:pPr>
            <w:r>
              <w:rPr>
                <w:rFonts w:ascii="Calibri" w:hAnsi="Calibri"/>
                <w:szCs w:val="22"/>
              </w:rPr>
              <w:t xml:space="preserve">3/2019/0113: Listed Building Consent for </w:t>
            </w:r>
            <w:r>
              <w:rPr>
                <w:rFonts w:ascii="Calibri" w:hAnsi="Calibri"/>
              </w:rPr>
              <w:t>Internal refurbishment including kitchen fit out, new rear door, internal screen removal and new lightweight screen, removal of reception desk and new internal door, relocation of cellar door, formation of essential opening between bars, new door to external seating area, repairs to garden walling and fence to tanks area, altered decking with new roof, minor alteration to entrance porch, redecorations and bathroom refurbishment to first floor (Refused)</w:t>
            </w:r>
          </w:p>
          <w:p w14:paraId="385D2A1D" w14:textId="77777777" w:rsidR="00AF1E71" w:rsidRDefault="00AF1E71" w:rsidP="00AF1E71">
            <w:pPr>
              <w:pStyle w:val="PLANNING"/>
              <w:rPr>
                <w:rFonts w:ascii="Calibri" w:hAnsi="Calibri"/>
                <w:b/>
                <w:bCs/>
                <w:szCs w:val="22"/>
              </w:rPr>
            </w:pPr>
          </w:p>
          <w:p w14:paraId="2BF563B6" w14:textId="591005BC" w:rsidR="00AF1E71" w:rsidRDefault="00AF1E71" w:rsidP="00AF1E71">
            <w:pPr>
              <w:pStyle w:val="PLANNING"/>
              <w:rPr>
                <w:rFonts w:ascii="Calibri" w:hAnsi="Calibri"/>
              </w:rPr>
            </w:pPr>
            <w:r>
              <w:rPr>
                <w:rFonts w:ascii="Calibri" w:hAnsi="Calibri"/>
              </w:rPr>
              <w:t>3/2019/0060: Internal refurbishment including kitchen fit out, new rear door, internal screen removal and new lightweight screen, removal of reception desk and new internal door, relocation of cellar door, formation of essential opening between bars, new door to external seating area, repairs to garden walling and fence to tanks area, altered decking with new roof, minor alteration to entrance porch, redecorations and bathroom refurbishment to first floor (Refused)</w:t>
            </w:r>
          </w:p>
          <w:p w14:paraId="17F8EFC1" w14:textId="77777777" w:rsidR="00AF1E71" w:rsidRDefault="00AF1E71" w:rsidP="00AF1E71">
            <w:pPr>
              <w:pStyle w:val="PLANNING"/>
              <w:rPr>
                <w:rFonts w:ascii="Calibri" w:hAnsi="Calibri"/>
              </w:rPr>
            </w:pPr>
          </w:p>
          <w:p w14:paraId="158BBC75" w14:textId="6A2B69A2" w:rsidR="00AF1E71" w:rsidRDefault="00AF1E71" w:rsidP="00AF1E71">
            <w:pPr>
              <w:pStyle w:val="PLANNING"/>
              <w:rPr>
                <w:rFonts w:ascii="Calibri" w:hAnsi="Calibri"/>
              </w:rPr>
            </w:pPr>
            <w:r>
              <w:rPr>
                <w:rFonts w:ascii="Calibri" w:hAnsi="Calibri"/>
              </w:rPr>
              <w:t>3/2013/0007: Discharge of conditions 1 – Development start date, 2 – Specification of floor treatment, 3 – Signage, 4 – Specification of dummy ceiling joists in respect of planning application 3/2012/0828 (Approved)</w:t>
            </w:r>
          </w:p>
          <w:p w14:paraId="7FFEF7DB" w14:textId="77777777" w:rsidR="00AF1E71" w:rsidRDefault="00AF1E71" w:rsidP="00AF1E71">
            <w:pPr>
              <w:pStyle w:val="PLANNING"/>
              <w:rPr>
                <w:rFonts w:ascii="Calibri" w:hAnsi="Calibri"/>
                <w:b/>
                <w:bCs/>
                <w:szCs w:val="22"/>
              </w:rPr>
            </w:pPr>
          </w:p>
          <w:p w14:paraId="73779C58" w14:textId="24C34165" w:rsidR="00AF1E71" w:rsidRDefault="00AF1E71" w:rsidP="00AF1E71">
            <w:pPr>
              <w:pStyle w:val="PLANNING"/>
              <w:rPr>
                <w:rFonts w:asciiTheme="minorHAnsi" w:hAnsiTheme="minorHAnsi" w:cstheme="minorHAnsi"/>
                <w:sz w:val="18"/>
                <w:szCs w:val="18"/>
              </w:rPr>
            </w:pPr>
            <w:r>
              <w:rPr>
                <w:rFonts w:asciiTheme="minorHAnsi" w:hAnsiTheme="minorHAnsi" w:cstheme="minorHAnsi"/>
                <w:bCs/>
              </w:rPr>
              <w:t>3/2012/0828 – Listed Building Consent for e</w:t>
            </w:r>
            <w:r>
              <w:rPr>
                <w:rFonts w:asciiTheme="minorHAnsi" w:hAnsiTheme="minorHAnsi" w:cstheme="minorHAnsi"/>
              </w:rPr>
              <w:t xml:space="preserve">xternal redecoration.  New signage scheme.  Internal alterations including replacement lobby; removal of asbestos containing </w:t>
            </w:r>
            <w:proofErr w:type="spellStart"/>
            <w:r>
              <w:rPr>
                <w:rFonts w:asciiTheme="minorHAnsi" w:hAnsiTheme="minorHAnsi" w:cstheme="minorHAnsi"/>
              </w:rPr>
              <w:t>artex</w:t>
            </w:r>
            <w:proofErr w:type="spellEnd"/>
            <w:r>
              <w:rPr>
                <w:rFonts w:asciiTheme="minorHAnsi" w:hAnsiTheme="minorHAnsi" w:cstheme="minorHAnsi"/>
              </w:rPr>
              <w:t xml:space="preserve"> to the existing lounge bar area ceiling and re-skimmed and painted, with new timber beam applied; new T&amp;G wall panelling, to all walls within the proposed dining and snug area; fixed seating to the proposed dining and snug area.  New areas of flooring which include timber, stone, rugs and ceramic tiles.  General redecoration throughout (Approved)</w:t>
            </w:r>
          </w:p>
          <w:p w14:paraId="4EB5CBB0" w14:textId="77777777" w:rsidR="00AF1E71" w:rsidRDefault="00AF1E71" w:rsidP="00AF1E71">
            <w:pPr>
              <w:pStyle w:val="PLANNING"/>
              <w:rPr>
                <w:rFonts w:asciiTheme="minorHAnsi" w:hAnsiTheme="minorHAnsi" w:cstheme="minorHAnsi"/>
                <w:b/>
                <w:bCs/>
                <w:szCs w:val="22"/>
              </w:rPr>
            </w:pPr>
          </w:p>
          <w:p w14:paraId="2F53F22F" w14:textId="4DCD00F5"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 xml:space="preserve">3/2012/0178 – Listed Building Consent for full redecoration to the external building in like-for-like colours. Internal alterations as follows: Form new structural opening linking the existing Bar Area to the proposed Dining Area. The removal of asbestos containing </w:t>
            </w:r>
            <w:proofErr w:type="spellStart"/>
            <w:r>
              <w:rPr>
                <w:rFonts w:asciiTheme="minorHAnsi" w:hAnsiTheme="minorHAnsi" w:cstheme="minorHAnsi"/>
              </w:rPr>
              <w:t>artex</w:t>
            </w:r>
            <w:proofErr w:type="spellEnd"/>
            <w:r>
              <w:rPr>
                <w:rFonts w:asciiTheme="minorHAnsi" w:hAnsiTheme="minorHAnsi" w:cstheme="minorHAnsi"/>
              </w:rPr>
              <w:t xml:space="preserve"> to the existing Lounge Area ceiling and re-skimmed and painted, with new timber beams applied and stained dark. New 1100mm high timber T&amp;G wall panelling, stained dark and polished to all walls within the proposed Dining and Snug Area. New fixed seating to the proposed Dining and Snug Area in a traditional style, having turned legs and deep buttoned backs. New areas of flooring, which include timber, stone, rugs and ceramic tiles. General redecoration throughout - painted finishes to be repainted, existing stained joinery to be </w:t>
            </w:r>
            <w:proofErr w:type="spellStart"/>
            <w:r>
              <w:rPr>
                <w:rFonts w:asciiTheme="minorHAnsi" w:hAnsiTheme="minorHAnsi" w:cstheme="minorHAnsi"/>
              </w:rPr>
              <w:t>restained</w:t>
            </w:r>
            <w:proofErr w:type="spellEnd"/>
            <w:r>
              <w:rPr>
                <w:rFonts w:asciiTheme="minorHAnsi" w:hAnsiTheme="minorHAnsi" w:cstheme="minorHAnsi"/>
              </w:rPr>
              <w:t xml:space="preserve"> dark and polished. New joinery to be stained dark and polished. All alterations to enhance and to be sympathetic to the character of the building (Refused)</w:t>
            </w:r>
          </w:p>
          <w:p w14:paraId="45EE06DE" w14:textId="77777777" w:rsidR="00AF1E71" w:rsidRDefault="00AF1E71" w:rsidP="00AF1E71">
            <w:pPr>
              <w:pStyle w:val="Header"/>
              <w:tabs>
                <w:tab w:val="left" w:pos="720"/>
              </w:tabs>
              <w:jc w:val="both"/>
              <w:rPr>
                <w:rFonts w:asciiTheme="minorHAnsi" w:hAnsiTheme="minorHAnsi" w:cstheme="minorHAnsi"/>
              </w:rPr>
            </w:pPr>
          </w:p>
          <w:p w14:paraId="6D328546" w14:textId="0EFA6BCC"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3/1991/0357: Permission for taxi operators licence (Approved)</w:t>
            </w:r>
          </w:p>
          <w:p w14:paraId="5E744323" w14:textId="77777777" w:rsidR="00AF1E71" w:rsidRDefault="00AF1E71" w:rsidP="00AF1E71">
            <w:pPr>
              <w:pStyle w:val="Header"/>
              <w:tabs>
                <w:tab w:val="left" w:pos="720"/>
              </w:tabs>
              <w:jc w:val="both"/>
              <w:rPr>
                <w:rFonts w:asciiTheme="minorHAnsi" w:hAnsiTheme="minorHAnsi" w:cstheme="minorHAnsi"/>
              </w:rPr>
            </w:pPr>
          </w:p>
          <w:p w14:paraId="1EA7EDDE" w14:textId="7C7AAAC1"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3/1991/0077: Display of various externally illuminated advertisements (Approved)</w:t>
            </w:r>
          </w:p>
          <w:p w14:paraId="427EC758" w14:textId="77777777" w:rsidR="00AF1E71" w:rsidRDefault="00AF1E71" w:rsidP="00AF1E71">
            <w:pPr>
              <w:pStyle w:val="Header"/>
              <w:tabs>
                <w:tab w:val="left" w:pos="720"/>
              </w:tabs>
              <w:jc w:val="both"/>
              <w:rPr>
                <w:rFonts w:asciiTheme="minorHAnsi" w:hAnsiTheme="minorHAnsi" w:cstheme="minorHAnsi"/>
              </w:rPr>
            </w:pPr>
          </w:p>
          <w:p w14:paraId="14B265BF" w14:textId="46E03871"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3/1991/0078: Listed Building Consent for the display of various externally illuminated advertisements (Approved)</w:t>
            </w:r>
          </w:p>
          <w:p w14:paraId="1AF5FDA5" w14:textId="77777777" w:rsidR="00AF1E71" w:rsidRDefault="00AF1E71" w:rsidP="00AF1E71">
            <w:pPr>
              <w:pStyle w:val="Header"/>
              <w:tabs>
                <w:tab w:val="left" w:pos="720"/>
              </w:tabs>
              <w:jc w:val="both"/>
              <w:rPr>
                <w:rFonts w:asciiTheme="minorHAnsi" w:hAnsiTheme="minorHAnsi" w:cstheme="minorHAnsi"/>
              </w:rPr>
            </w:pPr>
          </w:p>
          <w:p w14:paraId="6A1071B0" w14:textId="5AADBCED"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3/1990/0745: External alterations and side and rear extensions (Approved)</w:t>
            </w:r>
          </w:p>
          <w:p w14:paraId="6315D5BF" w14:textId="77777777" w:rsidR="00AF1E71" w:rsidRDefault="00AF1E71" w:rsidP="00AF1E71">
            <w:pPr>
              <w:pStyle w:val="Header"/>
              <w:tabs>
                <w:tab w:val="left" w:pos="720"/>
              </w:tabs>
              <w:jc w:val="both"/>
              <w:rPr>
                <w:rFonts w:asciiTheme="minorHAnsi" w:hAnsiTheme="minorHAnsi" w:cstheme="minorHAnsi"/>
                <w:i/>
                <w:iCs/>
              </w:rPr>
            </w:pPr>
          </w:p>
          <w:p w14:paraId="799DF0EA" w14:textId="4791F163" w:rsidR="00AF1E71" w:rsidRPr="0039334D"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3/2023/0741: Listed Building Consent for external alterations and side and rear extensions (Approved)</w:t>
            </w:r>
          </w:p>
          <w:p w14:paraId="13E66979" w14:textId="77777777" w:rsidR="00AF1E71" w:rsidRDefault="00AF1E71" w:rsidP="00AF1E71">
            <w:pPr>
              <w:pStyle w:val="Header"/>
              <w:tabs>
                <w:tab w:val="left" w:pos="720"/>
              </w:tabs>
              <w:jc w:val="both"/>
              <w:rPr>
                <w:rFonts w:asciiTheme="minorHAnsi" w:hAnsiTheme="minorHAnsi" w:cstheme="minorHAnsi"/>
              </w:rPr>
            </w:pPr>
          </w:p>
          <w:p w14:paraId="0968F617" w14:textId="700B9CCC"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3/1979/0011: Additional bedroom and toilet accommodation (Approved)</w:t>
            </w:r>
          </w:p>
          <w:p w14:paraId="1AB58D80" w14:textId="77777777" w:rsidR="00AF1E71" w:rsidRDefault="00AF1E71" w:rsidP="00AF1E71">
            <w:pPr>
              <w:pStyle w:val="Header"/>
              <w:tabs>
                <w:tab w:val="left" w:pos="720"/>
              </w:tabs>
              <w:jc w:val="both"/>
              <w:rPr>
                <w:rFonts w:asciiTheme="minorHAnsi" w:hAnsiTheme="minorHAnsi" w:cstheme="minorHAnsi"/>
              </w:rPr>
            </w:pPr>
          </w:p>
          <w:p w14:paraId="4202235E" w14:textId="4B0570BF"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3/1976/1230: Reorganisation of internal layout, toilet accommodation and lounge (Approved)</w:t>
            </w:r>
          </w:p>
          <w:p w14:paraId="6713AC01" w14:textId="77777777" w:rsidR="00AF1E71" w:rsidRDefault="00AF1E71" w:rsidP="00AF1E71">
            <w:pPr>
              <w:pStyle w:val="Header"/>
              <w:tabs>
                <w:tab w:val="left" w:pos="720"/>
              </w:tabs>
              <w:jc w:val="both"/>
              <w:rPr>
                <w:rFonts w:asciiTheme="minorHAnsi" w:hAnsiTheme="minorHAnsi" w:cstheme="minorHAnsi"/>
              </w:rPr>
            </w:pPr>
          </w:p>
          <w:p w14:paraId="78BAA0EA" w14:textId="69B7D8DE"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lastRenderedPageBreak/>
              <w:t>3/1974/0520: Alteration to building and layout of car parking (Approved)</w:t>
            </w:r>
          </w:p>
          <w:p w14:paraId="2ABC2932" w14:textId="77777777" w:rsidR="00AF1E71" w:rsidRDefault="00AF1E71" w:rsidP="00AF1E71">
            <w:pPr>
              <w:pStyle w:val="Header"/>
              <w:tabs>
                <w:tab w:val="left" w:pos="720"/>
              </w:tabs>
              <w:jc w:val="both"/>
              <w:rPr>
                <w:rFonts w:asciiTheme="minorHAnsi" w:hAnsiTheme="minorHAnsi" w:cstheme="minorHAnsi"/>
              </w:rPr>
            </w:pPr>
          </w:p>
          <w:p w14:paraId="0F852421" w14:textId="6C0A571A" w:rsidR="00AF1E71" w:rsidRDefault="00AF1E71" w:rsidP="00AF1E71">
            <w:pPr>
              <w:pStyle w:val="Header"/>
              <w:tabs>
                <w:tab w:val="left" w:pos="720"/>
              </w:tabs>
              <w:jc w:val="both"/>
              <w:rPr>
                <w:rFonts w:asciiTheme="minorHAnsi" w:hAnsiTheme="minorHAnsi" w:cstheme="minorHAnsi"/>
              </w:rPr>
            </w:pPr>
            <w:r>
              <w:rPr>
                <w:rFonts w:asciiTheme="minorHAnsi" w:hAnsiTheme="minorHAnsi" w:cstheme="minorHAnsi"/>
              </w:rPr>
              <w:t>6/10/2284: Alterations to existing structure (Approved)</w:t>
            </w:r>
          </w:p>
          <w:p w14:paraId="17147D50" w14:textId="1B19B3D1" w:rsidR="00AF1E71" w:rsidRPr="00D2449B" w:rsidRDefault="00AF1E71" w:rsidP="00AF1E71">
            <w:pPr>
              <w:pStyle w:val="PLANNING"/>
              <w:rPr>
                <w:rFonts w:ascii="Calibri" w:hAnsi="Calibri"/>
                <w:b/>
                <w:bCs/>
                <w:szCs w:val="22"/>
              </w:rPr>
            </w:pPr>
          </w:p>
        </w:tc>
      </w:tr>
      <w:tr w:rsidR="00AF1E71" w:rsidRPr="00D2449B" w14:paraId="6AAC3B0A" w14:textId="77777777" w:rsidTr="00773A66">
        <w:trPr>
          <w:trHeight w:hRule="exact" w:val="170"/>
          <w:jc w:val="center"/>
        </w:trPr>
        <w:tc>
          <w:tcPr>
            <w:tcW w:w="951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AF1E71" w:rsidRPr="006A71AD" w:rsidRDefault="00AF1E71" w:rsidP="00AF1E71">
            <w:pPr>
              <w:pStyle w:val="PLANNING"/>
              <w:rPr>
                <w:rFonts w:ascii="Calibri" w:hAnsi="Calibri"/>
                <w:b/>
                <w:bCs/>
                <w:szCs w:val="22"/>
              </w:rPr>
            </w:pPr>
          </w:p>
        </w:tc>
      </w:tr>
      <w:tr w:rsidR="00AF1E71" w:rsidRPr="00D2449B" w14:paraId="014E595D"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AF1E71" w:rsidRPr="00D2449B" w:rsidRDefault="00AF1E71" w:rsidP="00AF1E71">
            <w:pPr>
              <w:rPr>
                <w:rFonts w:ascii="Calibri" w:hAnsi="Calibri"/>
                <w:b/>
                <w:szCs w:val="22"/>
              </w:rPr>
            </w:pPr>
            <w:r>
              <w:rPr>
                <w:rFonts w:ascii="Calibri" w:hAnsi="Calibri"/>
                <w:b/>
                <w:bCs/>
                <w:szCs w:val="22"/>
              </w:rPr>
              <w:t>ASSESSMENT OF PROPOSED DEVELOPMENT:</w:t>
            </w:r>
          </w:p>
        </w:tc>
      </w:tr>
      <w:tr w:rsidR="00AF1E71" w:rsidRPr="00D2449B" w14:paraId="7538C7A5"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AF1E71" w:rsidRDefault="00AF1E71" w:rsidP="00AF1E7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AF1E71" w:rsidRDefault="00AF1E71" w:rsidP="00AF1E71">
            <w:pPr>
              <w:pStyle w:val="Header"/>
              <w:tabs>
                <w:tab w:val="clear" w:pos="4153"/>
                <w:tab w:val="clear" w:pos="8306"/>
              </w:tabs>
              <w:contextualSpacing/>
              <w:jc w:val="both"/>
              <w:rPr>
                <w:rFonts w:ascii="Calibri" w:hAnsi="Calibri"/>
                <w:bCs/>
                <w:szCs w:val="22"/>
              </w:rPr>
            </w:pPr>
          </w:p>
          <w:p w14:paraId="2902156F" w14:textId="272A2A4E" w:rsidR="00AF1E71"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Grade II Listed Bayley Arms Public House. The official listing description for the property is as follows: </w:t>
            </w:r>
          </w:p>
          <w:p w14:paraId="5DD79FE0" w14:textId="77777777" w:rsidR="00AF1E71" w:rsidRDefault="00AF1E71" w:rsidP="00AF1E71">
            <w:pPr>
              <w:pStyle w:val="Header"/>
              <w:tabs>
                <w:tab w:val="clear" w:pos="4153"/>
                <w:tab w:val="clear" w:pos="8306"/>
              </w:tabs>
              <w:contextualSpacing/>
              <w:jc w:val="both"/>
              <w:rPr>
                <w:rFonts w:ascii="Calibri" w:hAnsi="Calibri"/>
                <w:bCs/>
                <w:szCs w:val="22"/>
              </w:rPr>
            </w:pPr>
          </w:p>
          <w:p w14:paraId="06D7D4B4" w14:textId="0594F1A1" w:rsidR="00AF1E71" w:rsidRPr="009A0481" w:rsidRDefault="00AF1E71" w:rsidP="00AF1E71">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Public house, early C19th. Furrowed sandstone ashlar with slate roof. 2 storeys. The central 2-bay portion projects, with end stacks, furrowed quoins and a cyma-moulded stone cornice gutter. The windows are sashed with plain stone surrounds, the central door also having a plain stone surround. Adjoining to the right (south) is one bay of squared coursed sandstone, probably an addition, with plain stone surrounds to sashed windows and a gable stack. Adjoining to the left is a former barn with a blocked doorway with plain stone surround, now a window, at the left. At the right is a wide entrance now containing a smaller doorway, with an elliptical arch with punched voussoirs. Above is a sashed window with plain stone surround.’</w:t>
            </w:r>
          </w:p>
          <w:p w14:paraId="5FF594F8" w14:textId="77777777" w:rsidR="00AF1E71" w:rsidRDefault="00AF1E71" w:rsidP="00AF1E71">
            <w:pPr>
              <w:pStyle w:val="Header"/>
              <w:tabs>
                <w:tab w:val="clear" w:pos="4153"/>
                <w:tab w:val="clear" w:pos="8306"/>
              </w:tabs>
              <w:contextualSpacing/>
              <w:jc w:val="both"/>
              <w:rPr>
                <w:rFonts w:ascii="Calibri" w:hAnsi="Calibri"/>
                <w:bCs/>
                <w:szCs w:val="22"/>
              </w:rPr>
            </w:pPr>
          </w:p>
          <w:p w14:paraId="6B0C6BD5" w14:textId="77777777" w:rsidR="00AF1E71"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premises is situated on a main road location in the village centre of Hurst Green, within the designated Hurst Green Conservation Area and Forest of Bowland Area of Outstanding Natural Beauty. The area surrounding the premises is predominantly residential in character, whilst the Hurst Green Memorial Hall is situated immediately to the north of the site. </w:t>
            </w:r>
          </w:p>
          <w:p w14:paraId="5691CBB4" w14:textId="77777777" w:rsidR="00AF1E71" w:rsidRDefault="00AF1E71" w:rsidP="00AF1E71">
            <w:pPr>
              <w:pStyle w:val="Header"/>
              <w:tabs>
                <w:tab w:val="clear" w:pos="4153"/>
                <w:tab w:val="clear" w:pos="8306"/>
              </w:tabs>
              <w:contextualSpacing/>
              <w:jc w:val="both"/>
              <w:rPr>
                <w:rFonts w:ascii="Calibri" w:hAnsi="Calibri"/>
                <w:bCs/>
                <w:szCs w:val="22"/>
              </w:rPr>
            </w:pPr>
          </w:p>
          <w:p w14:paraId="3240A603" w14:textId="2E736932" w:rsidR="00AF1E71"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previously received Listed Building and Advertisement Consent for the installation of replacement signs and lighting and the re-painting of the exterior under application </w:t>
            </w:r>
            <w:r>
              <w:rPr>
                <w:rFonts w:ascii="Calibri" w:hAnsi="Calibri"/>
                <w:bCs/>
              </w:rPr>
              <w:t xml:space="preserve">3/2020/0044 and 3/2019/0998. However, it does not appear that the consent has </w:t>
            </w:r>
            <w:r w:rsidR="002C512B">
              <w:rPr>
                <w:rFonts w:ascii="Calibri" w:hAnsi="Calibri"/>
                <w:bCs/>
              </w:rPr>
              <w:t xml:space="preserve">been fully </w:t>
            </w:r>
            <w:r>
              <w:rPr>
                <w:rFonts w:ascii="Calibri" w:hAnsi="Calibri"/>
                <w:bCs/>
              </w:rPr>
              <w:t xml:space="preserve">implemented. </w:t>
            </w:r>
          </w:p>
          <w:p w14:paraId="62370E9F" w14:textId="77777777" w:rsidR="00AF1E71" w:rsidRPr="006C2BFA" w:rsidRDefault="00AF1E71" w:rsidP="00AF1E71">
            <w:pPr>
              <w:pStyle w:val="Header"/>
              <w:tabs>
                <w:tab w:val="clear" w:pos="4153"/>
                <w:tab w:val="clear" w:pos="8306"/>
              </w:tabs>
              <w:contextualSpacing/>
              <w:jc w:val="both"/>
              <w:rPr>
                <w:rFonts w:ascii="Calibri" w:hAnsi="Calibri"/>
                <w:bCs/>
                <w:szCs w:val="22"/>
              </w:rPr>
            </w:pPr>
          </w:p>
        </w:tc>
      </w:tr>
      <w:tr w:rsidR="00AF1E71" w:rsidRPr="00D2449B" w14:paraId="408C6380"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AF1E71" w:rsidRDefault="00AF1E71" w:rsidP="00AF1E7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AF1E71" w:rsidRDefault="00AF1E71" w:rsidP="00AF1E71">
            <w:pPr>
              <w:pStyle w:val="Header"/>
              <w:tabs>
                <w:tab w:val="clear" w:pos="4153"/>
                <w:tab w:val="clear" w:pos="8306"/>
              </w:tabs>
              <w:jc w:val="both"/>
              <w:rPr>
                <w:rFonts w:ascii="Calibri" w:hAnsi="Calibri"/>
                <w:b/>
                <w:szCs w:val="22"/>
              </w:rPr>
            </w:pPr>
          </w:p>
          <w:p w14:paraId="2E5C4345" w14:textId="06C2E851" w:rsidR="00AF1E71" w:rsidRDefault="00AF1E71" w:rsidP="00AF1E71">
            <w:pPr>
              <w:pStyle w:val="Header"/>
              <w:tabs>
                <w:tab w:val="clear" w:pos="4153"/>
                <w:tab w:val="clear" w:pos="8306"/>
              </w:tabs>
              <w:jc w:val="both"/>
              <w:rPr>
                <w:rFonts w:ascii="Calibri" w:hAnsi="Calibri"/>
                <w:bCs/>
                <w:szCs w:val="22"/>
              </w:rPr>
            </w:pPr>
            <w:r>
              <w:rPr>
                <w:rFonts w:ascii="Calibri" w:hAnsi="Calibri"/>
                <w:bCs/>
                <w:szCs w:val="22"/>
              </w:rPr>
              <w:t xml:space="preserve">Consent is sought for a new advertisement scheme affecting the front and gable elevations of the building. </w:t>
            </w:r>
          </w:p>
          <w:p w14:paraId="1B20488F" w14:textId="77777777" w:rsidR="00AF1E71" w:rsidRPr="00D54E67" w:rsidRDefault="00AF1E71" w:rsidP="002C512B">
            <w:pPr>
              <w:pStyle w:val="Header"/>
              <w:tabs>
                <w:tab w:val="clear" w:pos="4153"/>
                <w:tab w:val="clear" w:pos="8306"/>
              </w:tabs>
              <w:jc w:val="both"/>
              <w:rPr>
                <w:rFonts w:ascii="Calibri" w:hAnsi="Calibri"/>
                <w:szCs w:val="22"/>
              </w:rPr>
            </w:pPr>
          </w:p>
        </w:tc>
      </w:tr>
      <w:tr w:rsidR="00AF1E71" w:rsidRPr="00D2449B" w14:paraId="2540EE5C"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4AEAF1" w14:textId="77777777" w:rsidR="00AF1E71" w:rsidRDefault="00AF1E71" w:rsidP="00AF1E71">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 (Where Applicable):</w:t>
            </w:r>
          </w:p>
          <w:p w14:paraId="1723E4CA" w14:textId="77777777" w:rsidR="00AF1E71" w:rsidRDefault="00AF1E71" w:rsidP="00AF1E71">
            <w:pPr>
              <w:contextualSpacing/>
              <w:jc w:val="both"/>
              <w:rPr>
                <w:rFonts w:ascii="Calibri" w:hAnsi="Calibri"/>
                <w:b/>
              </w:rPr>
            </w:pPr>
          </w:p>
          <w:p w14:paraId="570CC690" w14:textId="77777777" w:rsidR="00AF1E71" w:rsidRDefault="00AF1E71" w:rsidP="00AF1E71">
            <w:pPr>
              <w:contextualSpacing/>
              <w:jc w:val="both"/>
              <w:rPr>
                <w:rFonts w:ascii="Calibri" w:hAnsi="Calibri"/>
                <w:bCs/>
              </w:rPr>
            </w:pPr>
            <w:r>
              <w:rPr>
                <w:rFonts w:ascii="Calibri" w:hAnsi="Calibri"/>
                <w:bCs/>
              </w:rPr>
              <w:t xml:space="preserve">When assessing works to Listed Buildings and their settings, the LPA must accord with their duties at section 16 and 66 or the Planning (Listed Buildings and Conservation Areas) Act 1990 which state:  </w:t>
            </w:r>
          </w:p>
          <w:p w14:paraId="202A7076" w14:textId="77777777" w:rsidR="00AF1E71" w:rsidRDefault="00AF1E71" w:rsidP="00AF1E71">
            <w:pPr>
              <w:contextualSpacing/>
              <w:jc w:val="both"/>
              <w:rPr>
                <w:rFonts w:ascii="Calibri" w:hAnsi="Calibri"/>
                <w:bCs/>
              </w:rPr>
            </w:pPr>
          </w:p>
          <w:p w14:paraId="172912CC" w14:textId="77777777" w:rsidR="00AF1E71" w:rsidRDefault="00AF1E71" w:rsidP="00AF1E71">
            <w:pPr>
              <w:contextualSpacing/>
              <w:jc w:val="both"/>
              <w:rPr>
                <w:rFonts w:ascii="Calibri" w:hAnsi="Calibri"/>
                <w:bCs/>
                <w:i/>
                <w:iCs/>
              </w:rPr>
            </w:pPr>
            <w:r>
              <w:rPr>
                <w:rFonts w:ascii="Calibri" w:hAnsi="Calibri"/>
                <w:bCs/>
                <w:i/>
                <w:iCs/>
              </w:rPr>
              <w:t xml:space="preserve">S16: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DC2CADE" w14:textId="77777777" w:rsidR="00AF1E71" w:rsidRDefault="00AF1E71" w:rsidP="00AF1E71">
            <w:pPr>
              <w:contextualSpacing/>
              <w:jc w:val="both"/>
              <w:rPr>
                <w:rFonts w:ascii="Calibri" w:hAnsi="Calibri"/>
                <w:bCs/>
                <w:i/>
                <w:iCs/>
              </w:rPr>
            </w:pPr>
          </w:p>
          <w:p w14:paraId="54ED6750" w14:textId="77777777" w:rsidR="00AF1E71" w:rsidRDefault="00AF1E71" w:rsidP="00AF1E71">
            <w:pPr>
              <w:contextualSpacing/>
              <w:jc w:val="both"/>
              <w:rPr>
                <w:rFonts w:ascii="Calibri" w:hAnsi="Calibri"/>
                <w:bCs/>
                <w:i/>
                <w:iCs/>
              </w:rPr>
            </w:pPr>
            <w:r>
              <w:rPr>
                <w:rFonts w:ascii="Calibri" w:hAnsi="Calibri"/>
                <w:bCs/>
                <w:i/>
                <w:iCs/>
              </w:rPr>
              <w:t xml:space="preserve">S66: In considering whether to grant planning permission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32A13889" w14:textId="77777777" w:rsidR="00AF1E71" w:rsidRDefault="00AF1E71" w:rsidP="00AF1E71">
            <w:pPr>
              <w:contextualSpacing/>
              <w:jc w:val="both"/>
              <w:rPr>
                <w:rFonts w:ascii="Calibri" w:hAnsi="Calibri"/>
                <w:bCs/>
              </w:rPr>
            </w:pPr>
          </w:p>
          <w:p w14:paraId="6E02BCC1" w14:textId="77777777" w:rsidR="00AF1E71" w:rsidRDefault="00AF1E71" w:rsidP="00AF1E71">
            <w:pPr>
              <w:contextualSpacing/>
              <w:jc w:val="both"/>
              <w:rPr>
                <w:rFonts w:ascii="Calibri" w:hAnsi="Calibri"/>
                <w:bCs/>
              </w:rPr>
            </w:pPr>
            <w:r>
              <w:rPr>
                <w:rFonts w:ascii="Calibri" w:hAnsi="Calibri"/>
                <w:bCs/>
              </w:rPr>
              <w:t xml:space="preserve">Paragraph 199 of the NPPF states: </w:t>
            </w:r>
          </w:p>
          <w:p w14:paraId="7A1021E9" w14:textId="77777777" w:rsidR="00AF1E71" w:rsidRDefault="00AF1E71" w:rsidP="00AF1E71">
            <w:pPr>
              <w:contextualSpacing/>
              <w:jc w:val="both"/>
              <w:rPr>
                <w:rFonts w:ascii="Calibri" w:hAnsi="Calibri"/>
                <w:bCs/>
              </w:rPr>
            </w:pPr>
          </w:p>
          <w:p w14:paraId="57F1D3C4" w14:textId="77777777" w:rsidR="00AF1E71" w:rsidRDefault="00AF1E71" w:rsidP="00AF1E71">
            <w:pPr>
              <w:contextualSpacing/>
              <w:jc w:val="both"/>
              <w:rPr>
                <w:rFonts w:ascii="Calibri" w:hAnsi="Calibri"/>
                <w:bCs/>
                <w:i/>
                <w:iCs/>
              </w:rPr>
            </w:pPr>
            <w:r>
              <w:rPr>
                <w:rFonts w:ascii="Calibri" w:hAnsi="Calibri"/>
                <w:bCs/>
              </w:rPr>
              <w:t>‘</w:t>
            </w:r>
            <w:r>
              <w:rPr>
                <w:rFonts w:ascii="Calibri" w:hAnsi="Calibri"/>
                <w:bCs/>
                <w:i/>
                <w:iCs/>
              </w:rPr>
              <w:t xml:space="preserve">When considering the impact of a proposed development on the significance of a designated heritage asset, great weight should be given to the asset’s conservation (and the more important asset, the greater </w:t>
            </w:r>
            <w:r>
              <w:rPr>
                <w:rFonts w:ascii="Calibri" w:hAnsi="Calibri"/>
                <w:bCs/>
                <w:i/>
                <w:iCs/>
              </w:rPr>
              <w:lastRenderedPageBreak/>
              <w:t xml:space="preserve">the weight should be). This is irrespective of whether any potential harm amounts to substantial harm, total loss or less than substantial harm to its significance.’ </w:t>
            </w:r>
          </w:p>
          <w:p w14:paraId="7355E43C" w14:textId="77777777" w:rsidR="00AF1E71" w:rsidRDefault="00AF1E71" w:rsidP="00AF1E71">
            <w:pPr>
              <w:contextualSpacing/>
              <w:jc w:val="both"/>
              <w:rPr>
                <w:rFonts w:ascii="Calibri" w:hAnsi="Calibri"/>
                <w:bCs/>
                <w:i/>
                <w:iCs/>
              </w:rPr>
            </w:pPr>
          </w:p>
          <w:p w14:paraId="4121D06D" w14:textId="77777777" w:rsidR="00AF1E71" w:rsidRPr="00301EDD" w:rsidRDefault="00AF1E71" w:rsidP="00AF1E71">
            <w:pPr>
              <w:contextualSpacing/>
              <w:jc w:val="both"/>
              <w:rPr>
                <w:rFonts w:ascii="Calibri" w:hAnsi="Calibri"/>
                <w:bCs/>
              </w:rPr>
            </w:pPr>
            <w:r>
              <w:rPr>
                <w:rFonts w:ascii="Calibri" w:hAnsi="Calibri"/>
                <w:bCs/>
              </w:rPr>
              <w:t xml:space="preserve">Paragraph 16 of the NPPF also sets out expectations with regards to conserving and enhancing the historic environment. In this respect, applicants are required to describe the significance of any heritage assets affected, including any contribution made by their setting. </w:t>
            </w:r>
          </w:p>
          <w:p w14:paraId="4945BE8A" w14:textId="77777777" w:rsidR="00AF1E71" w:rsidRDefault="00AF1E71" w:rsidP="00AF1E71">
            <w:pPr>
              <w:contextualSpacing/>
              <w:jc w:val="both"/>
              <w:rPr>
                <w:rFonts w:ascii="Calibri" w:hAnsi="Calibri"/>
                <w:bCs/>
                <w:i/>
                <w:iCs/>
              </w:rPr>
            </w:pPr>
          </w:p>
          <w:p w14:paraId="13AB7EEA" w14:textId="77777777" w:rsidR="00AF1E71" w:rsidRDefault="00AF1E71" w:rsidP="00AF1E71">
            <w:pPr>
              <w:contextualSpacing/>
              <w:jc w:val="both"/>
              <w:rPr>
                <w:rFonts w:ascii="Calibri" w:hAnsi="Calibri"/>
                <w:bCs/>
              </w:rPr>
            </w:pPr>
            <w:r>
              <w:rPr>
                <w:rFonts w:ascii="Calibri" w:hAnsi="Calibri"/>
                <w:bCs/>
              </w:rPr>
              <w:t xml:space="preserve">In addition, Key Statement EN5 of the Ribble Valley Core Strategy states: </w:t>
            </w:r>
          </w:p>
          <w:p w14:paraId="35309520" w14:textId="77777777" w:rsidR="00AF1E71" w:rsidRDefault="00AF1E71" w:rsidP="00AF1E71">
            <w:pPr>
              <w:contextualSpacing/>
              <w:jc w:val="both"/>
              <w:rPr>
                <w:rFonts w:ascii="Calibri" w:hAnsi="Calibri"/>
                <w:bCs/>
              </w:rPr>
            </w:pPr>
          </w:p>
          <w:p w14:paraId="23D5B65B" w14:textId="77777777" w:rsidR="00AF1E71" w:rsidRDefault="00AF1E71" w:rsidP="00AF1E71">
            <w:pPr>
              <w:contextualSpacing/>
              <w:jc w:val="both"/>
              <w:rPr>
                <w:rFonts w:ascii="Calibri" w:hAnsi="Calibri"/>
                <w:bCs/>
                <w:i/>
                <w:iCs/>
              </w:rPr>
            </w:pPr>
            <w:r>
              <w:rPr>
                <w:rFonts w:ascii="Calibri" w:hAnsi="Calibri"/>
                <w:bCs/>
              </w:rPr>
              <w:t>‘</w:t>
            </w:r>
            <w:r>
              <w:rPr>
                <w:rFonts w:ascii="Calibri" w:hAnsi="Calibri"/>
                <w:bCs/>
                <w:i/>
                <w:iCs/>
              </w:rPr>
              <w:t>There will be a presumption in favour of the conservation and enhancement of the significance of heritage assets and their settings.’</w:t>
            </w:r>
          </w:p>
          <w:p w14:paraId="58C190B5" w14:textId="77777777" w:rsidR="00AF1E71" w:rsidRDefault="00AF1E71" w:rsidP="00AF1E71">
            <w:pPr>
              <w:contextualSpacing/>
              <w:jc w:val="both"/>
              <w:rPr>
                <w:rFonts w:ascii="Calibri" w:hAnsi="Calibri"/>
                <w:bCs/>
                <w:i/>
                <w:iCs/>
              </w:rPr>
            </w:pPr>
          </w:p>
          <w:p w14:paraId="14D94CD1" w14:textId="77777777" w:rsidR="00AF1E71" w:rsidRDefault="00AF1E71" w:rsidP="00AF1E71">
            <w:pPr>
              <w:contextualSpacing/>
              <w:jc w:val="both"/>
              <w:rPr>
                <w:rFonts w:ascii="Calibri" w:hAnsi="Calibri"/>
                <w:bCs/>
              </w:rPr>
            </w:pPr>
            <w:r>
              <w:rPr>
                <w:rFonts w:ascii="Calibri" w:hAnsi="Calibri"/>
                <w:bCs/>
              </w:rPr>
              <w:t xml:space="preserve">Furthermore, Policy DME4 of the Core Strategy states: </w:t>
            </w:r>
          </w:p>
          <w:p w14:paraId="6F64B854" w14:textId="77777777" w:rsidR="00AF1E71" w:rsidRDefault="00AF1E71" w:rsidP="00AF1E71">
            <w:pPr>
              <w:contextualSpacing/>
              <w:jc w:val="both"/>
              <w:rPr>
                <w:rFonts w:ascii="Calibri" w:hAnsi="Calibri"/>
                <w:bCs/>
              </w:rPr>
            </w:pPr>
          </w:p>
          <w:p w14:paraId="06005685" w14:textId="77777777" w:rsidR="00AF1E71" w:rsidRDefault="00AF1E71" w:rsidP="00AF1E71">
            <w:pPr>
              <w:contextualSpacing/>
              <w:jc w:val="both"/>
              <w:rPr>
                <w:rFonts w:ascii="Calibri" w:hAnsi="Calibri"/>
                <w:bCs/>
                <w:i/>
                <w:iCs/>
              </w:rPr>
            </w:pPr>
            <w:r>
              <w:rPr>
                <w:rFonts w:ascii="Calibri" w:hAnsi="Calibri"/>
                <w:bCs/>
              </w:rPr>
              <w:t>‘</w:t>
            </w:r>
            <w:r>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5603E449" w14:textId="77777777" w:rsidR="00AF1E71" w:rsidRDefault="00AF1E71" w:rsidP="00AF1E71">
            <w:pPr>
              <w:contextualSpacing/>
              <w:jc w:val="both"/>
              <w:rPr>
                <w:rFonts w:ascii="Calibri" w:hAnsi="Calibri"/>
                <w:bCs/>
                <w:i/>
                <w:iCs/>
              </w:rPr>
            </w:pPr>
          </w:p>
          <w:p w14:paraId="6E59B8A8" w14:textId="77777777" w:rsidR="00AF1E71" w:rsidRDefault="00AF1E71" w:rsidP="00AF1E71">
            <w:pPr>
              <w:contextualSpacing/>
              <w:jc w:val="both"/>
              <w:rPr>
                <w:rFonts w:ascii="Calibri" w:hAnsi="Calibri"/>
                <w:bCs/>
                <w:u w:val="single"/>
              </w:rPr>
            </w:pPr>
            <w:r>
              <w:rPr>
                <w:rFonts w:ascii="Calibri" w:hAnsi="Calibri"/>
                <w:bCs/>
                <w:u w:val="single"/>
              </w:rPr>
              <w:t xml:space="preserve">Replacement signage </w:t>
            </w:r>
          </w:p>
          <w:p w14:paraId="030DF3B4" w14:textId="77777777" w:rsidR="00AF1E71" w:rsidRDefault="00AF1E71" w:rsidP="00AF1E71">
            <w:pPr>
              <w:contextualSpacing/>
              <w:jc w:val="both"/>
              <w:rPr>
                <w:rFonts w:ascii="Calibri" w:hAnsi="Calibri"/>
                <w:bCs/>
                <w:u w:val="single"/>
              </w:rPr>
            </w:pPr>
          </w:p>
          <w:p w14:paraId="494AFECE" w14:textId="77777777" w:rsidR="00AF1E71" w:rsidRDefault="00AF1E71" w:rsidP="00AF1E71">
            <w:pPr>
              <w:contextualSpacing/>
              <w:jc w:val="both"/>
              <w:rPr>
                <w:rFonts w:ascii="Calibri" w:hAnsi="Calibri"/>
                <w:bCs/>
              </w:rPr>
            </w:pPr>
            <w:r>
              <w:rPr>
                <w:rFonts w:ascii="Calibri" w:hAnsi="Calibri"/>
                <w:bCs/>
              </w:rPr>
              <w:t xml:space="preserve">With regards to the addition of signage to Listed Buildings, the Institute of Historic Building Conservation (2021) states: </w:t>
            </w:r>
          </w:p>
          <w:p w14:paraId="5D1E0A71" w14:textId="77777777" w:rsidR="00AF1E71" w:rsidRDefault="00AF1E71" w:rsidP="00AF1E71">
            <w:pPr>
              <w:contextualSpacing/>
              <w:jc w:val="both"/>
              <w:rPr>
                <w:rFonts w:ascii="Calibri" w:hAnsi="Calibri"/>
                <w:bCs/>
              </w:rPr>
            </w:pPr>
          </w:p>
          <w:p w14:paraId="64836737" w14:textId="77777777" w:rsidR="00AF1E71" w:rsidRDefault="00AF1E71" w:rsidP="00AF1E71">
            <w:pPr>
              <w:jc w:val="both"/>
              <w:rPr>
                <w:rFonts w:ascii="Calibri" w:hAnsi="Calibri"/>
                <w:i/>
                <w:iCs/>
              </w:rPr>
            </w:pPr>
            <w:r>
              <w:rPr>
                <w:rFonts w:ascii="Calibri" w:hAnsi="Calibri"/>
                <w:i/>
                <w:iCs/>
              </w:rPr>
              <w:t>‘New signs and advertisements should be carefully designed and positioned, respecting the character and special architectural interest of the building and wherever possible be appropriately fixed using the location of mortar joints to avoid damage to the historic fabric. New signs should not overlay any architectural or structural divisions in the building (or between one building and another) or obscure, overlap or cut into any architectural detailing… signage should respect the age and architectural style of the building and a careful choice of materials, colour and lettering will be required.’</w:t>
            </w:r>
          </w:p>
          <w:p w14:paraId="201BA4D7" w14:textId="77777777" w:rsidR="00AF1E71" w:rsidRDefault="00AF1E71" w:rsidP="00AF1E71">
            <w:pPr>
              <w:contextualSpacing/>
              <w:jc w:val="both"/>
              <w:rPr>
                <w:rFonts w:ascii="Calibri" w:hAnsi="Calibri"/>
                <w:bCs/>
              </w:rPr>
            </w:pPr>
          </w:p>
          <w:p w14:paraId="5F8F893F" w14:textId="77777777" w:rsidR="00AF1E71" w:rsidRDefault="00AF1E71" w:rsidP="00AF1E71">
            <w:pPr>
              <w:jc w:val="both"/>
              <w:rPr>
                <w:rFonts w:ascii="Calibri" w:hAnsi="Calibri"/>
              </w:rPr>
            </w:pPr>
            <w:r>
              <w:rPr>
                <w:rFonts w:ascii="Calibri" w:hAnsi="Calibri"/>
              </w:rPr>
              <w:t xml:space="preserve">Furthermore, </w:t>
            </w:r>
            <w:r>
              <w:rPr>
                <w:rFonts w:ascii="Calibri" w:hAnsi="Calibri"/>
                <w:i/>
                <w:iCs/>
              </w:rPr>
              <w:t>Making changes to Heritage Assets, Historic England (2016)</w:t>
            </w:r>
            <w:r>
              <w:rPr>
                <w:rFonts w:ascii="Calibri" w:hAnsi="Calibri"/>
              </w:rPr>
              <w:t xml:space="preserve"> advises:</w:t>
            </w:r>
          </w:p>
          <w:p w14:paraId="2091181F" w14:textId="77777777" w:rsidR="00AF1E71" w:rsidRDefault="00AF1E71" w:rsidP="00AF1E71">
            <w:pPr>
              <w:jc w:val="both"/>
              <w:rPr>
                <w:rFonts w:ascii="Calibri" w:hAnsi="Calibri"/>
              </w:rPr>
            </w:pPr>
          </w:p>
          <w:p w14:paraId="795715C1" w14:textId="77777777" w:rsidR="00AF1E71" w:rsidRDefault="00AF1E71" w:rsidP="00AF1E71">
            <w:pPr>
              <w:jc w:val="both"/>
              <w:rPr>
                <w:rFonts w:ascii="Calibri" w:hAnsi="Calibri"/>
                <w:i/>
                <w:iCs/>
              </w:rPr>
            </w:pPr>
            <w:r>
              <w:rPr>
                <w:rFonts w:ascii="Calibri" w:hAnsi="Calibri"/>
                <w:i/>
                <w:iCs/>
              </w:rPr>
              <w:t>‘Where possible it is preferable for new work to be reversible, so that changes can be undone without harm to historic fabric.’</w:t>
            </w:r>
          </w:p>
          <w:p w14:paraId="1CEA8BAB" w14:textId="77777777" w:rsidR="00AF1E71" w:rsidRDefault="00AF1E71" w:rsidP="00AF1E71">
            <w:pPr>
              <w:contextualSpacing/>
              <w:jc w:val="both"/>
              <w:rPr>
                <w:rFonts w:ascii="Calibri" w:hAnsi="Calibri"/>
                <w:bCs/>
              </w:rPr>
            </w:pPr>
          </w:p>
          <w:p w14:paraId="2D4538D0" w14:textId="77777777" w:rsidR="002C512B" w:rsidRDefault="002C512B" w:rsidP="002C512B">
            <w:pPr>
              <w:contextualSpacing/>
              <w:jc w:val="both"/>
              <w:rPr>
                <w:rFonts w:ascii="Calibri" w:hAnsi="Calibri"/>
                <w:bCs/>
              </w:rPr>
            </w:pPr>
            <w:r>
              <w:rPr>
                <w:rFonts w:ascii="Calibri" w:hAnsi="Calibri"/>
                <w:bCs/>
              </w:rPr>
              <w:t xml:space="preserve">In this instance, the signage proposed would include the refurbishment of the existing wooden pictorial and bracket to the front elevation of the building. The sign would be painted in F&amp;B Slipper Satin with applied lettering and logo in F&amp;B Hague Blue. The refurbished signage would match the existing in terms of location and size and would utilise the existing fixings and spotlight. As such, no greater harm to the historic wall fabric or the architectural interest of the heritage asset is anticipated in this respect. </w:t>
            </w:r>
          </w:p>
          <w:p w14:paraId="53A14B1E" w14:textId="77777777" w:rsidR="002C512B" w:rsidRDefault="002C512B" w:rsidP="002C512B">
            <w:pPr>
              <w:contextualSpacing/>
              <w:jc w:val="both"/>
              <w:rPr>
                <w:rFonts w:ascii="Calibri" w:hAnsi="Calibri"/>
                <w:bCs/>
              </w:rPr>
            </w:pPr>
          </w:p>
          <w:p w14:paraId="6DCBA9A5" w14:textId="77777777" w:rsidR="002C512B" w:rsidRDefault="002C512B" w:rsidP="002C512B">
            <w:pPr>
              <w:contextualSpacing/>
              <w:jc w:val="both"/>
              <w:rPr>
                <w:rFonts w:ascii="Calibri" w:hAnsi="Calibri"/>
                <w:bCs/>
              </w:rPr>
            </w:pPr>
            <w:r>
              <w:rPr>
                <w:rFonts w:ascii="Calibri" w:hAnsi="Calibri"/>
                <w:bCs/>
              </w:rPr>
              <w:t xml:space="preserve">Lettering to denote the name of the premises would also be installed to both the northern and southern gable elevations of the premises. The lettering would consist of a set of sprayed </w:t>
            </w:r>
            <w:proofErr w:type="spellStart"/>
            <w:r>
              <w:rPr>
                <w:rFonts w:ascii="Calibri" w:hAnsi="Calibri"/>
                <w:bCs/>
              </w:rPr>
              <w:t>foamex</w:t>
            </w:r>
            <w:proofErr w:type="spellEnd"/>
            <w:r>
              <w:rPr>
                <w:rFonts w:ascii="Calibri" w:hAnsi="Calibri"/>
                <w:bCs/>
              </w:rPr>
              <w:t xml:space="preserve"> letters in F&amp;B Hague Blue and would be relatively modest in size, measuring 0.785m x 1.6m in height and width respectively. The proposed signage would also replace the existing lettering to both the northern and southern gable elevations of the building and would be affixed to rails in order to reduce the number of fixings required into the stonework.</w:t>
            </w:r>
          </w:p>
          <w:p w14:paraId="3938006D" w14:textId="77777777" w:rsidR="002C512B" w:rsidRDefault="002C512B" w:rsidP="002C512B">
            <w:pPr>
              <w:contextualSpacing/>
              <w:jc w:val="both"/>
              <w:rPr>
                <w:rFonts w:ascii="Calibri" w:hAnsi="Calibri"/>
                <w:bCs/>
              </w:rPr>
            </w:pPr>
          </w:p>
          <w:p w14:paraId="34751536" w14:textId="77777777" w:rsidR="002C512B" w:rsidRDefault="002C512B" w:rsidP="002C512B">
            <w:pPr>
              <w:contextualSpacing/>
              <w:jc w:val="both"/>
              <w:rPr>
                <w:rFonts w:ascii="Calibri" w:hAnsi="Calibri"/>
                <w:bCs/>
              </w:rPr>
            </w:pPr>
            <w:r>
              <w:rPr>
                <w:rFonts w:ascii="Calibri" w:hAnsi="Calibri"/>
                <w:bCs/>
              </w:rPr>
              <w:t xml:space="preserve">1no. powder coated aluminium amenity board (F&amp;B Hague Blue) with applied vinyl lettering (F&amp;B Slipper Satin) and 1no. powder coated aluminium amenity board with a copper and clear polycarbonate menu case would be installed to either side of the entrance door to front elevation of the building. The proposed boards would replace the existing signs and would measure 0.914m x 0.667m in height and width respectively. The proposed menu case would be internally illuminated with an illuminance level of 150 cd/m2. The existing amenity board to the northern gable elevation of the premises, adjacent the entrance door, would also be replaced with a new copper internally illuminated menu case which would measure </w:t>
            </w:r>
            <w:r>
              <w:rPr>
                <w:rFonts w:ascii="Calibri" w:hAnsi="Calibri"/>
                <w:bCs/>
              </w:rPr>
              <w:lastRenderedPageBreak/>
              <w:t xml:space="preserve">0.512m x 0.395m in height and width respectively. The existing </w:t>
            </w:r>
            <w:proofErr w:type="spellStart"/>
            <w:r>
              <w:rPr>
                <w:rFonts w:ascii="Calibri" w:hAnsi="Calibri"/>
                <w:bCs/>
              </w:rPr>
              <w:t>correx</w:t>
            </w:r>
            <w:proofErr w:type="spellEnd"/>
            <w:r>
              <w:rPr>
                <w:rFonts w:ascii="Calibri" w:hAnsi="Calibri"/>
                <w:bCs/>
              </w:rPr>
              <w:t xml:space="preserve"> frame to the southern gable elevation of the building would also be replaced. The signage would measure 0.914m x 1.264m in height and width respectively and would utilise the existing standing posts. </w:t>
            </w:r>
          </w:p>
          <w:p w14:paraId="0ABB9AA1" w14:textId="77777777" w:rsidR="002C512B" w:rsidRDefault="002C512B" w:rsidP="002C512B">
            <w:pPr>
              <w:contextualSpacing/>
              <w:jc w:val="both"/>
              <w:rPr>
                <w:rFonts w:ascii="Calibri" w:hAnsi="Calibri"/>
                <w:bCs/>
              </w:rPr>
            </w:pPr>
          </w:p>
          <w:p w14:paraId="5A27B614" w14:textId="61E909F7" w:rsidR="002C512B" w:rsidRDefault="002C512B" w:rsidP="002C512B">
            <w:pPr>
              <w:contextualSpacing/>
              <w:jc w:val="both"/>
              <w:rPr>
                <w:rFonts w:ascii="Calibri" w:hAnsi="Calibri"/>
                <w:bCs/>
              </w:rPr>
            </w:pPr>
            <w:r>
              <w:rPr>
                <w:rFonts w:ascii="Calibri" w:hAnsi="Calibri"/>
                <w:bCs/>
              </w:rPr>
              <w:t xml:space="preserve">The proposed signage would largely replace the existing signage featured to the external elevations of the building and would be of a similar design, size, scale and location. The proposed scheme is therefore considered to be appropriate in the context of the continued use of the heritage asset as a public house. Whilst it is acknowledged that the proposed menu cases would introduce a new internally illuminated element to the premises, the signage would be relatively modest in size and would have an illuminance level of 150 cd/m2. In addition to this, the planning history of the site indicates that a similar scheme was granted Listed Building Consent and Advertisement Consent in 2020 under application 3/2020/0044 and 3/2019/0998 and therefore it is not anticipated that the proposed alterations would result in any greater harm upon character of the listed building than that of the previously approved scheme. In view of the above, the proposed signage is considered to be acceptable on the basis that the alterations would largely serve as replications of previous designs and would therefore have a neutral impact upon the significance of the heritage asset. </w:t>
            </w:r>
          </w:p>
          <w:p w14:paraId="0AF86B18" w14:textId="77777777" w:rsidR="002C512B" w:rsidRDefault="002C512B" w:rsidP="002C512B">
            <w:pPr>
              <w:contextualSpacing/>
              <w:jc w:val="both"/>
              <w:rPr>
                <w:rFonts w:ascii="Calibri" w:hAnsi="Calibri"/>
                <w:bCs/>
              </w:rPr>
            </w:pPr>
          </w:p>
          <w:p w14:paraId="366F5686" w14:textId="661A2071" w:rsidR="002C512B" w:rsidRDefault="002C512B" w:rsidP="002C512B">
            <w:pPr>
              <w:contextualSpacing/>
              <w:jc w:val="both"/>
              <w:rPr>
                <w:rFonts w:ascii="Calibri" w:hAnsi="Calibri"/>
                <w:bCs/>
              </w:rPr>
            </w:pPr>
            <w:r>
              <w:rPr>
                <w:rFonts w:ascii="Calibri" w:hAnsi="Calibri"/>
                <w:bCs/>
              </w:rPr>
              <w:t xml:space="preserve">However, whilst methods of fixing have been submitted, no specific details have been provided with regards to whether the fixings are to be within the mortar joints or stonework. A condition has therefore been attached to the accompanying decision notice stating that the replacement signage shall utilise existing fixings or be fixed using the location of mortar joints and not stonework, wherever reasonably practicable in order to limit damage to the historic fabric of the heritage asset. </w:t>
            </w:r>
          </w:p>
          <w:p w14:paraId="5D58456E" w14:textId="77777777" w:rsidR="00AF1E71" w:rsidRDefault="00AF1E71" w:rsidP="00AF1E71">
            <w:pPr>
              <w:contextualSpacing/>
              <w:jc w:val="both"/>
              <w:rPr>
                <w:rFonts w:ascii="Calibri" w:hAnsi="Calibri"/>
                <w:bCs/>
              </w:rPr>
            </w:pPr>
          </w:p>
          <w:p w14:paraId="1E6C63BB" w14:textId="77777777" w:rsidR="00AF1E71" w:rsidRPr="0080457B" w:rsidRDefault="00AF1E71" w:rsidP="00AF1E71">
            <w:pPr>
              <w:contextualSpacing/>
              <w:jc w:val="both"/>
              <w:rPr>
                <w:rFonts w:ascii="Calibri" w:hAnsi="Calibri"/>
                <w:bCs/>
                <w:u w:val="single"/>
              </w:rPr>
            </w:pPr>
            <w:r>
              <w:rPr>
                <w:rFonts w:ascii="Calibri" w:hAnsi="Calibri"/>
                <w:bCs/>
                <w:u w:val="single"/>
              </w:rPr>
              <w:t>External lighting</w:t>
            </w:r>
          </w:p>
          <w:p w14:paraId="3F3ABD72" w14:textId="77777777" w:rsidR="00AF1E71" w:rsidRDefault="00AF1E71" w:rsidP="00AF1E71">
            <w:pPr>
              <w:contextualSpacing/>
              <w:jc w:val="both"/>
              <w:rPr>
                <w:rFonts w:ascii="Calibri" w:hAnsi="Calibri"/>
                <w:bCs/>
              </w:rPr>
            </w:pPr>
          </w:p>
          <w:p w14:paraId="4B82A750" w14:textId="77777777" w:rsidR="00AF1E71" w:rsidRDefault="00AF1E71" w:rsidP="00AF1E71">
            <w:pPr>
              <w:contextualSpacing/>
              <w:jc w:val="both"/>
              <w:rPr>
                <w:rFonts w:ascii="Calibri" w:hAnsi="Calibri"/>
                <w:bCs/>
              </w:rPr>
            </w:pPr>
            <w:r>
              <w:rPr>
                <w:rFonts w:ascii="Calibri" w:hAnsi="Calibri"/>
                <w:bCs/>
              </w:rPr>
              <w:t xml:space="preserve">In regard to lighting, the existing floodlights to the front and gable elevations of the building would be replaced with 350 cd/m2 slim profile floodlights, with 1no. additional floodlight also being installed to the northern gable elevation. The existing lantern situated above the entrance door to the front elevation would also be replaced with a new copper lantern, whilst an identical copper lantern would also be incorporated above the entrance door situated to the northern gable elevation of the building. Given that the front and gable elevations of the premises feature a number of existing floodlights and external lighting, it is considered that their replacement and incorporation of an additional floodlight and lantern to the northern gable elevation would have a neutral impact upon the significance of the public house. </w:t>
            </w:r>
          </w:p>
          <w:p w14:paraId="632BE018" w14:textId="52217FAC" w:rsidR="00AF1E71" w:rsidRPr="00FA0D9D" w:rsidRDefault="00AF1E71" w:rsidP="002171ED">
            <w:pPr>
              <w:contextualSpacing/>
              <w:jc w:val="both"/>
              <w:rPr>
                <w:rFonts w:ascii="Calibri" w:hAnsi="Calibri"/>
                <w:b/>
              </w:rPr>
            </w:pPr>
          </w:p>
        </w:tc>
      </w:tr>
      <w:tr w:rsidR="00AF1E71" w:rsidRPr="00D2449B" w14:paraId="3199418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1A674641" w:rsidR="00AF1E71" w:rsidRDefault="00AF1E71" w:rsidP="00AF1E71">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Character/appearance of Conservations Area</w:t>
            </w:r>
            <w:r w:rsidR="00795297">
              <w:rPr>
                <w:rFonts w:ascii="Calibri" w:hAnsi="Calibri"/>
                <w:b/>
                <w:szCs w:val="22"/>
              </w:rPr>
              <w:t xml:space="preserve"> and AONB</w:t>
            </w:r>
            <w:r>
              <w:rPr>
                <w:rFonts w:ascii="Calibri" w:hAnsi="Calibri"/>
                <w:b/>
                <w:szCs w:val="22"/>
              </w:rPr>
              <w:t xml:space="preserve"> (Where Applicable):</w:t>
            </w:r>
          </w:p>
          <w:p w14:paraId="3C664B9F" w14:textId="77777777" w:rsidR="00AF1E71" w:rsidRDefault="00AF1E71" w:rsidP="00AF1E71">
            <w:pPr>
              <w:pStyle w:val="Header"/>
              <w:tabs>
                <w:tab w:val="clear" w:pos="4153"/>
                <w:tab w:val="clear" w:pos="8306"/>
              </w:tabs>
              <w:contextualSpacing/>
              <w:jc w:val="both"/>
              <w:rPr>
                <w:rFonts w:ascii="Calibri" w:hAnsi="Calibri"/>
                <w:b/>
                <w:szCs w:val="22"/>
              </w:rPr>
            </w:pPr>
          </w:p>
          <w:p w14:paraId="40A6FFC9" w14:textId="73507BB0" w:rsidR="00AF1E71"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site is situated within the designated Hurst Green Conservation Area. With reference to making decisions on applications for development in Conservation Areas, Section 72 of the Planning (Listed Buildings and Conservation Areas) Act 1990 states that: </w:t>
            </w:r>
          </w:p>
          <w:p w14:paraId="61AF9B2F" w14:textId="77777777" w:rsidR="00AF1E71" w:rsidRDefault="00AF1E71" w:rsidP="00AF1E71">
            <w:pPr>
              <w:pStyle w:val="Header"/>
              <w:tabs>
                <w:tab w:val="clear" w:pos="4153"/>
                <w:tab w:val="clear" w:pos="8306"/>
              </w:tabs>
              <w:contextualSpacing/>
              <w:jc w:val="both"/>
              <w:rPr>
                <w:rFonts w:ascii="Calibri" w:hAnsi="Calibri"/>
                <w:bCs/>
                <w:szCs w:val="22"/>
              </w:rPr>
            </w:pPr>
          </w:p>
          <w:p w14:paraId="28E139C2" w14:textId="77777777" w:rsidR="00AF1E71" w:rsidRDefault="00AF1E71" w:rsidP="00AF1E71">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 special attention shall be paid to the desirability of preserving or enhancing the character or appearance of that area.” </w:t>
            </w:r>
          </w:p>
          <w:p w14:paraId="63719F97" w14:textId="77777777" w:rsidR="00AF1E71" w:rsidRDefault="00AF1E71" w:rsidP="00AF1E71">
            <w:pPr>
              <w:pStyle w:val="Header"/>
              <w:tabs>
                <w:tab w:val="clear" w:pos="4153"/>
                <w:tab w:val="clear" w:pos="8306"/>
              </w:tabs>
              <w:contextualSpacing/>
              <w:jc w:val="both"/>
              <w:rPr>
                <w:rFonts w:ascii="Calibri" w:hAnsi="Calibri"/>
                <w:bCs/>
                <w:i/>
                <w:iCs/>
                <w:szCs w:val="22"/>
              </w:rPr>
            </w:pPr>
          </w:p>
          <w:p w14:paraId="19045513" w14:textId="77777777" w:rsidR="00AF1E71" w:rsidRDefault="00AF1E71" w:rsidP="00AF1E71">
            <w:pPr>
              <w:pStyle w:val="Header"/>
              <w:tabs>
                <w:tab w:val="clear" w:pos="4153"/>
                <w:tab w:val="clear" w:pos="8306"/>
              </w:tabs>
              <w:contextualSpacing/>
              <w:jc w:val="both"/>
              <w:rPr>
                <w:rFonts w:ascii="Calibri" w:hAnsi="Calibri"/>
                <w:bCs/>
                <w:i/>
                <w:iCs/>
                <w:szCs w:val="22"/>
              </w:rPr>
            </w:pPr>
            <w:r>
              <w:rPr>
                <w:rFonts w:ascii="Calibri" w:hAnsi="Calibri"/>
                <w:bCs/>
                <w:szCs w:val="22"/>
              </w:rPr>
              <w:t>Key Statement EN5 of the Ribble Valley Core Strategy states that ‘</w:t>
            </w:r>
            <w:r>
              <w:rPr>
                <w:rFonts w:ascii="Calibri" w:hAnsi="Calibri"/>
                <w:bCs/>
                <w:i/>
                <w:iCs/>
                <w:szCs w:val="22"/>
              </w:rPr>
              <w:t xml:space="preserve">there will be presumption in favour of the conservation and enhancement of the significance of heritage assets and their settings’ </w:t>
            </w:r>
            <w:r>
              <w:rPr>
                <w:rFonts w:ascii="Calibri" w:hAnsi="Calibri"/>
                <w:bCs/>
                <w:szCs w:val="22"/>
              </w:rPr>
              <w:t>whilst Policy DME4 states that ‘</w:t>
            </w:r>
            <w:r>
              <w:rPr>
                <w:rFonts w:ascii="Calibri" w:hAnsi="Calibri"/>
                <w:bCs/>
                <w:i/>
                <w:iCs/>
                <w:szCs w:val="22"/>
              </w:rPr>
              <w:t xml:space="preserve">there will be a presumption in the favour of the conservation and enhancement of elements that make a positive contribution to the character or appearance of the conservation area’. </w:t>
            </w:r>
          </w:p>
          <w:p w14:paraId="0BB033FE" w14:textId="77777777" w:rsidR="00795297" w:rsidRDefault="00795297" w:rsidP="00AF1E71">
            <w:pPr>
              <w:pStyle w:val="Header"/>
              <w:tabs>
                <w:tab w:val="clear" w:pos="4153"/>
                <w:tab w:val="clear" w:pos="8306"/>
              </w:tabs>
              <w:contextualSpacing/>
              <w:jc w:val="both"/>
              <w:rPr>
                <w:rFonts w:ascii="Calibri" w:hAnsi="Calibri"/>
                <w:bCs/>
                <w:i/>
                <w:iCs/>
                <w:szCs w:val="22"/>
              </w:rPr>
            </w:pPr>
          </w:p>
          <w:p w14:paraId="1216F6A9" w14:textId="77777777" w:rsidR="00795297" w:rsidRDefault="00795297" w:rsidP="00795297">
            <w:pPr>
              <w:pStyle w:val="Header"/>
              <w:tabs>
                <w:tab w:val="clear" w:pos="4153"/>
                <w:tab w:val="clear" w:pos="8306"/>
              </w:tabs>
              <w:contextualSpacing/>
              <w:jc w:val="both"/>
              <w:rPr>
                <w:rFonts w:ascii="Calibri" w:hAnsi="Calibri"/>
                <w:bCs/>
                <w:i/>
                <w:iCs/>
                <w:szCs w:val="22"/>
              </w:rPr>
            </w:pPr>
            <w:r>
              <w:rPr>
                <w:rFonts w:ascii="Calibri" w:hAnsi="Calibri"/>
                <w:bCs/>
                <w:szCs w:val="22"/>
              </w:rPr>
              <w:t>As the application site lies within the Forest of Bowland Area of Outstanding Natural Beauty, consideration must also be given to the effect of the proposal on the surrounding natural landscape. Key statement EN2 of the Ribble Valley Core Strategy states that ‘</w:t>
            </w:r>
            <w:r>
              <w:rPr>
                <w:rFonts w:ascii="Calibri" w:hAnsi="Calibri"/>
                <w:bCs/>
                <w:i/>
                <w:iCs/>
                <w:szCs w:val="22"/>
              </w:rPr>
              <w:t xml:space="preserve">the Council will expect development to be in keeping with the character of the landscape, reflecting local distinctiveness, vernacular style, features and building materials.’ </w:t>
            </w:r>
          </w:p>
          <w:p w14:paraId="56407EFC" w14:textId="77777777" w:rsidR="00AF1E71" w:rsidRDefault="00AF1E71" w:rsidP="00AF1E71">
            <w:pPr>
              <w:pStyle w:val="Header"/>
              <w:tabs>
                <w:tab w:val="clear" w:pos="4153"/>
                <w:tab w:val="clear" w:pos="8306"/>
              </w:tabs>
              <w:contextualSpacing/>
              <w:jc w:val="both"/>
              <w:rPr>
                <w:rFonts w:ascii="Calibri" w:hAnsi="Calibri"/>
                <w:bCs/>
                <w:szCs w:val="22"/>
              </w:rPr>
            </w:pPr>
          </w:p>
          <w:p w14:paraId="44A4F609" w14:textId="1C274971" w:rsidR="002171ED"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As stated previously, the proposed </w:t>
            </w:r>
            <w:r w:rsidR="00227D8A">
              <w:rPr>
                <w:rFonts w:ascii="Calibri" w:hAnsi="Calibri"/>
                <w:bCs/>
                <w:szCs w:val="22"/>
              </w:rPr>
              <w:t>signage and associated lighting</w:t>
            </w:r>
            <w:r>
              <w:rPr>
                <w:rFonts w:ascii="Calibri" w:hAnsi="Calibri"/>
                <w:bCs/>
                <w:szCs w:val="22"/>
              </w:rPr>
              <w:t xml:space="preserve"> would be primarily to the front and gable elevations of the public house. The proposed works would therefore be highly visible and read in concert with the key features of the village centre of Hurst Gree</w:t>
            </w:r>
            <w:r w:rsidR="00795297">
              <w:rPr>
                <w:rFonts w:ascii="Calibri" w:hAnsi="Calibri"/>
                <w:bCs/>
                <w:szCs w:val="22"/>
              </w:rPr>
              <w:t xml:space="preserve">n, </w:t>
            </w:r>
            <w:r>
              <w:rPr>
                <w:rFonts w:ascii="Calibri" w:hAnsi="Calibri"/>
                <w:bCs/>
                <w:szCs w:val="22"/>
              </w:rPr>
              <w:t>the designated Hurst Green Conservation Area</w:t>
            </w:r>
            <w:r w:rsidR="00795297">
              <w:rPr>
                <w:rFonts w:ascii="Calibri" w:hAnsi="Calibri"/>
                <w:bCs/>
                <w:szCs w:val="22"/>
              </w:rPr>
              <w:t xml:space="preserve"> and Forest of Bowland Area of Outstanding Natural Beauty.</w:t>
            </w:r>
            <w:r w:rsidR="00227D8A">
              <w:rPr>
                <w:rFonts w:ascii="Calibri" w:hAnsi="Calibri"/>
                <w:bCs/>
                <w:szCs w:val="22"/>
              </w:rPr>
              <w:t xml:space="preserve"> Despite this, the proposed works would largely replace the existing signage </w:t>
            </w:r>
            <w:r w:rsidR="002171ED">
              <w:rPr>
                <w:rFonts w:ascii="Calibri" w:hAnsi="Calibri"/>
                <w:bCs/>
                <w:szCs w:val="22"/>
              </w:rPr>
              <w:t>and external lighting</w:t>
            </w:r>
            <w:r w:rsidR="00056C10">
              <w:rPr>
                <w:rFonts w:ascii="Calibri" w:hAnsi="Calibri"/>
                <w:bCs/>
                <w:szCs w:val="22"/>
              </w:rPr>
              <w:t xml:space="preserve"> associated with the current use of the premises as a public house,</w:t>
            </w:r>
            <w:r w:rsidR="002171ED">
              <w:rPr>
                <w:rFonts w:ascii="Calibri" w:hAnsi="Calibri"/>
                <w:bCs/>
                <w:szCs w:val="22"/>
              </w:rPr>
              <w:t xml:space="preserve"> </w:t>
            </w:r>
            <w:r w:rsidR="00227D8A">
              <w:rPr>
                <w:rFonts w:ascii="Calibri" w:hAnsi="Calibri"/>
                <w:bCs/>
                <w:szCs w:val="22"/>
              </w:rPr>
              <w:t>and would be similar in</w:t>
            </w:r>
            <w:r w:rsidR="00056C10">
              <w:rPr>
                <w:rFonts w:ascii="Calibri" w:hAnsi="Calibri"/>
                <w:bCs/>
                <w:szCs w:val="22"/>
              </w:rPr>
              <w:t xml:space="preserve"> </w:t>
            </w:r>
            <w:r w:rsidR="002C512B">
              <w:rPr>
                <w:rFonts w:ascii="Calibri" w:hAnsi="Calibri"/>
                <w:bCs/>
                <w:szCs w:val="22"/>
              </w:rPr>
              <w:t xml:space="preserve">design, </w:t>
            </w:r>
            <w:r w:rsidR="00227D8A">
              <w:rPr>
                <w:rFonts w:ascii="Calibri" w:hAnsi="Calibri"/>
                <w:bCs/>
                <w:szCs w:val="22"/>
              </w:rPr>
              <w:t>size</w:t>
            </w:r>
            <w:r w:rsidR="00056C10">
              <w:rPr>
                <w:rFonts w:ascii="Calibri" w:hAnsi="Calibri"/>
                <w:bCs/>
                <w:szCs w:val="22"/>
              </w:rPr>
              <w:t>, scale</w:t>
            </w:r>
            <w:r w:rsidR="00227D8A">
              <w:rPr>
                <w:rFonts w:ascii="Calibri" w:hAnsi="Calibri"/>
                <w:bCs/>
                <w:szCs w:val="22"/>
              </w:rPr>
              <w:t xml:space="preserve"> and location. </w:t>
            </w:r>
            <w:r w:rsidR="002171ED">
              <w:rPr>
                <w:rFonts w:ascii="Calibri" w:hAnsi="Calibri"/>
                <w:bCs/>
                <w:szCs w:val="22"/>
              </w:rPr>
              <w:t xml:space="preserve">Whilst the proposal would include the incorporation of an additional floodlight and lantern to the northern gable elevation and internally illuminated menu cases, a similar scheme was granted Advertisement </w:t>
            </w:r>
            <w:r w:rsidR="00056C10">
              <w:rPr>
                <w:rFonts w:ascii="Calibri" w:hAnsi="Calibri"/>
                <w:bCs/>
                <w:szCs w:val="22"/>
              </w:rPr>
              <w:t xml:space="preserve">Consent </w:t>
            </w:r>
            <w:r w:rsidR="002171ED">
              <w:rPr>
                <w:rFonts w:ascii="Calibri" w:hAnsi="Calibri"/>
                <w:bCs/>
                <w:szCs w:val="22"/>
              </w:rPr>
              <w:t>under application 3/2019/0998</w:t>
            </w:r>
            <w:r w:rsidR="00056C10">
              <w:rPr>
                <w:rFonts w:ascii="Calibri" w:hAnsi="Calibri"/>
                <w:bCs/>
                <w:szCs w:val="22"/>
              </w:rPr>
              <w:t xml:space="preserve">. In addition to this, given the application premises benefits from existing external lighting to both the front and gable elevations of the building, it is not anticipated that the relatively minor additions would result in any significantly detrimental harm upon the visual amenities of the public house or surrounding area that would significantly exceed the existing. In view of this, the proposed scheme is considered to be acceptable on the basis that the signage and associated lighting would largely serve as replications of previous </w:t>
            </w:r>
            <w:r w:rsidR="002C512B">
              <w:rPr>
                <w:rFonts w:ascii="Calibri" w:hAnsi="Calibri"/>
                <w:bCs/>
                <w:szCs w:val="22"/>
              </w:rPr>
              <w:t>designs</w:t>
            </w:r>
            <w:r w:rsidR="00056C10">
              <w:rPr>
                <w:rFonts w:ascii="Calibri" w:hAnsi="Calibri"/>
                <w:bCs/>
                <w:szCs w:val="22"/>
              </w:rPr>
              <w:t xml:space="preserve"> and would have no greater visual impact than</w:t>
            </w:r>
            <w:r w:rsidR="002C512B">
              <w:rPr>
                <w:rFonts w:ascii="Calibri" w:hAnsi="Calibri"/>
                <w:bCs/>
                <w:szCs w:val="22"/>
              </w:rPr>
              <w:t xml:space="preserve"> the</w:t>
            </w:r>
            <w:r w:rsidR="00056C10">
              <w:rPr>
                <w:rFonts w:ascii="Calibri" w:hAnsi="Calibri"/>
                <w:bCs/>
                <w:szCs w:val="22"/>
              </w:rPr>
              <w:t xml:space="preserve"> previously approved signage scheme. </w:t>
            </w:r>
          </w:p>
          <w:p w14:paraId="4773EA6B" w14:textId="77777777" w:rsidR="003F167D" w:rsidRDefault="003F167D" w:rsidP="00AF1E71">
            <w:pPr>
              <w:pStyle w:val="Header"/>
              <w:tabs>
                <w:tab w:val="clear" w:pos="4153"/>
                <w:tab w:val="clear" w:pos="8306"/>
              </w:tabs>
              <w:contextualSpacing/>
              <w:jc w:val="both"/>
              <w:rPr>
                <w:rFonts w:ascii="Calibri" w:hAnsi="Calibri"/>
                <w:bCs/>
                <w:szCs w:val="22"/>
              </w:rPr>
            </w:pPr>
          </w:p>
          <w:p w14:paraId="5A499A8C" w14:textId="2F1E3C8C" w:rsidR="003F167D" w:rsidRDefault="003F167D"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w:t>
            </w:r>
            <w:r w:rsidR="002171ED">
              <w:rPr>
                <w:rFonts w:ascii="Calibri" w:hAnsi="Calibri"/>
                <w:bCs/>
                <w:szCs w:val="22"/>
              </w:rPr>
              <w:t>proposed signage would result in any significant harm upon the inherent character of the application property or the Hurst Green Conservation Area</w:t>
            </w:r>
            <w:r w:rsidR="00795297">
              <w:rPr>
                <w:rFonts w:ascii="Calibri" w:hAnsi="Calibri"/>
                <w:bCs/>
                <w:szCs w:val="22"/>
              </w:rPr>
              <w:t>, nor would it detract from the visual amenities of the surrounding AONB landscape</w:t>
            </w:r>
            <w:r w:rsidR="002171ED">
              <w:rPr>
                <w:rFonts w:ascii="Calibri" w:hAnsi="Calibri"/>
                <w:bCs/>
                <w:szCs w:val="22"/>
              </w:rPr>
              <w:t xml:space="preserve">. </w:t>
            </w:r>
            <w:r w:rsidR="00795297">
              <w:rPr>
                <w:rFonts w:ascii="Calibri" w:hAnsi="Calibri"/>
                <w:bCs/>
                <w:szCs w:val="22"/>
              </w:rPr>
              <w:t>Accordingly, the proposal would satisfy the requirements of Section 72 of the Planning (Listed Buildings and Conservation Areas) Act 1990</w:t>
            </w:r>
            <w:r w:rsidR="002C512B">
              <w:rPr>
                <w:rFonts w:ascii="Calibri" w:hAnsi="Calibri"/>
                <w:bCs/>
                <w:szCs w:val="22"/>
              </w:rPr>
              <w:t xml:space="preserve">, </w:t>
            </w:r>
            <w:r w:rsidR="00795297">
              <w:rPr>
                <w:rFonts w:ascii="Calibri" w:hAnsi="Calibri"/>
                <w:bCs/>
                <w:szCs w:val="22"/>
              </w:rPr>
              <w:t>Key Stateme</w:t>
            </w:r>
            <w:r w:rsidR="002C512B">
              <w:rPr>
                <w:rFonts w:ascii="Calibri" w:hAnsi="Calibri"/>
                <w:bCs/>
                <w:szCs w:val="22"/>
              </w:rPr>
              <w:t>n</w:t>
            </w:r>
            <w:r w:rsidR="00795297">
              <w:rPr>
                <w:rFonts w:ascii="Calibri" w:hAnsi="Calibri"/>
                <w:bCs/>
                <w:szCs w:val="22"/>
              </w:rPr>
              <w:t>t</w:t>
            </w:r>
            <w:r w:rsidR="002C512B">
              <w:rPr>
                <w:rFonts w:ascii="Calibri" w:hAnsi="Calibri"/>
                <w:bCs/>
                <w:szCs w:val="22"/>
              </w:rPr>
              <w:t>s</w:t>
            </w:r>
            <w:r w:rsidR="00795297">
              <w:rPr>
                <w:rFonts w:ascii="Calibri" w:hAnsi="Calibri"/>
                <w:bCs/>
                <w:szCs w:val="22"/>
              </w:rPr>
              <w:t xml:space="preserve"> EN2 and EN5 and Policy DME4 of the Ribble Valley Core Strategy. </w:t>
            </w:r>
          </w:p>
          <w:p w14:paraId="4D64DDAE" w14:textId="77777777" w:rsidR="00AF1E71" w:rsidRDefault="00AF1E71" w:rsidP="002171ED">
            <w:pPr>
              <w:pStyle w:val="Header"/>
              <w:tabs>
                <w:tab w:val="clear" w:pos="4153"/>
                <w:tab w:val="clear" w:pos="8306"/>
              </w:tabs>
              <w:contextualSpacing/>
              <w:jc w:val="both"/>
              <w:rPr>
                <w:rFonts w:ascii="Calibri" w:hAnsi="Calibri"/>
                <w:b/>
                <w:szCs w:val="22"/>
              </w:rPr>
            </w:pPr>
          </w:p>
        </w:tc>
      </w:tr>
      <w:tr w:rsidR="00AF1E71" w:rsidRPr="00D2449B" w14:paraId="617768FF"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AF1E71" w:rsidRDefault="00AF1E71" w:rsidP="00AF1E71">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AF1E71" w:rsidRDefault="00AF1E71" w:rsidP="00AF1E71">
            <w:pPr>
              <w:pStyle w:val="Header"/>
              <w:tabs>
                <w:tab w:val="clear" w:pos="4153"/>
                <w:tab w:val="clear" w:pos="8306"/>
              </w:tabs>
              <w:contextualSpacing/>
              <w:jc w:val="both"/>
              <w:rPr>
                <w:rFonts w:ascii="Calibri" w:hAnsi="Calibri"/>
                <w:b/>
                <w:szCs w:val="22"/>
              </w:rPr>
            </w:pPr>
          </w:p>
          <w:p w14:paraId="3F50CB51" w14:textId="29AC88F2" w:rsidR="002171ED" w:rsidRDefault="00795297" w:rsidP="00AF1E71">
            <w:pPr>
              <w:pStyle w:val="Header"/>
              <w:tabs>
                <w:tab w:val="clear" w:pos="4153"/>
                <w:tab w:val="clear" w:pos="8306"/>
              </w:tabs>
              <w:contextualSpacing/>
              <w:jc w:val="both"/>
              <w:rPr>
                <w:rFonts w:ascii="Calibri" w:hAnsi="Calibri"/>
                <w:bCs/>
                <w:szCs w:val="22"/>
              </w:rPr>
            </w:pPr>
            <w:r>
              <w:rPr>
                <w:rFonts w:ascii="Calibri" w:hAnsi="Calibri"/>
                <w:bCs/>
                <w:szCs w:val="22"/>
              </w:rPr>
              <w:t>Taking account of the nature of the proposed development and the relationship of the existing signage and associated lighting with nearby residential receptors, it is not anticipated that the proposed scheme would result in any significant detrimental impact upon any nearby residential amenities that would substantially exceed the existing and warrant the refusal of the application.</w:t>
            </w:r>
          </w:p>
          <w:p w14:paraId="5373B9B8" w14:textId="77777777" w:rsidR="00795297" w:rsidRDefault="00795297" w:rsidP="00AF1E71">
            <w:pPr>
              <w:pStyle w:val="Header"/>
              <w:tabs>
                <w:tab w:val="clear" w:pos="4153"/>
                <w:tab w:val="clear" w:pos="8306"/>
              </w:tabs>
              <w:contextualSpacing/>
              <w:jc w:val="both"/>
              <w:rPr>
                <w:rFonts w:ascii="Calibri" w:hAnsi="Calibri"/>
                <w:bCs/>
                <w:szCs w:val="22"/>
              </w:rPr>
            </w:pPr>
          </w:p>
          <w:p w14:paraId="790F9D0C" w14:textId="635FF75B" w:rsidR="00795297" w:rsidRPr="00795297" w:rsidRDefault="00795297" w:rsidP="00AF1E71">
            <w:pPr>
              <w:pStyle w:val="Header"/>
              <w:tabs>
                <w:tab w:val="clear" w:pos="4153"/>
                <w:tab w:val="clear" w:pos="8306"/>
              </w:tabs>
              <w:contextualSpacing/>
              <w:jc w:val="both"/>
              <w:rPr>
                <w:rFonts w:ascii="Calibri" w:hAnsi="Calibri"/>
                <w:bCs/>
                <w:szCs w:val="22"/>
              </w:rPr>
            </w:pPr>
            <w:r>
              <w:rPr>
                <w:rFonts w:ascii="Calibri" w:hAnsi="Calibri"/>
                <w:bCs/>
                <w:szCs w:val="22"/>
              </w:rPr>
              <w:t>It is acknowledged that concern</w:t>
            </w:r>
            <w:r w:rsidR="009006E3">
              <w:rPr>
                <w:rFonts w:ascii="Calibri" w:hAnsi="Calibri"/>
                <w:bCs/>
                <w:szCs w:val="22"/>
              </w:rPr>
              <w:t>s</w:t>
            </w:r>
            <w:r>
              <w:rPr>
                <w:rFonts w:ascii="Calibri" w:hAnsi="Calibri"/>
                <w:bCs/>
                <w:szCs w:val="22"/>
              </w:rPr>
              <w:t xml:space="preserve"> have been raised in respect of light pollution. </w:t>
            </w:r>
            <w:r w:rsidR="009006E3">
              <w:rPr>
                <w:rFonts w:ascii="Calibri" w:hAnsi="Calibri"/>
                <w:bCs/>
                <w:szCs w:val="22"/>
              </w:rPr>
              <w:t>However,</w:t>
            </w:r>
            <w:r>
              <w:rPr>
                <w:rFonts w:ascii="Calibri" w:hAnsi="Calibri"/>
                <w:bCs/>
                <w:szCs w:val="22"/>
              </w:rPr>
              <w:t xml:space="preserve"> the proposed lighting would largely replace the existing</w:t>
            </w:r>
            <w:r w:rsidR="009006E3">
              <w:rPr>
                <w:rFonts w:ascii="Calibri" w:hAnsi="Calibri"/>
                <w:bCs/>
                <w:szCs w:val="22"/>
              </w:rPr>
              <w:t xml:space="preserve"> lighting featured to the external elevations of the public house and would also replicate the previously approved scheme under application 3/2019/0998. </w:t>
            </w:r>
          </w:p>
          <w:p w14:paraId="0DB485A3" w14:textId="77777777" w:rsidR="00AF1E71" w:rsidRPr="00C0704D" w:rsidRDefault="00AF1E71" w:rsidP="00AF1E71">
            <w:pPr>
              <w:contextualSpacing/>
              <w:rPr>
                <w:rFonts w:ascii="Calibri" w:hAnsi="Calibri"/>
                <w:szCs w:val="22"/>
              </w:rPr>
            </w:pPr>
            <w:r>
              <w:rPr>
                <w:rFonts w:ascii="Calibri" w:hAnsi="Calibri"/>
                <w:szCs w:val="22"/>
              </w:rPr>
              <w:t xml:space="preserve"> </w:t>
            </w:r>
          </w:p>
        </w:tc>
      </w:tr>
      <w:tr w:rsidR="00AF1E71" w:rsidRPr="00D2449B" w14:paraId="673C0DDB"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AF1E71" w:rsidRDefault="00AF1E71" w:rsidP="00AF1E71">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AF1E71" w:rsidRDefault="00AF1E71" w:rsidP="00AF1E71">
            <w:pPr>
              <w:pStyle w:val="Header"/>
              <w:tabs>
                <w:tab w:val="clear" w:pos="4153"/>
                <w:tab w:val="clear" w:pos="8306"/>
              </w:tabs>
              <w:contextualSpacing/>
              <w:jc w:val="both"/>
              <w:rPr>
                <w:rFonts w:ascii="Calibri" w:hAnsi="Calibri"/>
                <w:b/>
                <w:szCs w:val="22"/>
              </w:rPr>
            </w:pPr>
          </w:p>
          <w:p w14:paraId="671C54CC" w14:textId="235DFE3B" w:rsidR="00E80C71" w:rsidRPr="00E80C71" w:rsidRDefault="00E80C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respect of the proposal and raised no objections subject to the imposition of conditions. </w:t>
            </w:r>
            <w:r w:rsidR="008C51A0">
              <w:rPr>
                <w:rFonts w:ascii="Calibri" w:hAnsi="Calibri"/>
                <w:bCs/>
                <w:szCs w:val="22"/>
              </w:rPr>
              <w:t xml:space="preserve">As such, the proposed scheme is considered acceptable in regard to highway safety and parking. </w:t>
            </w:r>
          </w:p>
          <w:p w14:paraId="337694ED" w14:textId="04BBF706" w:rsidR="00AF1E71" w:rsidRDefault="00AF1E71" w:rsidP="00AF1E71">
            <w:pPr>
              <w:pStyle w:val="Header"/>
              <w:tabs>
                <w:tab w:val="clear" w:pos="4153"/>
                <w:tab w:val="clear" w:pos="8306"/>
              </w:tabs>
              <w:contextualSpacing/>
              <w:jc w:val="both"/>
              <w:rPr>
                <w:rFonts w:ascii="Calibri" w:hAnsi="Calibri"/>
                <w:b/>
                <w:szCs w:val="22"/>
              </w:rPr>
            </w:pPr>
          </w:p>
        </w:tc>
      </w:tr>
      <w:tr w:rsidR="00AF1E71" w:rsidRPr="00D2449B" w14:paraId="6D877C31"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AF1E71" w:rsidRDefault="00AF1E71" w:rsidP="00AF1E7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AF1E71" w:rsidRDefault="00AF1E71" w:rsidP="00AF1E71">
            <w:pPr>
              <w:pStyle w:val="Header"/>
              <w:tabs>
                <w:tab w:val="clear" w:pos="4153"/>
                <w:tab w:val="clear" w:pos="8306"/>
              </w:tabs>
              <w:contextualSpacing/>
              <w:jc w:val="both"/>
              <w:rPr>
                <w:rFonts w:ascii="Calibri" w:hAnsi="Calibri"/>
                <w:b/>
                <w:szCs w:val="22"/>
              </w:rPr>
            </w:pPr>
          </w:p>
          <w:p w14:paraId="50868845" w14:textId="43B2C3A5" w:rsidR="00AF1E71" w:rsidRPr="00346565" w:rsidRDefault="00AF1E71" w:rsidP="00AF1E71">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were identified in relation to the proposal. </w:t>
            </w:r>
          </w:p>
          <w:p w14:paraId="6337C4D8" w14:textId="77777777" w:rsidR="00AF1E71" w:rsidRDefault="00AF1E71" w:rsidP="00AF1E71">
            <w:pPr>
              <w:contextualSpacing/>
              <w:rPr>
                <w:rFonts w:ascii="Calibri" w:hAnsi="Calibri"/>
                <w:b/>
                <w:szCs w:val="22"/>
              </w:rPr>
            </w:pPr>
          </w:p>
        </w:tc>
      </w:tr>
      <w:tr w:rsidR="00AF1E71" w:rsidRPr="00D2449B" w14:paraId="0A9D02B4" w14:textId="77777777" w:rsidTr="00773A66">
        <w:trPr>
          <w:jc w:val="center"/>
        </w:trPr>
        <w:tc>
          <w:tcPr>
            <w:tcW w:w="951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AF1E71" w:rsidRDefault="00AF1E71" w:rsidP="00AF1E71">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AF1E71" w:rsidRDefault="00AF1E71" w:rsidP="00AF1E71">
            <w:pPr>
              <w:contextualSpacing/>
              <w:rPr>
                <w:rFonts w:ascii="Calibri" w:hAnsi="Calibri"/>
                <w:bCs/>
                <w:color w:val="548DD4" w:themeColor="text2" w:themeTint="99"/>
                <w:szCs w:val="22"/>
              </w:rPr>
            </w:pPr>
          </w:p>
          <w:p w14:paraId="72F42D7F" w14:textId="69492023" w:rsidR="00E80C71" w:rsidRDefault="00E80C71" w:rsidP="00AF1E71">
            <w:pPr>
              <w:contextualSpacing/>
              <w:rPr>
                <w:rFonts w:ascii="Calibri" w:hAnsi="Calibri"/>
                <w:bCs/>
                <w:szCs w:val="22"/>
              </w:rPr>
            </w:pPr>
            <w:r>
              <w:rPr>
                <w:rFonts w:ascii="Calibri" w:hAnsi="Calibri"/>
                <w:bCs/>
                <w:szCs w:val="22"/>
              </w:rPr>
              <w:t xml:space="preserve">The proposed replacement signage and associated lighting to the existing public house would not result in any significant detrimental impact upon the visual amenities of the surrounding AONB landscape, nor would it result in harm to the conservation of Hurst Green’s historic and architectural character to such a degree that would warrant the refusal </w:t>
            </w:r>
            <w:r w:rsidR="008C51A0">
              <w:rPr>
                <w:rFonts w:ascii="Calibri" w:hAnsi="Calibri"/>
                <w:bCs/>
                <w:szCs w:val="22"/>
              </w:rPr>
              <w:t>to grant</w:t>
            </w:r>
            <w:r>
              <w:rPr>
                <w:rFonts w:ascii="Calibri" w:hAnsi="Calibri"/>
                <w:bCs/>
                <w:szCs w:val="22"/>
              </w:rPr>
              <w:t xml:space="preserve"> advertisement consent</w:t>
            </w:r>
            <w:r w:rsidR="008C51A0">
              <w:rPr>
                <w:rFonts w:ascii="Calibri" w:hAnsi="Calibri"/>
                <w:bCs/>
                <w:szCs w:val="22"/>
              </w:rPr>
              <w:t xml:space="preserve">. </w:t>
            </w:r>
          </w:p>
          <w:p w14:paraId="4F8707AB" w14:textId="77777777" w:rsidR="00E80C71" w:rsidRPr="00DD62F6" w:rsidRDefault="00E80C71" w:rsidP="00AF1E71">
            <w:pPr>
              <w:contextualSpacing/>
              <w:rPr>
                <w:rFonts w:ascii="Calibri" w:hAnsi="Calibri"/>
                <w:bCs/>
                <w:color w:val="548DD4" w:themeColor="text2" w:themeTint="99"/>
                <w:szCs w:val="22"/>
              </w:rPr>
            </w:pPr>
          </w:p>
          <w:p w14:paraId="5A1F5F94" w14:textId="30714FC3" w:rsidR="00AF1E71" w:rsidRPr="009F4443" w:rsidRDefault="00AF1E71" w:rsidP="00AF1E71">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8C51A0">
              <w:rPr>
                <w:rFonts w:ascii="Calibri" w:hAnsi="Calibri"/>
                <w:bCs/>
                <w:szCs w:val="22"/>
              </w:rPr>
              <w:t xml:space="preserve">, </w:t>
            </w:r>
            <w:r w:rsidRPr="009F4443">
              <w:rPr>
                <w:rFonts w:ascii="Calibri" w:hAnsi="Calibri"/>
                <w:bCs/>
                <w:szCs w:val="22"/>
              </w:rPr>
              <w:t xml:space="preserve">the application is recommended for </w:t>
            </w:r>
            <w:r>
              <w:rPr>
                <w:rFonts w:ascii="Calibri" w:hAnsi="Calibri"/>
                <w:bCs/>
                <w:szCs w:val="22"/>
              </w:rPr>
              <w:t>approval.</w:t>
            </w:r>
          </w:p>
          <w:p w14:paraId="3A4BD7A7" w14:textId="073A1409" w:rsidR="00AF1E71" w:rsidRDefault="00AF1E71" w:rsidP="00AF1E71">
            <w:pPr>
              <w:pStyle w:val="Header"/>
              <w:tabs>
                <w:tab w:val="clear" w:pos="4153"/>
                <w:tab w:val="clear" w:pos="8306"/>
              </w:tabs>
              <w:contextualSpacing/>
              <w:jc w:val="both"/>
              <w:rPr>
                <w:rFonts w:ascii="Calibri" w:hAnsi="Calibri"/>
                <w:b/>
                <w:szCs w:val="22"/>
              </w:rPr>
            </w:pPr>
          </w:p>
        </w:tc>
      </w:tr>
      <w:tr w:rsidR="00AF1E71"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AF1E71" w:rsidRPr="00D2449B" w:rsidRDefault="00AF1E71" w:rsidP="00AF1E71">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D96E078" w:rsidR="00AF1E71" w:rsidRPr="00D2449B" w:rsidRDefault="00AF1E71" w:rsidP="00AF1E71">
            <w:pPr>
              <w:rPr>
                <w:rFonts w:ascii="Calibri" w:hAnsi="Calibri"/>
                <w:bCs/>
                <w:szCs w:val="22"/>
              </w:rPr>
            </w:pPr>
            <w:r w:rsidRPr="009F4443">
              <w:rPr>
                <w:rFonts w:asciiTheme="minorHAnsi" w:hAnsiTheme="minorHAnsi"/>
                <w:bCs/>
                <w:szCs w:val="22"/>
              </w:rPr>
              <w:t xml:space="preserve">That </w:t>
            </w:r>
            <w:r w:rsidR="002C512B">
              <w:rPr>
                <w:rFonts w:asciiTheme="minorHAnsi" w:hAnsiTheme="minorHAnsi"/>
                <w:bCs/>
                <w:szCs w:val="22"/>
              </w:rPr>
              <w:t>advertisement</w:t>
            </w:r>
            <w:r w:rsidRPr="009F4443">
              <w:rPr>
                <w:rFonts w:asciiTheme="minorHAnsi" w:hAnsiTheme="minorHAnsi"/>
                <w:bCs/>
                <w:szCs w:val="22"/>
              </w:rPr>
              <w:t xml:space="preserve"> consent be </w:t>
            </w:r>
            <w:r>
              <w:rPr>
                <w:rFonts w:asciiTheme="minorHAnsi" w:hAnsiTheme="minorHAnsi"/>
                <w:bCs/>
                <w:szCs w:val="22"/>
              </w:rPr>
              <w:t>granted subject to the imposition of conditions.</w:t>
            </w:r>
          </w:p>
        </w:tc>
      </w:tr>
    </w:tbl>
    <w:p w14:paraId="513FB541" w14:textId="77777777" w:rsidR="00D47F8C" w:rsidRPr="00D2449B" w:rsidRDefault="00D47F8C">
      <w:pPr>
        <w:rPr>
          <w:rFonts w:ascii="Calibri" w:hAnsi="Calibri"/>
          <w:szCs w:val="22"/>
        </w:rPr>
      </w:pPr>
    </w:p>
    <w:sectPr w:rsidR="00D47F8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789C"/>
    <w:multiLevelType w:val="hybridMultilevel"/>
    <w:tmpl w:val="9DC0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31930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6C10"/>
    <w:rsid w:val="000B5CB5"/>
    <w:rsid w:val="00130035"/>
    <w:rsid w:val="001C5D7D"/>
    <w:rsid w:val="001D4F7A"/>
    <w:rsid w:val="002171ED"/>
    <w:rsid w:val="00227D8A"/>
    <w:rsid w:val="00250879"/>
    <w:rsid w:val="00282E3A"/>
    <w:rsid w:val="0029334A"/>
    <w:rsid w:val="002954E5"/>
    <w:rsid w:val="002A01CF"/>
    <w:rsid w:val="002C512B"/>
    <w:rsid w:val="002C6277"/>
    <w:rsid w:val="002F2580"/>
    <w:rsid w:val="00302C49"/>
    <w:rsid w:val="00321B6E"/>
    <w:rsid w:val="00346565"/>
    <w:rsid w:val="0039334D"/>
    <w:rsid w:val="003F167D"/>
    <w:rsid w:val="00440CB6"/>
    <w:rsid w:val="0046548C"/>
    <w:rsid w:val="004947BB"/>
    <w:rsid w:val="00497407"/>
    <w:rsid w:val="004A5EA9"/>
    <w:rsid w:val="004B4329"/>
    <w:rsid w:val="004C2434"/>
    <w:rsid w:val="004F0649"/>
    <w:rsid w:val="00510FA2"/>
    <w:rsid w:val="00517FB4"/>
    <w:rsid w:val="00556ECD"/>
    <w:rsid w:val="005E1C6C"/>
    <w:rsid w:val="005E65DF"/>
    <w:rsid w:val="00692B60"/>
    <w:rsid w:val="006A71AD"/>
    <w:rsid w:val="006C2BFA"/>
    <w:rsid w:val="006F2579"/>
    <w:rsid w:val="006F6849"/>
    <w:rsid w:val="0070054B"/>
    <w:rsid w:val="00715D43"/>
    <w:rsid w:val="00761D2C"/>
    <w:rsid w:val="00773A66"/>
    <w:rsid w:val="00774777"/>
    <w:rsid w:val="00776AE2"/>
    <w:rsid w:val="00795297"/>
    <w:rsid w:val="007B7D44"/>
    <w:rsid w:val="007C791C"/>
    <w:rsid w:val="007D7DF4"/>
    <w:rsid w:val="007E0D23"/>
    <w:rsid w:val="007F16D6"/>
    <w:rsid w:val="00811771"/>
    <w:rsid w:val="00824DB6"/>
    <w:rsid w:val="00837F4F"/>
    <w:rsid w:val="008542DE"/>
    <w:rsid w:val="008A28C8"/>
    <w:rsid w:val="008C51A0"/>
    <w:rsid w:val="009006E3"/>
    <w:rsid w:val="009A0481"/>
    <w:rsid w:val="009A6564"/>
    <w:rsid w:val="009F4443"/>
    <w:rsid w:val="00A42E82"/>
    <w:rsid w:val="00A579BB"/>
    <w:rsid w:val="00A63D55"/>
    <w:rsid w:val="00A95D89"/>
    <w:rsid w:val="00AF1E71"/>
    <w:rsid w:val="00B848DD"/>
    <w:rsid w:val="00B93EB5"/>
    <w:rsid w:val="00BD3F03"/>
    <w:rsid w:val="00C0704D"/>
    <w:rsid w:val="00C25722"/>
    <w:rsid w:val="00C618DB"/>
    <w:rsid w:val="00D11007"/>
    <w:rsid w:val="00D17EB1"/>
    <w:rsid w:val="00D2449B"/>
    <w:rsid w:val="00D47F8C"/>
    <w:rsid w:val="00D54E67"/>
    <w:rsid w:val="00DD62F6"/>
    <w:rsid w:val="00E46243"/>
    <w:rsid w:val="00E66534"/>
    <w:rsid w:val="00E72F6C"/>
    <w:rsid w:val="00E80C71"/>
    <w:rsid w:val="00EA09F9"/>
    <w:rsid w:val="00EC23C7"/>
    <w:rsid w:val="00ED00B7"/>
    <w:rsid w:val="00EF44E6"/>
    <w:rsid w:val="00F056A7"/>
    <w:rsid w:val="00F273F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38D5F0AB-1259-4763-B4F2-C5D76771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dc:description/>
  <cp:lastModifiedBy>Lesley Lund</cp:lastModifiedBy>
  <cp:revision>2</cp:revision>
  <cp:lastPrinted>2023-10-26T15:13:00Z</cp:lastPrinted>
  <dcterms:created xsi:type="dcterms:W3CDTF">2023-10-26T15:25:00Z</dcterms:created>
  <dcterms:modified xsi:type="dcterms:W3CDTF">2023-10-26T15:25:00Z</dcterms:modified>
</cp:coreProperties>
</file>