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670"/>
        <w:gridCol w:w="1134"/>
        <w:gridCol w:w="1287"/>
      </w:tblGrid>
      <w:tr w:rsidR="004A5EA9" w:rsidRPr="00D2449B" w14:paraId="230E00AF" w14:textId="77777777" w:rsidTr="00FA2263">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A226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88EB7D" w:rsidR="00837F4F" w:rsidRPr="00D2449B" w:rsidRDefault="001338D6"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290F1FE" w:rsidR="00837F4F" w:rsidRPr="00D2449B" w:rsidRDefault="004C2641" w:rsidP="00D2449B">
            <w:pPr>
              <w:jc w:val="center"/>
              <w:rPr>
                <w:rFonts w:ascii="Calibri" w:hAnsi="Calibri"/>
                <w:b/>
                <w:szCs w:val="22"/>
              </w:rPr>
            </w:pPr>
            <w:r>
              <w:rPr>
                <w:rFonts w:ascii="Calibri" w:hAnsi="Calibri"/>
                <w:b/>
                <w:szCs w:val="22"/>
              </w:rPr>
              <w:t>19/09/2023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FF3F851" w:rsidR="00837F4F" w:rsidRPr="00D2449B" w:rsidRDefault="00FA2263"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9EBE9A7" w:rsidR="00837F4F" w:rsidRPr="00D2449B" w:rsidRDefault="00FA2263" w:rsidP="00D2449B">
            <w:pPr>
              <w:jc w:val="center"/>
              <w:rPr>
                <w:rFonts w:ascii="Calibri" w:hAnsi="Calibri"/>
                <w:b/>
                <w:szCs w:val="22"/>
              </w:rPr>
            </w:pPr>
            <w:r>
              <w:rPr>
                <w:rFonts w:ascii="Calibri" w:hAnsi="Calibri"/>
                <w:b/>
                <w:szCs w:val="22"/>
              </w:rPr>
              <w:t>19/09/23</w:t>
            </w:r>
          </w:p>
        </w:tc>
      </w:tr>
      <w:tr w:rsidR="004A5EA9" w:rsidRPr="00D2449B" w14:paraId="2094A164" w14:textId="77777777" w:rsidTr="00FA2263">
        <w:trPr>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A226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1528416" w:rsidR="004A5EA9" w:rsidRPr="00250879" w:rsidRDefault="001338D6" w:rsidP="008542DE">
            <w:pPr>
              <w:rPr>
                <w:rFonts w:ascii="Calibri" w:hAnsi="Calibri"/>
                <w:color w:val="548DD4" w:themeColor="text2" w:themeTint="99"/>
                <w:szCs w:val="22"/>
              </w:rPr>
            </w:pPr>
            <w:r>
              <w:rPr>
                <w:rFonts w:ascii="Calibri" w:hAnsi="Calibri"/>
                <w:color w:val="548DD4" w:themeColor="text2" w:themeTint="99"/>
                <w:szCs w:val="22"/>
              </w:rPr>
              <w:t>3/2023/</w:t>
            </w:r>
            <w:r w:rsidR="00E9687F">
              <w:rPr>
                <w:rFonts w:ascii="Calibri" w:hAnsi="Calibri"/>
                <w:color w:val="548DD4" w:themeColor="text2" w:themeTint="99"/>
                <w:szCs w:val="22"/>
              </w:rPr>
              <w:t>06</w:t>
            </w:r>
            <w:r w:rsidR="00511BEE">
              <w:rPr>
                <w:rFonts w:ascii="Calibri" w:hAnsi="Calibri"/>
                <w:color w:val="548DD4" w:themeColor="text2" w:themeTint="99"/>
                <w:szCs w:val="22"/>
              </w:rPr>
              <w:t>56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A226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D9FE2B7" w:rsidR="00824DB6" w:rsidRPr="00C0704D" w:rsidRDefault="001338D6" w:rsidP="002C6277">
            <w:pPr>
              <w:rPr>
                <w:rFonts w:ascii="Calibri" w:hAnsi="Calibri"/>
                <w:szCs w:val="22"/>
              </w:rPr>
            </w:pPr>
            <w:r>
              <w:rPr>
                <w:rFonts w:ascii="Calibri" w:hAnsi="Calibri"/>
                <w:szCs w:val="22"/>
              </w:rPr>
              <w:t>N/A</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CA3E9BA" w:rsidR="00824DB6" w:rsidRPr="00C0704D" w:rsidRDefault="001338D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A226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387778F" w:rsidR="004A5EA9" w:rsidRPr="00250879" w:rsidRDefault="001338D6"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A2263">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FA2263">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A226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9AB9EB4" w:rsidR="004A5EA9" w:rsidRPr="002C6277" w:rsidRDefault="001338D6">
            <w:pPr>
              <w:rPr>
                <w:rFonts w:ascii="Calibri" w:hAnsi="Calibri"/>
                <w:szCs w:val="22"/>
              </w:rPr>
            </w:pPr>
            <w:r>
              <w:rPr>
                <w:rFonts w:ascii="Calibri" w:hAnsi="Calibri"/>
                <w:szCs w:val="22"/>
              </w:rPr>
              <w:t xml:space="preserve">Prior </w:t>
            </w:r>
            <w:r w:rsidR="00511BEE">
              <w:rPr>
                <w:rFonts w:ascii="Calibri" w:hAnsi="Calibri"/>
                <w:szCs w:val="22"/>
              </w:rPr>
              <w:t xml:space="preserve">approval </w:t>
            </w:r>
            <w:r>
              <w:rPr>
                <w:rFonts w:ascii="Calibri" w:hAnsi="Calibri"/>
                <w:szCs w:val="22"/>
              </w:rPr>
              <w:t>for a proposed single storey extension to</w:t>
            </w:r>
            <w:r w:rsidR="00E9687F">
              <w:rPr>
                <w:rFonts w:ascii="Calibri" w:hAnsi="Calibri"/>
                <w:szCs w:val="22"/>
              </w:rPr>
              <w:t xml:space="preserve"> rear </w:t>
            </w:r>
            <w:r w:rsidR="00511BEE">
              <w:rPr>
                <w:rFonts w:ascii="Calibri" w:hAnsi="Calibri"/>
                <w:szCs w:val="22"/>
              </w:rPr>
              <w:t>3.8</w:t>
            </w:r>
            <w:r w:rsidR="00E9687F">
              <w:rPr>
                <w:rFonts w:ascii="Calibri" w:hAnsi="Calibri"/>
                <w:szCs w:val="22"/>
              </w:rPr>
              <w:t>m long,</w:t>
            </w:r>
            <w:r w:rsidR="00511BEE">
              <w:rPr>
                <w:rFonts w:ascii="Calibri" w:hAnsi="Calibri"/>
                <w:szCs w:val="22"/>
              </w:rPr>
              <w:t xml:space="preserve"> 2.8</w:t>
            </w:r>
            <w:r w:rsidR="00E9687F">
              <w:rPr>
                <w:rFonts w:ascii="Calibri" w:hAnsi="Calibri"/>
                <w:szCs w:val="22"/>
              </w:rPr>
              <w:t>m high (max) 2.</w:t>
            </w:r>
            <w:r w:rsidR="00511BEE">
              <w:rPr>
                <w:rFonts w:ascii="Calibri" w:hAnsi="Calibri"/>
                <w:szCs w:val="22"/>
              </w:rPr>
              <w:t>8</w:t>
            </w:r>
            <w:r w:rsidR="00E9687F">
              <w:rPr>
                <w:rFonts w:ascii="Calibri" w:hAnsi="Calibri"/>
                <w:szCs w:val="22"/>
              </w:rPr>
              <w:t xml:space="preserve">m high to eaves. </w:t>
            </w:r>
            <w:r>
              <w:rPr>
                <w:rFonts w:ascii="Calibri" w:hAnsi="Calibri"/>
                <w:szCs w:val="22"/>
              </w:rPr>
              <w:t xml:space="preserve"> </w:t>
            </w:r>
          </w:p>
        </w:tc>
      </w:tr>
      <w:tr w:rsidR="002A01CF" w:rsidRPr="00D2449B" w14:paraId="52988241" w14:textId="77777777" w:rsidTr="00FA226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CF89812" w:rsidR="002A01CF" w:rsidRPr="002C6277" w:rsidRDefault="00511BEE" w:rsidP="00A42E82">
            <w:pPr>
              <w:rPr>
                <w:rFonts w:ascii="Calibri" w:hAnsi="Calibri"/>
                <w:szCs w:val="22"/>
              </w:rPr>
            </w:pPr>
            <w:r>
              <w:rPr>
                <w:rFonts w:ascii="Calibri" w:hAnsi="Calibri"/>
                <w:szCs w:val="22"/>
              </w:rPr>
              <w:t>30 Hall Street</w:t>
            </w:r>
            <w:r w:rsidR="00E9687F">
              <w:rPr>
                <w:rFonts w:ascii="Calibri" w:hAnsi="Calibri"/>
                <w:szCs w:val="22"/>
              </w:rPr>
              <w:t xml:space="preserve"> Clitheroe BB7 2LX</w:t>
            </w:r>
          </w:p>
        </w:tc>
      </w:tr>
      <w:tr w:rsidR="00A95D89" w:rsidRPr="00D2449B" w14:paraId="3FB99B2E" w14:textId="77777777" w:rsidTr="00FA2263">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A226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A2263">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062E323" w:rsidR="002A01CF" w:rsidRPr="001338D6" w:rsidRDefault="001338D6">
            <w:pPr>
              <w:rPr>
                <w:rFonts w:ascii="Calibri" w:hAnsi="Calibri"/>
                <w:bCs/>
                <w:szCs w:val="22"/>
              </w:rPr>
            </w:pPr>
            <w:r w:rsidRPr="001338D6">
              <w:rPr>
                <w:rFonts w:ascii="Calibri" w:hAnsi="Calibri"/>
                <w:bCs/>
                <w:szCs w:val="22"/>
              </w:rPr>
              <w:t xml:space="preserve">No comments received. </w:t>
            </w:r>
          </w:p>
        </w:tc>
      </w:tr>
      <w:tr w:rsidR="00C618DB" w:rsidRPr="00D2449B" w14:paraId="639E958B" w14:textId="77777777" w:rsidTr="00FA2263">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A226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A226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E0196B" w:rsidR="002A01CF" w:rsidRPr="00D2449B" w:rsidRDefault="001338D6">
            <w:pPr>
              <w:rPr>
                <w:rFonts w:ascii="Calibri" w:hAnsi="Calibri"/>
                <w:b/>
                <w:szCs w:val="22"/>
              </w:rPr>
            </w:pPr>
            <w:r>
              <w:rPr>
                <w:rFonts w:ascii="Calibri" w:hAnsi="Calibri"/>
                <w:b/>
                <w:szCs w:val="22"/>
              </w:rPr>
              <w:t>N/A</w:t>
            </w:r>
          </w:p>
        </w:tc>
      </w:tr>
      <w:tr w:rsidR="00C0704D" w:rsidRPr="00D2449B" w14:paraId="62663AAF" w14:textId="77777777" w:rsidTr="00FA2263">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A226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A2263">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82BB7F" w:rsidR="00C0704D" w:rsidRPr="00C0704D" w:rsidRDefault="001338D6"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A2263">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A2263">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A2263">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81F008" w14:textId="77777777" w:rsidR="001338D6" w:rsidRDefault="001338D6" w:rsidP="001338D6">
            <w:pPr>
              <w:jc w:val="both"/>
              <w:rPr>
                <w:rFonts w:ascii="Calibri" w:hAnsi="Calibri"/>
                <w:szCs w:val="22"/>
              </w:rPr>
            </w:pPr>
          </w:p>
          <w:p w14:paraId="29E229DD" w14:textId="77777777" w:rsidR="001338D6" w:rsidRDefault="001338D6" w:rsidP="001338D6">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6C4C318E" w14:textId="77777777" w:rsidR="008542DE" w:rsidRPr="00D2449B" w:rsidRDefault="008542DE" w:rsidP="001338D6">
            <w:pPr>
              <w:rPr>
                <w:rFonts w:ascii="Calibri" w:hAnsi="Calibri"/>
                <w:b/>
                <w:szCs w:val="22"/>
              </w:rPr>
            </w:pPr>
          </w:p>
        </w:tc>
      </w:tr>
      <w:tr w:rsidR="00C0704D" w:rsidRPr="00D2449B" w14:paraId="08181FD6" w14:textId="77777777" w:rsidTr="00FA2263">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F1115A1" w:rsidR="0046548C" w:rsidRPr="001F3D94" w:rsidRDefault="00135A87" w:rsidP="00C0704D">
            <w:pPr>
              <w:pStyle w:val="PLANNING"/>
              <w:rPr>
                <w:rFonts w:ascii="Calibri" w:hAnsi="Calibri"/>
                <w:szCs w:val="22"/>
              </w:rPr>
            </w:pPr>
            <w:r>
              <w:rPr>
                <w:rFonts w:ascii="Calibri" w:hAnsi="Calibri"/>
                <w:szCs w:val="22"/>
              </w:rPr>
              <w:t xml:space="preserve">No relevant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A2263">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A2263">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A2263">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69DEE23" w14:textId="07D05CC8" w:rsidR="00671FD7" w:rsidRDefault="00EE6333" w:rsidP="00E9687F">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end terrace property in the defined settlement boundary of Clitheroe. The surrounding area is primarily residential and the dwelling itself is not sited on any designated land. </w:t>
            </w:r>
          </w:p>
          <w:p w14:paraId="62370E9F" w14:textId="571A216A" w:rsidR="00EE6333" w:rsidRPr="006C2BFA" w:rsidRDefault="00EE6333" w:rsidP="00E9687F">
            <w:pPr>
              <w:pStyle w:val="Header"/>
              <w:tabs>
                <w:tab w:val="clear" w:pos="4153"/>
                <w:tab w:val="clear" w:pos="8306"/>
              </w:tabs>
              <w:contextualSpacing/>
              <w:jc w:val="both"/>
              <w:rPr>
                <w:rFonts w:ascii="Calibri" w:hAnsi="Calibri"/>
                <w:bCs/>
                <w:szCs w:val="22"/>
              </w:rPr>
            </w:pPr>
          </w:p>
        </w:tc>
      </w:tr>
      <w:tr w:rsidR="00C0704D" w:rsidRPr="00D2449B" w14:paraId="408C6380" w14:textId="77777777" w:rsidTr="00FA2263">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AEA6F5A" w14:textId="77777777" w:rsidR="00C0704D" w:rsidRDefault="00671FD7" w:rsidP="002F2580">
            <w:pPr>
              <w:rPr>
                <w:rFonts w:ascii="Calibri" w:hAnsi="Calibri"/>
                <w:szCs w:val="22"/>
              </w:rPr>
            </w:pPr>
            <w:r>
              <w:rPr>
                <w:rFonts w:ascii="Calibri" w:hAnsi="Calibri"/>
                <w:szCs w:val="22"/>
              </w:rPr>
              <w:t xml:space="preserve">The application seeks to determine whether the proposed rear single storey extension falls under the realm of permitted development or whether full planning consent is required. </w:t>
            </w:r>
          </w:p>
          <w:p w14:paraId="1B20488F" w14:textId="0E6DF205" w:rsidR="00671FD7" w:rsidRPr="00D54E67" w:rsidRDefault="00671FD7" w:rsidP="002F2580">
            <w:pPr>
              <w:rPr>
                <w:rFonts w:ascii="Calibri" w:hAnsi="Calibri"/>
                <w:szCs w:val="22"/>
              </w:rPr>
            </w:pPr>
          </w:p>
        </w:tc>
      </w:tr>
      <w:tr w:rsidR="0046548C" w:rsidRPr="00D2449B" w14:paraId="06BBE02F" w14:textId="77777777" w:rsidTr="00FA2263">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6B407A6" w14:textId="77777777" w:rsidR="001338D6" w:rsidRPr="00701EF8" w:rsidRDefault="001338D6" w:rsidP="001338D6">
            <w:pPr>
              <w:contextualSpacing/>
              <w:jc w:val="both"/>
              <w:rPr>
                <w:rFonts w:ascii="Calibri" w:hAnsi="Calibri"/>
                <w:bCs/>
                <w:szCs w:val="22"/>
              </w:rPr>
            </w:pPr>
            <w:r w:rsidRPr="00701EF8">
              <w:rPr>
                <w:rFonts w:ascii="Calibri" w:hAnsi="Calibri"/>
                <w:bCs/>
                <w:szCs w:val="22"/>
              </w:rPr>
              <w:lastRenderedPageBreak/>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439631F6" w14:textId="77777777" w:rsidR="001338D6" w:rsidRDefault="001338D6" w:rsidP="001338D6">
            <w:pPr>
              <w:contextualSpacing/>
              <w:jc w:val="both"/>
              <w:rPr>
                <w:rFonts w:ascii="Calibri" w:hAnsi="Calibri"/>
                <w:bCs/>
                <w:szCs w:val="22"/>
              </w:rPr>
            </w:pPr>
          </w:p>
          <w:p w14:paraId="74078F38" w14:textId="77777777" w:rsidR="001338D6" w:rsidRPr="00942B2F" w:rsidRDefault="001338D6" w:rsidP="001338D6">
            <w:pPr>
              <w:contextualSpacing/>
              <w:jc w:val="both"/>
              <w:rPr>
                <w:rFonts w:ascii="Calibri" w:hAnsi="Calibri"/>
                <w:b/>
                <w:bCs/>
                <w:szCs w:val="22"/>
              </w:rPr>
            </w:pPr>
            <w:r w:rsidRPr="00701EF8">
              <w:rPr>
                <w:rFonts w:ascii="Calibri" w:hAnsi="Calibri"/>
                <w:bCs/>
                <w:szCs w:val="22"/>
              </w:rPr>
              <w:t>In some circumstances local planning authorities can suspend permitted development rights in their area. Local planning authorities have powers under Article 4 of the Town and Country Planning (General Permitted Development) Order 2015 to remove permitted development</w:t>
            </w:r>
            <w:r w:rsidRPr="00701EF8">
              <w:rPr>
                <w:rFonts w:ascii="Calibri" w:hAnsi="Calibri"/>
                <w:b/>
                <w:bCs/>
                <w:szCs w:val="22"/>
              </w:rPr>
              <w:t xml:space="preserve"> </w:t>
            </w:r>
            <w:r w:rsidRPr="00701EF8">
              <w:rPr>
                <w:rFonts w:ascii="Calibri" w:hAnsi="Calibri"/>
                <w:bCs/>
                <w:szCs w:val="22"/>
              </w:rPr>
              <w:t>rights. While article 4 directions are confirmed by local planning authorities, the Secretary of State must be</w:t>
            </w:r>
            <w:r w:rsidRPr="00701EF8">
              <w:rPr>
                <w:rFonts w:ascii="Calibri" w:hAnsi="Calibri"/>
                <w:b/>
                <w:bCs/>
                <w:szCs w:val="22"/>
              </w:rPr>
              <w:t xml:space="preserve"> </w:t>
            </w:r>
            <w:r w:rsidRPr="00701EF8">
              <w:rPr>
                <w:rFonts w:ascii="Calibri" w:hAnsi="Calibri"/>
                <w:bCs/>
                <w:szCs w:val="22"/>
              </w:rPr>
              <w:t>notified, and has wide powers to modify or cancel most article 4 directions.</w:t>
            </w:r>
          </w:p>
          <w:p w14:paraId="610E43EA" w14:textId="77777777" w:rsidR="001338D6" w:rsidRPr="00942B2F" w:rsidRDefault="001338D6" w:rsidP="001338D6">
            <w:pPr>
              <w:pStyle w:val="Header"/>
              <w:contextualSpacing/>
              <w:jc w:val="both"/>
              <w:rPr>
                <w:rFonts w:ascii="Calibri" w:hAnsi="Calibri"/>
                <w:szCs w:val="22"/>
              </w:rPr>
            </w:pPr>
          </w:p>
          <w:p w14:paraId="7B50497C" w14:textId="77777777" w:rsidR="001338D6" w:rsidRPr="00D31BA1" w:rsidRDefault="001338D6" w:rsidP="001338D6">
            <w:pPr>
              <w:pStyle w:val="Header"/>
              <w:contextualSpacing/>
              <w:jc w:val="both"/>
              <w:rPr>
                <w:rFonts w:ascii="Calibri" w:hAnsi="Calibri"/>
                <w:szCs w:val="22"/>
                <w:u w:val="single"/>
              </w:rPr>
            </w:pPr>
            <w:r w:rsidRPr="00D31BA1">
              <w:rPr>
                <w:rFonts w:ascii="Calibri" w:hAnsi="Calibri"/>
                <w:szCs w:val="22"/>
                <w:u w:val="single"/>
              </w:rPr>
              <w:t>A.1 Development is not permitted by Class A if:</w:t>
            </w:r>
          </w:p>
          <w:p w14:paraId="52202650" w14:textId="77777777" w:rsidR="001338D6" w:rsidRPr="00942B2F" w:rsidRDefault="001338D6" w:rsidP="001338D6">
            <w:pPr>
              <w:pStyle w:val="Header"/>
              <w:contextualSpacing/>
              <w:jc w:val="both"/>
              <w:rPr>
                <w:rFonts w:ascii="Calibri" w:hAnsi="Calibri"/>
                <w:szCs w:val="22"/>
              </w:rPr>
            </w:pPr>
          </w:p>
          <w:p w14:paraId="366AA61A"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(a) permission to use the dwellinghouse as a dwellinghouse has been granted only by virtue</w:t>
            </w:r>
          </w:p>
          <w:p w14:paraId="34730186"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of Class M, N, P or Q of Part 3 of this Schedule (changes of use);</w:t>
            </w:r>
          </w:p>
          <w:p w14:paraId="3B0E2F7F" w14:textId="77777777" w:rsidR="001338D6" w:rsidRPr="00942B2F" w:rsidRDefault="001338D6" w:rsidP="001338D6">
            <w:pPr>
              <w:pStyle w:val="Header"/>
              <w:contextualSpacing/>
              <w:jc w:val="both"/>
              <w:rPr>
                <w:rFonts w:ascii="Calibri" w:hAnsi="Calibri"/>
                <w:szCs w:val="22"/>
              </w:rPr>
            </w:pPr>
          </w:p>
          <w:p w14:paraId="2A40EF5C"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Permission for use as a dwellinghouse was not granted by virtue if Class M, N, P or Q of Part 3.</w:t>
            </w:r>
          </w:p>
          <w:p w14:paraId="182B5632" w14:textId="77777777" w:rsidR="001338D6" w:rsidRPr="00942B2F" w:rsidRDefault="001338D6" w:rsidP="001338D6">
            <w:pPr>
              <w:pStyle w:val="Header"/>
              <w:contextualSpacing/>
              <w:jc w:val="both"/>
              <w:rPr>
                <w:rFonts w:ascii="Calibri" w:hAnsi="Calibri"/>
                <w:szCs w:val="22"/>
              </w:rPr>
            </w:pPr>
          </w:p>
          <w:p w14:paraId="5196715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1387D547" w14:textId="77777777" w:rsidR="001338D6" w:rsidRPr="00942B2F" w:rsidRDefault="001338D6" w:rsidP="001338D6">
            <w:pPr>
              <w:pStyle w:val="Header"/>
              <w:contextualSpacing/>
              <w:jc w:val="both"/>
              <w:rPr>
                <w:rFonts w:ascii="Calibri" w:hAnsi="Calibri"/>
                <w:szCs w:val="22"/>
              </w:rPr>
            </w:pPr>
          </w:p>
          <w:p w14:paraId="5D0DCC20"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The </w:t>
            </w:r>
            <w:r>
              <w:rPr>
                <w:rFonts w:ascii="Calibri" w:hAnsi="Calibri"/>
                <w:b/>
                <w:szCs w:val="22"/>
              </w:rPr>
              <w:t>proposed</w:t>
            </w:r>
            <w:r w:rsidRPr="00942B2F">
              <w:rPr>
                <w:rFonts w:ascii="Calibri" w:hAnsi="Calibri"/>
                <w:b/>
                <w:szCs w:val="22"/>
              </w:rPr>
              <w:t xml:space="preserve"> extension would not exceed 50% of the total area of curtilage of the property.</w:t>
            </w:r>
          </w:p>
          <w:p w14:paraId="755CBE77" w14:textId="77777777" w:rsidR="001338D6" w:rsidRPr="00942B2F" w:rsidRDefault="001338D6" w:rsidP="001338D6">
            <w:pPr>
              <w:pStyle w:val="Header"/>
              <w:contextualSpacing/>
              <w:jc w:val="both"/>
              <w:rPr>
                <w:rFonts w:ascii="Calibri" w:hAnsi="Calibri"/>
                <w:szCs w:val="22"/>
              </w:rPr>
            </w:pPr>
          </w:p>
          <w:p w14:paraId="0203C91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(c) the height of the part of the dwelling house enlarged, improved or altered would exceed the height of the highest part of the roof of the existing dwelling house;</w:t>
            </w:r>
          </w:p>
          <w:p w14:paraId="6645C2D4" w14:textId="77777777" w:rsidR="001338D6" w:rsidRPr="00942B2F" w:rsidRDefault="001338D6" w:rsidP="001338D6">
            <w:pPr>
              <w:pStyle w:val="Header"/>
              <w:contextualSpacing/>
              <w:jc w:val="both"/>
              <w:rPr>
                <w:rFonts w:ascii="Calibri" w:hAnsi="Calibri"/>
                <w:szCs w:val="22"/>
              </w:rPr>
            </w:pPr>
          </w:p>
          <w:p w14:paraId="1D50328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proposed extension w</w:t>
            </w:r>
            <w:r>
              <w:rPr>
                <w:rFonts w:ascii="Calibri" w:hAnsi="Calibri"/>
                <w:b/>
                <w:szCs w:val="22"/>
              </w:rPr>
              <w:t>ould</w:t>
            </w:r>
            <w:r w:rsidRPr="00942B2F">
              <w:rPr>
                <w:rFonts w:ascii="Calibri" w:hAnsi="Calibri"/>
                <w:b/>
                <w:szCs w:val="22"/>
              </w:rPr>
              <w:t xml:space="preserve"> not exceed the height of the existing dwelling.</w:t>
            </w:r>
          </w:p>
          <w:p w14:paraId="28B065E0" w14:textId="77777777" w:rsidR="001338D6" w:rsidRPr="00942B2F" w:rsidRDefault="001338D6" w:rsidP="001338D6">
            <w:pPr>
              <w:pStyle w:val="Header"/>
              <w:contextualSpacing/>
              <w:jc w:val="both"/>
              <w:rPr>
                <w:rFonts w:ascii="Calibri" w:hAnsi="Calibri"/>
                <w:szCs w:val="22"/>
              </w:rPr>
            </w:pPr>
          </w:p>
          <w:p w14:paraId="1241189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(d) the height of the eaves of the part of the dwelling house enlarged or improved or altered would exceed the height of the </w:t>
            </w:r>
            <w:r>
              <w:rPr>
                <w:rFonts w:ascii="Calibri" w:hAnsi="Calibri"/>
                <w:szCs w:val="22"/>
              </w:rPr>
              <w:t xml:space="preserve">eaves of the </w:t>
            </w:r>
            <w:r w:rsidRPr="00942B2F">
              <w:rPr>
                <w:rFonts w:ascii="Calibri" w:hAnsi="Calibri"/>
                <w:szCs w:val="22"/>
              </w:rPr>
              <w:t>existing dwelling house;</w:t>
            </w:r>
          </w:p>
          <w:p w14:paraId="665A41DC" w14:textId="77777777" w:rsidR="001338D6" w:rsidRPr="00942B2F" w:rsidRDefault="001338D6" w:rsidP="001338D6">
            <w:pPr>
              <w:pStyle w:val="Header"/>
              <w:contextualSpacing/>
              <w:jc w:val="both"/>
              <w:rPr>
                <w:rFonts w:ascii="Calibri" w:hAnsi="Calibri"/>
                <w:szCs w:val="22"/>
              </w:rPr>
            </w:pPr>
          </w:p>
          <w:p w14:paraId="2F9D744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eaves of the proposed extension w</w:t>
            </w:r>
            <w:r>
              <w:rPr>
                <w:rFonts w:ascii="Calibri" w:hAnsi="Calibri"/>
                <w:b/>
                <w:szCs w:val="22"/>
              </w:rPr>
              <w:t>ould</w:t>
            </w:r>
            <w:r w:rsidRPr="00942B2F">
              <w:rPr>
                <w:rFonts w:ascii="Calibri" w:hAnsi="Calibri"/>
                <w:b/>
                <w:szCs w:val="22"/>
              </w:rPr>
              <w:t xml:space="preserve"> </w:t>
            </w:r>
            <w:r>
              <w:rPr>
                <w:rFonts w:ascii="Calibri" w:hAnsi="Calibri"/>
                <w:b/>
                <w:szCs w:val="22"/>
              </w:rPr>
              <w:t xml:space="preserve">not </w:t>
            </w:r>
            <w:r w:rsidRPr="00942B2F">
              <w:rPr>
                <w:rFonts w:ascii="Calibri" w:hAnsi="Calibri"/>
                <w:b/>
                <w:szCs w:val="22"/>
              </w:rPr>
              <w:t>exceed the height of the eaves of the existing dwellinghous</w:t>
            </w:r>
            <w:r>
              <w:rPr>
                <w:rFonts w:ascii="Calibri" w:hAnsi="Calibri"/>
                <w:b/>
                <w:szCs w:val="22"/>
              </w:rPr>
              <w:t>e.</w:t>
            </w:r>
          </w:p>
          <w:p w14:paraId="4683B6F1" w14:textId="77777777" w:rsidR="001338D6" w:rsidRPr="00942B2F" w:rsidRDefault="001338D6" w:rsidP="001338D6">
            <w:pPr>
              <w:pStyle w:val="Header"/>
              <w:contextualSpacing/>
              <w:jc w:val="both"/>
              <w:rPr>
                <w:rFonts w:ascii="Calibri" w:hAnsi="Calibri"/>
                <w:szCs w:val="22"/>
              </w:rPr>
            </w:pPr>
          </w:p>
          <w:p w14:paraId="460E16E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(e) the enlarged part of the dwelling house would extend beyond a wall which </w:t>
            </w:r>
            <w:r>
              <w:rPr>
                <w:rFonts w:ascii="Calibri" w:hAnsi="Calibri"/>
                <w:szCs w:val="22"/>
              </w:rPr>
              <w:t>–</w:t>
            </w:r>
            <w:r w:rsidRPr="00942B2F">
              <w:rPr>
                <w:rFonts w:ascii="Calibri" w:hAnsi="Calibri"/>
                <w:szCs w:val="22"/>
              </w:rPr>
              <w:t xml:space="preserve"> </w:t>
            </w:r>
          </w:p>
          <w:p w14:paraId="2590EC6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fronts a highway; and </w:t>
            </w:r>
          </w:p>
          <w:p w14:paraId="43CA723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forms either the principal elevation or a side elevation of the original dwelling house;</w:t>
            </w:r>
          </w:p>
          <w:p w14:paraId="488C0A9C" w14:textId="77777777" w:rsidR="001338D6" w:rsidRPr="00942B2F" w:rsidRDefault="001338D6" w:rsidP="001338D6">
            <w:pPr>
              <w:pStyle w:val="Header"/>
              <w:contextualSpacing/>
              <w:jc w:val="both"/>
              <w:rPr>
                <w:rFonts w:ascii="Calibri" w:hAnsi="Calibri"/>
                <w:szCs w:val="22"/>
              </w:rPr>
            </w:pPr>
          </w:p>
          <w:p w14:paraId="3F7FD4B8"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proposed extension would not extend beyond a wall which is considered to front a highway.</w:t>
            </w:r>
          </w:p>
          <w:p w14:paraId="26106CB7" w14:textId="77777777" w:rsidR="001338D6" w:rsidRPr="00942B2F" w:rsidRDefault="001338D6" w:rsidP="001338D6">
            <w:pPr>
              <w:pStyle w:val="Header"/>
              <w:contextualSpacing/>
              <w:jc w:val="both"/>
              <w:rPr>
                <w:rFonts w:ascii="Calibri" w:hAnsi="Calibri"/>
                <w:szCs w:val="22"/>
              </w:rPr>
            </w:pPr>
          </w:p>
          <w:p w14:paraId="5F276219"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(f) subject to paragraph (g), the enlarged part of the dwelling house would have a single storey and – </w:t>
            </w:r>
          </w:p>
          <w:p w14:paraId="04EB4D1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4 metres in the case of a detached dwelling house or 3 metres in the case of any other dwelling house, or </w:t>
            </w:r>
          </w:p>
          <w:p w14:paraId="51F88C45"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472A2003" w14:textId="77777777" w:rsidR="001338D6" w:rsidRPr="00942B2F" w:rsidRDefault="001338D6" w:rsidP="001338D6">
            <w:pPr>
              <w:pStyle w:val="Header"/>
              <w:contextualSpacing/>
              <w:jc w:val="both"/>
              <w:rPr>
                <w:rFonts w:ascii="Calibri" w:hAnsi="Calibri"/>
                <w:szCs w:val="22"/>
              </w:rPr>
            </w:pPr>
          </w:p>
          <w:p w14:paraId="361AF0FA" w14:textId="77777777" w:rsidR="001338D6" w:rsidRPr="00942B2F" w:rsidRDefault="001338D6" w:rsidP="001338D6">
            <w:pPr>
              <w:pStyle w:val="Header"/>
              <w:contextualSpacing/>
              <w:jc w:val="both"/>
              <w:rPr>
                <w:rFonts w:ascii="Calibri" w:hAnsi="Calibri"/>
                <w:b/>
                <w:szCs w:val="22"/>
              </w:rPr>
            </w:pPr>
            <w:r>
              <w:rPr>
                <w:rFonts w:ascii="Calibri" w:hAnsi="Calibri"/>
                <w:b/>
                <w:szCs w:val="22"/>
              </w:rPr>
              <w:t>N/A</w:t>
            </w:r>
          </w:p>
          <w:p w14:paraId="429B7126" w14:textId="77777777" w:rsidR="001338D6" w:rsidRPr="00942B2F" w:rsidRDefault="001338D6" w:rsidP="001338D6">
            <w:pPr>
              <w:pStyle w:val="Header"/>
              <w:contextualSpacing/>
              <w:jc w:val="both"/>
              <w:rPr>
                <w:rFonts w:ascii="Calibri" w:hAnsi="Calibri"/>
                <w:szCs w:val="22"/>
              </w:rPr>
            </w:pPr>
          </w:p>
          <w:p w14:paraId="60509FD6"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(g) </w:t>
            </w:r>
            <w:r>
              <w:rPr>
                <w:rFonts w:ascii="Calibri" w:hAnsi="Calibri"/>
                <w:szCs w:val="22"/>
              </w:rPr>
              <w:t>F</w:t>
            </w:r>
            <w:r w:rsidRPr="00942B2F">
              <w:rPr>
                <w:rFonts w:ascii="Calibri" w:hAnsi="Calibri"/>
                <w:szCs w:val="22"/>
              </w:rPr>
              <w:t xml:space="preserve">or a dwellinghouse not on article 2(3) land nor on a site of special scientific interest, the enlarged part of the dwellinghouse would have a single storey and — </w:t>
            </w:r>
          </w:p>
          <w:p w14:paraId="1010B734" w14:textId="77777777" w:rsidR="001338D6"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dwellinghouse by more than 8 metres in the case of a detached dwellinghouse, or 6 metres in the case of any other dwellinghouse, or</w:t>
            </w:r>
          </w:p>
          <w:p w14:paraId="6C50ECE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779E3249" w14:textId="77777777" w:rsidR="001338D6" w:rsidRPr="00942B2F" w:rsidRDefault="001338D6" w:rsidP="001338D6">
            <w:pPr>
              <w:pStyle w:val="Header"/>
              <w:contextualSpacing/>
              <w:jc w:val="both"/>
              <w:rPr>
                <w:rFonts w:ascii="Calibri" w:hAnsi="Calibri"/>
                <w:szCs w:val="22"/>
              </w:rPr>
            </w:pPr>
          </w:p>
          <w:p w14:paraId="0AFC13D5" w14:textId="649285C2"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The proposed single storey extension would extend beyond the rear wall of the original dwellinghouse by </w:t>
            </w:r>
            <w:r w:rsidR="00511BEE">
              <w:rPr>
                <w:rFonts w:ascii="Calibri" w:hAnsi="Calibri"/>
                <w:b/>
                <w:szCs w:val="22"/>
              </w:rPr>
              <w:t>3.8</w:t>
            </w:r>
            <w:r>
              <w:rPr>
                <w:rFonts w:ascii="Calibri" w:hAnsi="Calibri"/>
                <w:b/>
                <w:szCs w:val="22"/>
              </w:rPr>
              <w:t xml:space="preserve"> metres</w:t>
            </w:r>
            <w:r w:rsidRPr="00942B2F">
              <w:rPr>
                <w:rFonts w:ascii="Calibri" w:hAnsi="Calibri"/>
                <w:b/>
                <w:szCs w:val="22"/>
              </w:rPr>
              <w:t xml:space="preserve"> and measure </w:t>
            </w:r>
            <w:r w:rsidR="00511BEE">
              <w:rPr>
                <w:rFonts w:ascii="Calibri" w:hAnsi="Calibri"/>
                <w:b/>
                <w:szCs w:val="22"/>
              </w:rPr>
              <w:t>2.8</w:t>
            </w:r>
            <w:r w:rsidR="00E9687F">
              <w:rPr>
                <w:rFonts w:ascii="Calibri" w:hAnsi="Calibri"/>
                <w:b/>
                <w:szCs w:val="22"/>
              </w:rPr>
              <w:t xml:space="preserve"> </w:t>
            </w:r>
            <w:r>
              <w:rPr>
                <w:rFonts w:ascii="Calibri" w:hAnsi="Calibri"/>
                <w:b/>
                <w:szCs w:val="22"/>
              </w:rPr>
              <w:t xml:space="preserve">metres </w:t>
            </w:r>
            <w:r w:rsidRPr="00942B2F">
              <w:rPr>
                <w:rFonts w:ascii="Calibri" w:hAnsi="Calibri"/>
                <w:b/>
                <w:szCs w:val="22"/>
              </w:rPr>
              <w:t>in height.</w:t>
            </w:r>
          </w:p>
          <w:p w14:paraId="4B5B4BC9" w14:textId="77777777" w:rsidR="0046548C" w:rsidRDefault="0046548C" w:rsidP="008542DE">
            <w:pPr>
              <w:pStyle w:val="Header"/>
              <w:tabs>
                <w:tab w:val="clear" w:pos="4153"/>
                <w:tab w:val="clear" w:pos="8306"/>
              </w:tabs>
              <w:contextualSpacing/>
              <w:jc w:val="both"/>
              <w:rPr>
                <w:rFonts w:ascii="Calibri" w:hAnsi="Calibri"/>
                <w:b/>
                <w:szCs w:val="22"/>
              </w:rPr>
            </w:pPr>
          </w:p>
          <w:p w14:paraId="0877352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h) the enlarged part of the dwelling house would have more than one storey and – </w:t>
            </w:r>
          </w:p>
          <w:p w14:paraId="603F493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 house by more than 3 metres, or be within 7 metres of any boundary of the curtilage of the dwelling house opposite the rear wall of the dwelling house;</w:t>
            </w:r>
          </w:p>
          <w:p w14:paraId="76E9F08B" w14:textId="77777777" w:rsidR="001338D6" w:rsidRPr="00942B2F" w:rsidRDefault="001338D6" w:rsidP="001338D6">
            <w:pPr>
              <w:pStyle w:val="Header"/>
              <w:contextualSpacing/>
              <w:jc w:val="both"/>
              <w:rPr>
                <w:rFonts w:ascii="Calibri" w:hAnsi="Calibri"/>
                <w:szCs w:val="22"/>
              </w:rPr>
            </w:pPr>
          </w:p>
          <w:p w14:paraId="07BDEB9A" w14:textId="77777777" w:rsidR="001338D6" w:rsidRDefault="001338D6" w:rsidP="001338D6">
            <w:pPr>
              <w:pStyle w:val="Header"/>
              <w:contextualSpacing/>
              <w:jc w:val="both"/>
              <w:rPr>
                <w:rFonts w:ascii="Calibri" w:hAnsi="Calibri"/>
                <w:b/>
                <w:szCs w:val="22"/>
              </w:rPr>
            </w:pPr>
            <w:r w:rsidRPr="00942B2F">
              <w:rPr>
                <w:rFonts w:ascii="Calibri" w:hAnsi="Calibri"/>
                <w:b/>
                <w:szCs w:val="22"/>
              </w:rPr>
              <w:t>The proposed extension would be single storey.</w:t>
            </w:r>
          </w:p>
          <w:p w14:paraId="1C042407" w14:textId="77777777" w:rsidR="001338D6" w:rsidRDefault="001338D6" w:rsidP="001338D6">
            <w:pPr>
              <w:pStyle w:val="Header"/>
              <w:contextualSpacing/>
              <w:jc w:val="both"/>
              <w:rPr>
                <w:rFonts w:ascii="Calibri" w:hAnsi="Calibri"/>
                <w:b/>
                <w:szCs w:val="22"/>
              </w:rPr>
            </w:pPr>
          </w:p>
          <w:p w14:paraId="65E6D30B"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the enlarged part of the dwelling house would be within 2 metres of the boundary of the curtilage of the dwelling house, and the height of the eaves of the enlarged part would exceed 3 metres;</w:t>
            </w:r>
          </w:p>
          <w:p w14:paraId="633B372B" w14:textId="77777777" w:rsidR="001338D6" w:rsidRPr="00942B2F" w:rsidRDefault="001338D6" w:rsidP="001338D6">
            <w:pPr>
              <w:pStyle w:val="Header"/>
              <w:contextualSpacing/>
              <w:jc w:val="both"/>
              <w:rPr>
                <w:rFonts w:ascii="Calibri" w:hAnsi="Calibri"/>
                <w:szCs w:val="22"/>
              </w:rPr>
            </w:pPr>
          </w:p>
          <w:p w14:paraId="71C05538" w14:textId="2132FD88" w:rsidR="001338D6" w:rsidRDefault="001338D6" w:rsidP="001338D6">
            <w:pPr>
              <w:pStyle w:val="Header"/>
              <w:contextualSpacing/>
              <w:jc w:val="both"/>
              <w:rPr>
                <w:rFonts w:ascii="Calibri" w:hAnsi="Calibri"/>
                <w:b/>
                <w:szCs w:val="22"/>
              </w:rPr>
            </w:pPr>
            <w:r>
              <w:rPr>
                <w:rFonts w:ascii="Calibri" w:hAnsi="Calibri"/>
                <w:b/>
                <w:szCs w:val="22"/>
              </w:rPr>
              <w:t>T</w:t>
            </w:r>
            <w:r w:rsidRPr="00942B2F">
              <w:rPr>
                <w:rFonts w:ascii="Calibri" w:hAnsi="Calibri"/>
                <w:b/>
                <w:szCs w:val="22"/>
              </w:rPr>
              <w:t xml:space="preserve">he proposed single storey extension would </w:t>
            </w:r>
            <w:r>
              <w:rPr>
                <w:rFonts w:ascii="Calibri" w:hAnsi="Calibri"/>
                <w:b/>
                <w:szCs w:val="22"/>
              </w:rPr>
              <w:t>be sited within 2 metres of the boundary of the curtilage but will measure 2.</w:t>
            </w:r>
            <w:r w:rsidR="00511BEE">
              <w:rPr>
                <w:rFonts w:ascii="Calibri" w:hAnsi="Calibri"/>
                <w:b/>
                <w:szCs w:val="22"/>
              </w:rPr>
              <w:t>8</w:t>
            </w:r>
            <w:r>
              <w:rPr>
                <w:rFonts w:ascii="Calibri" w:hAnsi="Calibri"/>
                <w:b/>
                <w:szCs w:val="22"/>
              </w:rPr>
              <w:t xml:space="preserve"> metres in height to the eaves. </w:t>
            </w:r>
          </w:p>
          <w:p w14:paraId="7A92350F" w14:textId="77777777" w:rsidR="001338D6" w:rsidRPr="00750147" w:rsidRDefault="001338D6" w:rsidP="001338D6">
            <w:pPr>
              <w:pStyle w:val="Header"/>
              <w:contextualSpacing/>
              <w:jc w:val="both"/>
              <w:rPr>
                <w:rFonts w:ascii="Calibri" w:hAnsi="Calibri"/>
                <w:b/>
                <w:szCs w:val="22"/>
              </w:rPr>
            </w:pPr>
          </w:p>
          <w:p w14:paraId="560A7A0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(j) the enlarged part of the dwellinghouse would extend beyond a wall forming a side elevation of the original dwellinghouse, and would – </w:t>
            </w:r>
          </w:p>
          <w:p w14:paraId="65128F95" w14:textId="2C151BD5" w:rsidR="001338D6" w:rsidRPr="00CF7ECE" w:rsidRDefault="001338D6" w:rsidP="001338D6">
            <w:pPr>
              <w:pStyle w:val="Header"/>
              <w:contextualSpacing/>
              <w:jc w:val="both"/>
              <w:rPr>
                <w:rFonts w:ascii="Calibri" w:hAnsi="Calibri"/>
                <w:szCs w:val="22"/>
              </w:rPr>
            </w:pPr>
            <w:r w:rsidRPr="00942B2F">
              <w:rPr>
                <w:rFonts w:ascii="Calibri" w:hAnsi="Calibri"/>
                <w:szCs w:val="22"/>
              </w:rPr>
              <w:t xml:space="preserve">(i)  exceed 4 metres in height, </w:t>
            </w:r>
          </w:p>
          <w:p w14:paraId="5CCFA159" w14:textId="40D98455"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have more than one storey, or </w:t>
            </w:r>
          </w:p>
          <w:p w14:paraId="246DAD79" w14:textId="77777777" w:rsidR="001338D6" w:rsidRDefault="001338D6" w:rsidP="001338D6">
            <w:pPr>
              <w:pStyle w:val="Header"/>
              <w:contextualSpacing/>
              <w:jc w:val="both"/>
              <w:rPr>
                <w:rFonts w:ascii="Calibri" w:hAnsi="Calibri"/>
                <w:szCs w:val="22"/>
              </w:rPr>
            </w:pPr>
            <w:r w:rsidRPr="00942B2F">
              <w:rPr>
                <w:rFonts w:ascii="Calibri" w:hAnsi="Calibri"/>
                <w:szCs w:val="22"/>
              </w:rPr>
              <w:t>(i</w:t>
            </w:r>
            <w:r>
              <w:rPr>
                <w:rFonts w:ascii="Calibri" w:hAnsi="Calibri"/>
                <w:szCs w:val="22"/>
              </w:rPr>
              <w:t>ii</w:t>
            </w:r>
            <w:r w:rsidRPr="00942B2F">
              <w:rPr>
                <w:rFonts w:ascii="Calibri" w:hAnsi="Calibri"/>
                <w:szCs w:val="22"/>
              </w:rPr>
              <w:t>)</w:t>
            </w:r>
            <w:r>
              <w:rPr>
                <w:rFonts w:ascii="Calibri" w:hAnsi="Calibri"/>
                <w:szCs w:val="22"/>
              </w:rPr>
              <w:t xml:space="preserve"> </w:t>
            </w:r>
            <w:r w:rsidRPr="00942B2F">
              <w:rPr>
                <w:rFonts w:ascii="Calibri" w:hAnsi="Calibri"/>
                <w:szCs w:val="22"/>
              </w:rPr>
              <w:t xml:space="preserve">have a width greater than half the width of the original dwellinghouse; or </w:t>
            </w:r>
          </w:p>
          <w:p w14:paraId="14113E46" w14:textId="77777777" w:rsidR="001338D6" w:rsidRDefault="001338D6" w:rsidP="001338D6">
            <w:pPr>
              <w:pStyle w:val="Header"/>
              <w:contextualSpacing/>
              <w:jc w:val="both"/>
              <w:rPr>
                <w:rFonts w:ascii="Calibri" w:hAnsi="Calibri"/>
                <w:b/>
                <w:bCs/>
                <w:szCs w:val="22"/>
              </w:rPr>
            </w:pPr>
          </w:p>
          <w:p w14:paraId="252E75C9" w14:textId="77777777" w:rsidR="00CF7ECE" w:rsidRDefault="00CF7ECE" w:rsidP="00CF7ECE">
            <w:pPr>
              <w:pStyle w:val="Header"/>
              <w:contextualSpacing/>
              <w:jc w:val="both"/>
              <w:rPr>
                <w:rFonts w:ascii="Calibri" w:hAnsi="Calibri"/>
                <w:b/>
                <w:bCs/>
                <w:szCs w:val="22"/>
              </w:rPr>
            </w:pPr>
            <w:r>
              <w:rPr>
                <w:rFonts w:ascii="Calibri" w:hAnsi="Calibri"/>
                <w:b/>
                <w:bCs/>
                <w:szCs w:val="22"/>
              </w:rPr>
              <w:t xml:space="preserve">The proposal does not extend beyond a wall forming the side elevation of a dwellinghouse. </w:t>
            </w:r>
          </w:p>
          <w:p w14:paraId="3E8F9406" w14:textId="77777777" w:rsidR="00CF7ECE" w:rsidRPr="00942B2F" w:rsidRDefault="00CF7ECE" w:rsidP="001338D6">
            <w:pPr>
              <w:pStyle w:val="Header"/>
              <w:contextualSpacing/>
              <w:jc w:val="both"/>
              <w:rPr>
                <w:rFonts w:ascii="Calibri" w:hAnsi="Calibri"/>
                <w:szCs w:val="22"/>
              </w:rPr>
            </w:pPr>
          </w:p>
          <w:p w14:paraId="748EC118"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(k) it would consist of or include— </w:t>
            </w:r>
          </w:p>
          <w:p w14:paraId="2392A25E"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  the construction or provision of a veranda, balcony or raised platform, </w:t>
            </w:r>
          </w:p>
          <w:p w14:paraId="4B6BB24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w:t>
            </w:r>
            <w:r>
              <w:rPr>
                <w:rFonts w:ascii="Calibri" w:hAnsi="Calibri"/>
                <w:szCs w:val="22"/>
              </w:rPr>
              <w:t>t</w:t>
            </w:r>
            <w:r w:rsidRPr="00942B2F">
              <w:rPr>
                <w:rFonts w:ascii="Calibri" w:hAnsi="Calibri"/>
                <w:szCs w:val="22"/>
              </w:rPr>
              <w:t>he installation, alteration or replacement of a microwave antenna,</w:t>
            </w:r>
          </w:p>
          <w:p w14:paraId="7DA4697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(iii) the installation, alteration or replacement of a chimney, flue or soil and vent pipe, or</w:t>
            </w:r>
          </w:p>
          <w:p w14:paraId="276E381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an alteration to any part of the roof of the dwellinghouse.</w:t>
            </w:r>
          </w:p>
          <w:p w14:paraId="4A69D58B" w14:textId="77777777" w:rsidR="001338D6" w:rsidRPr="00942B2F" w:rsidRDefault="001338D6" w:rsidP="001338D6">
            <w:pPr>
              <w:pStyle w:val="Header"/>
              <w:contextualSpacing/>
              <w:jc w:val="both"/>
              <w:rPr>
                <w:rFonts w:ascii="Calibri" w:hAnsi="Calibri"/>
                <w:szCs w:val="22"/>
              </w:rPr>
            </w:pPr>
          </w:p>
          <w:p w14:paraId="59320884" w14:textId="77777777" w:rsidR="001338D6" w:rsidRPr="0091080C" w:rsidRDefault="001338D6" w:rsidP="001338D6">
            <w:pPr>
              <w:pStyle w:val="Header"/>
              <w:contextualSpacing/>
              <w:jc w:val="both"/>
              <w:rPr>
                <w:rFonts w:asciiTheme="minorHAnsi" w:hAnsiTheme="minorHAnsi" w:cstheme="minorHAnsi"/>
                <w:b/>
                <w:szCs w:val="22"/>
              </w:rPr>
            </w:pPr>
            <w:r w:rsidRPr="0091080C">
              <w:rPr>
                <w:rFonts w:asciiTheme="minorHAnsi" w:hAnsiTheme="minorHAnsi" w:cstheme="minorHAnsi"/>
                <w:b/>
                <w:szCs w:val="22"/>
              </w:rPr>
              <w:t xml:space="preserve">The proposal does not consist of any of the above criteria. </w:t>
            </w:r>
          </w:p>
          <w:p w14:paraId="6F7D93AE" w14:textId="77777777" w:rsidR="001338D6" w:rsidRPr="0091080C" w:rsidRDefault="001338D6" w:rsidP="001338D6">
            <w:pPr>
              <w:pStyle w:val="Header"/>
              <w:contextualSpacing/>
              <w:jc w:val="both"/>
              <w:rPr>
                <w:rFonts w:asciiTheme="minorHAnsi" w:hAnsiTheme="minorHAnsi" w:cstheme="minorHAnsi"/>
                <w:b/>
                <w:szCs w:val="22"/>
              </w:rPr>
            </w:pPr>
          </w:p>
          <w:p w14:paraId="3F977159" w14:textId="77777777" w:rsidR="001338D6" w:rsidRPr="00D31BA1" w:rsidRDefault="001338D6" w:rsidP="001338D6">
            <w:pPr>
              <w:pStyle w:val="Header"/>
              <w:contextualSpacing/>
              <w:jc w:val="both"/>
              <w:rPr>
                <w:rFonts w:asciiTheme="minorHAnsi" w:hAnsiTheme="minorHAnsi" w:cstheme="minorHAnsi"/>
                <w:u w:val="single"/>
              </w:rPr>
            </w:pPr>
            <w:r w:rsidRPr="00D31BA1">
              <w:rPr>
                <w:rFonts w:asciiTheme="minorHAnsi" w:hAnsiTheme="minorHAnsi" w:cstheme="minorHAnsi"/>
                <w:u w:val="single"/>
              </w:rPr>
              <w:t xml:space="preserve">Conditions A.3 </w:t>
            </w:r>
          </w:p>
          <w:p w14:paraId="2FE435FB" w14:textId="77777777" w:rsidR="001338D6" w:rsidRPr="0091080C" w:rsidRDefault="001338D6" w:rsidP="001338D6">
            <w:pPr>
              <w:pStyle w:val="Header"/>
              <w:contextualSpacing/>
              <w:jc w:val="both"/>
              <w:rPr>
                <w:rFonts w:asciiTheme="minorHAnsi" w:hAnsiTheme="minorHAnsi" w:cstheme="minorHAnsi"/>
              </w:rPr>
            </w:pPr>
          </w:p>
          <w:p w14:paraId="60F79F12" w14:textId="77777777" w:rsidR="001338D6" w:rsidRDefault="001338D6" w:rsidP="001338D6">
            <w:pPr>
              <w:pStyle w:val="Header"/>
              <w:contextualSpacing/>
              <w:jc w:val="both"/>
              <w:rPr>
                <w:rFonts w:asciiTheme="minorHAnsi" w:hAnsiTheme="minorHAnsi" w:cstheme="minorHAnsi"/>
              </w:rPr>
            </w:pPr>
            <w:r w:rsidRPr="0091080C">
              <w:rPr>
                <w:rFonts w:asciiTheme="minorHAnsi" w:hAnsiTheme="minorHAnsi" w:cstheme="minorHAnsi"/>
              </w:rPr>
              <w:t xml:space="preserve">Development is permitted by Class A subject to the following conditions— </w:t>
            </w:r>
          </w:p>
          <w:p w14:paraId="169E5AEB" w14:textId="77777777" w:rsidR="001338D6" w:rsidRPr="0091080C" w:rsidRDefault="001338D6" w:rsidP="001338D6">
            <w:pPr>
              <w:pStyle w:val="Header"/>
              <w:contextualSpacing/>
              <w:jc w:val="both"/>
              <w:rPr>
                <w:rFonts w:asciiTheme="minorHAnsi" w:hAnsiTheme="minorHAnsi" w:cstheme="minorHAnsi"/>
              </w:rPr>
            </w:pPr>
          </w:p>
          <w:p w14:paraId="5412B9FE" w14:textId="77777777" w:rsidR="001338D6" w:rsidRDefault="001338D6" w:rsidP="001338D6">
            <w:pPr>
              <w:pStyle w:val="Header"/>
              <w:contextualSpacing/>
              <w:jc w:val="both"/>
              <w:rPr>
                <w:rFonts w:asciiTheme="minorHAnsi" w:hAnsiTheme="minorHAnsi" w:cstheme="minorHAnsi"/>
              </w:rPr>
            </w:pPr>
            <w:r w:rsidRPr="0091080C">
              <w:rPr>
                <w:rFonts w:asciiTheme="minorHAnsi" w:hAnsiTheme="minorHAnsi" w:cstheme="minorHAnsi"/>
              </w:rPr>
              <w:t>a)</w:t>
            </w:r>
            <w:r>
              <w:rPr>
                <w:rFonts w:asciiTheme="minorHAnsi" w:hAnsiTheme="minorHAnsi" w:cstheme="minorHAnsi"/>
              </w:rPr>
              <w:t xml:space="preserve"> </w:t>
            </w:r>
            <w:r w:rsidRPr="0091080C">
              <w:rPr>
                <w:rFonts w:asciiTheme="minorHAnsi" w:hAnsiTheme="minorHAnsi" w:cstheme="minorHAnsi"/>
              </w:rPr>
              <w:t>the materials used in any exterior work (other than materials used in the construction of a conservatory) must be of a similar appearance to those used in the construction of the exterior of the existing dwellinghouse</w:t>
            </w:r>
          </w:p>
          <w:p w14:paraId="36394BAE" w14:textId="77777777" w:rsidR="00720532" w:rsidRPr="00942B2F" w:rsidRDefault="00720532" w:rsidP="00720532">
            <w:pPr>
              <w:pStyle w:val="Header"/>
              <w:contextualSpacing/>
              <w:jc w:val="both"/>
              <w:rPr>
                <w:rFonts w:ascii="Calibri" w:hAnsi="Calibri"/>
                <w:szCs w:val="22"/>
              </w:rPr>
            </w:pPr>
          </w:p>
          <w:p w14:paraId="32AEAD2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The building is not within a World Heritage Site, a National Park, an </w:t>
            </w:r>
            <w:r>
              <w:rPr>
                <w:rFonts w:ascii="Calibri" w:hAnsi="Calibri"/>
                <w:szCs w:val="22"/>
              </w:rPr>
              <w:t>A</w:t>
            </w:r>
            <w:r w:rsidRPr="00942B2F">
              <w:rPr>
                <w:rFonts w:ascii="Calibri" w:hAnsi="Calibri"/>
                <w:szCs w:val="22"/>
              </w:rPr>
              <w:t xml:space="preserve">rea of </w:t>
            </w:r>
            <w:r>
              <w:rPr>
                <w:rFonts w:ascii="Calibri" w:hAnsi="Calibri"/>
                <w:szCs w:val="22"/>
              </w:rPr>
              <w:t>O</w:t>
            </w:r>
            <w:r w:rsidRPr="00942B2F">
              <w:rPr>
                <w:rFonts w:ascii="Calibri" w:hAnsi="Calibri"/>
                <w:szCs w:val="22"/>
              </w:rPr>
              <w:t xml:space="preserve">utstanding </w:t>
            </w:r>
            <w:r>
              <w:rPr>
                <w:rFonts w:ascii="Calibri" w:hAnsi="Calibri"/>
                <w:szCs w:val="22"/>
              </w:rPr>
              <w:t>N</w:t>
            </w:r>
            <w:r w:rsidRPr="00942B2F">
              <w:rPr>
                <w:rFonts w:ascii="Calibri" w:hAnsi="Calibri"/>
                <w:szCs w:val="22"/>
              </w:rPr>
              <w:t xml:space="preserve">atural </w:t>
            </w:r>
            <w:r>
              <w:rPr>
                <w:rFonts w:ascii="Calibri" w:hAnsi="Calibri"/>
                <w:szCs w:val="22"/>
              </w:rPr>
              <w:t>B</w:t>
            </w:r>
            <w:r w:rsidRPr="00942B2F">
              <w:rPr>
                <w:rFonts w:ascii="Calibri" w:hAnsi="Calibri"/>
                <w:szCs w:val="22"/>
              </w:rPr>
              <w:t>eauty or the Broads.</w:t>
            </w:r>
          </w:p>
          <w:p w14:paraId="7235046F" w14:textId="77777777" w:rsidR="001338D6" w:rsidRPr="00942B2F" w:rsidRDefault="001338D6" w:rsidP="001338D6">
            <w:pPr>
              <w:pStyle w:val="Header"/>
              <w:contextualSpacing/>
              <w:jc w:val="both"/>
              <w:rPr>
                <w:rFonts w:ascii="Calibri" w:hAnsi="Calibri"/>
                <w:szCs w:val="22"/>
              </w:rPr>
            </w:pPr>
          </w:p>
          <w:p w14:paraId="76F805AA"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The proposal meets the above criteria to be </w:t>
            </w:r>
            <w:r>
              <w:rPr>
                <w:rFonts w:ascii="Calibri" w:hAnsi="Calibri"/>
                <w:szCs w:val="22"/>
              </w:rPr>
              <w:t xml:space="preserve">classed as </w:t>
            </w:r>
            <w:r w:rsidRPr="00942B2F">
              <w:rPr>
                <w:rFonts w:ascii="Calibri" w:hAnsi="Calibri"/>
                <w:szCs w:val="22"/>
              </w:rPr>
              <w:t>permitted development.</w:t>
            </w:r>
          </w:p>
          <w:p w14:paraId="23FE47F7" w14:textId="77777777" w:rsidR="001338D6" w:rsidRPr="00942B2F" w:rsidRDefault="001338D6" w:rsidP="001338D6">
            <w:pPr>
              <w:pStyle w:val="Header"/>
              <w:contextualSpacing/>
              <w:jc w:val="both"/>
              <w:rPr>
                <w:rFonts w:ascii="Calibri" w:hAnsi="Calibri"/>
                <w:szCs w:val="22"/>
              </w:rPr>
            </w:pPr>
          </w:p>
          <w:p w14:paraId="6D1B9649" w14:textId="4B2C8CA9" w:rsidR="001338D6" w:rsidRDefault="001338D6" w:rsidP="001338D6">
            <w:pPr>
              <w:pStyle w:val="Header"/>
              <w:contextualSpacing/>
              <w:jc w:val="both"/>
              <w:rPr>
                <w:rFonts w:ascii="Calibri" w:hAnsi="Calibri"/>
                <w:b/>
                <w:szCs w:val="22"/>
              </w:rPr>
            </w:pPr>
            <w:r w:rsidRPr="00291865">
              <w:rPr>
                <w:rFonts w:ascii="Calibri" w:hAnsi="Calibri"/>
                <w:b/>
                <w:szCs w:val="22"/>
              </w:rPr>
              <w:t>Residents from adjacent properties have been informed of the proposal and no objections have been received. On the basis of the above, prior approval is not required for the proposed development.</w:t>
            </w:r>
          </w:p>
          <w:p w14:paraId="07A958AF" w14:textId="72EEB9D0" w:rsidR="001338D6" w:rsidRDefault="001338D6" w:rsidP="008542DE">
            <w:pPr>
              <w:pStyle w:val="Header"/>
              <w:tabs>
                <w:tab w:val="clear" w:pos="4153"/>
                <w:tab w:val="clear" w:pos="8306"/>
              </w:tabs>
              <w:contextualSpacing/>
              <w:jc w:val="both"/>
              <w:rPr>
                <w:rFonts w:ascii="Calibri" w:hAnsi="Calibri"/>
                <w:b/>
                <w:szCs w:val="22"/>
              </w:rPr>
            </w:pPr>
          </w:p>
        </w:tc>
      </w:tr>
      <w:tr w:rsidR="00C0704D" w:rsidRPr="00D2449B" w14:paraId="507FC89B" w14:textId="77777777" w:rsidTr="00FA226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5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E036EA3" w:rsidR="00C0704D" w:rsidRPr="00D2449B" w:rsidRDefault="00CF7ECE" w:rsidP="00CD2CEF">
            <w:pPr>
              <w:rPr>
                <w:rFonts w:ascii="Calibri" w:hAnsi="Calibri"/>
                <w:bCs/>
                <w:szCs w:val="22"/>
              </w:rPr>
            </w:pPr>
            <w:r>
              <w:rPr>
                <w:rFonts w:ascii="Calibri" w:hAnsi="Calibri"/>
                <w:bCs/>
                <w:szCs w:val="22"/>
              </w:rPr>
              <w:t xml:space="preserve">Prior approval is not required. </w:t>
            </w:r>
          </w:p>
        </w:tc>
      </w:tr>
    </w:tbl>
    <w:p w14:paraId="513FB541" w14:textId="77777777" w:rsidR="00135A87" w:rsidRPr="00D2449B" w:rsidRDefault="00135A87">
      <w:pPr>
        <w:rPr>
          <w:rFonts w:ascii="Calibri" w:hAnsi="Calibri"/>
          <w:szCs w:val="22"/>
        </w:rPr>
      </w:pPr>
    </w:p>
    <w:sectPr w:rsidR="00135A8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3EC8"/>
    <w:rsid w:val="000B5CB5"/>
    <w:rsid w:val="000F0224"/>
    <w:rsid w:val="00130035"/>
    <w:rsid w:val="001338D6"/>
    <w:rsid w:val="00135A87"/>
    <w:rsid w:val="001D4F7A"/>
    <w:rsid w:val="001F3D94"/>
    <w:rsid w:val="00250879"/>
    <w:rsid w:val="0029334A"/>
    <w:rsid w:val="002A01CF"/>
    <w:rsid w:val="002C6277"/>
    <w:rsid w:val="002F2580"/>
    <w:rsid w:val="00321B6E"/>
    <w:rsid w:val="00351443"/>
    <w:rsid w:val="003C66BA"/>
    <w:rsid w:val="00440CB6"/>
    <w:rsid w:val="0046548C"/>
    <w:rsid w:val="004947BB"/>
    <w:rsid w:val="004A5EA9"/>
    <w:rsid w:val="004C2434"/>
    <w:rsid w:val="004C2641"/>
    <w:rsid w:val="004F0649"/>
    <w:rsid w:val="00510FA2"/>
    <w:rsid w:val="00511BEE"/>
    <w:rsid w:val="0053456A"/>
    <w:rsid w:val="00556ECD"/>
    <w:rsid w:val="005E1C6C"/>
    <w:rsid w:val="005E65DF"/>
    <w:rsid w:val="00671FD7"/>
    <w:rsid w:val="00692B60"/>
    <w:rsid w:val="006A71AD"/>
    <w:rsid w:val="006C2BFA"/>
    <w:rsid w:val="006F6849"/>
    <w:rsid w:val="0070054B"/>
    <w:rsid w:val="00720532"/>
    <w:rsid w:val="00761D2C"/>
    <w:rsid w:val="00773A66"/>
    <w:rsid w:val="00776AE2"/>
    <w:rsid w:val="007C791C"/>
    <w:rsid w:val="007D7DF4"/>
    <w:rsid w:val="007E0D23"/>
    <w:rsid w:val="007F16D6"/>
    <w:rsid w:val="00811771"/>
    <w:rsid w:val="00824DB6"/>
    <w:rsid w:val="00837F4F"/>
    <w:rsid w:val="00845960"/>
    <w:rsid w:val="008542DE"/>
    <w:rsid w:val="008A28C8"/>
    <w:rsid w:val="009F4443"/>
    <w:rsid w:val="00A42E82"/>
    <w:rsid w:val="00A557E1"/>
    <w:rsid w:val="00A579BB"/>
    <w:rsid w:val="00A63D55"/>
    <w:rsid w:val="00A72FE2"/>
    <w:rsid w:val="00A95D89"/>
    <w:rsid w:val="00B93EB5"/>
    <w:rsid w:val="00BD3F03"/>
    <w:rsid w:val="00C0704D"/>
    <w:rsid w:val="00C25722"/>
    <w:rsid w:val="00C618DB"/>
    <w:rsid w:val="00CF7ECE"/>
    <w:rsid w:val="00D11007"/>
    <w:rsid w:val="00D17EB1"/>
    <w:rsid w:val="00D2449B"/>
    <w:rsid w:val="00D54E67"/>
    <w:rsid w:val="00DD62F6"/>
    <w:rsid w:val="00E46243"/>
    <w:rsid w:val="00E66534"/>
    <w:rsid w:val="00E72F6C"/>
    <w:rsid w:val="00E9687F"/>
    <w:rsid w:val="00EA09F9"/>
    <w:rsid w:val="00EC23C7"/>
    <w:rsid w:val="00ED00B7"/>
    <w:rsid w:val="00EE6333"/>
    <w:rsid w:val="00EF44E6"/>
    <w:rsid w:val="00FA226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2023-09-19T11:03:00Z</dcterms:created>
  <dcterms:modified xsi:type="dcterms:W3CDTF">2023-09-19T11:03:00Z</dcterms:modified>
</cp:coreProperties>
</file>