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39"/>
        <w:gridCol w:w="36"/>
        <w:gridCol w:w="658"/>
        <w:gridCol w:w="197"/>
        <w:gridCol w:w="307"/>
        <w:gridCol w:w="723"/>
        <w:gridCol w:w="553"/>
        <w:gridCol w:w="477"/>
        <w:gridCol w:w="699"/>
        <w:gridCol w:w="579"/>
        <w:gridCol w:w="1030"/>
        <w:gridCol w:w="1030"/>
        <w:gridCol w:w="1075"/>
      </w:tblGrid>
      <w:tr w:rsidR="004A5EA9" w:rsidRPr="00D2449B" w14:paraId="230E00AF"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837F4F" w:rsidRPr="00D2449B" w14:paraId="10F7DD32" w14:textId="77777777" w:rsidTr="00773A66">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F6CCD5B" w14:textId="24D16389" w:rsidR="00837F4F" w:rsidRPr="00D2449B" w:rsidRDefault="00837F4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F2BA0" w14:textId="686BD889" w:rsidR="00837F4F" w:rsidRPr="00D2449B" w:rsidRDefault="00837F4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94D80" w14:textId="454F87EF" w:rsidR="00837F4F" w:rsidRPr="00D2449B" w:rsidRDefault="00DF08B8" w:rsidP="00D2449B">
            <w:pPr>
              <w:jc w:val="center"/>
              <w:rPr>
                <w:rFonts w:ascii="Calibri" w:hAnsi="Calibri"/>
                <w:b/>
                <w:szCs w:val="22"/>
              </w:rPr>
            </w:pPr>
            <w:r>
              <w:rPr>
                <w:rFonts w:ascii="Calibri" w:hAnsi="Calibri"/>
                <w:b/>
                <w:szCs w:val="22"/>
              </w:rPr>
              <w:t>WH</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F0011" w14:textId="3279FCDC" w:rsidR="00837F4F" w:rsidRPr="00D2449B" w:rsidRDefault="00837F4F" w:rsidP="00D2449B">
            <w:pPr>
              <w:jc w:val="center"/>
              <w:rPr>
                <w:rFonts w:ascii="Calibri" w:hAnsi="Calibri"/>
                <w:b/>
                <w:szCs w:val="22"/>
              </w:rPr>
            </w:pPr>
            <w:r>
              <w:rPr>
                <w:rFonts w:ascii="Calibri" w:hAnsi="Calibri"/>
                <w:b/>
                <w:szCs w:val="22"/>
              </w:rPr>
              <w:t>Date:</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5A79" w14:textId="079F17F9" w:rsidR="00837F4F" w:rsidRPr="00D2449B" w:rsidRDefault="00DF08B8" w:rsidP="00D2449B">
            <w:pPr>
              <w:jc w:val="center"/>
              <w:rPr>
                <w:rFonts w:ascii="Calibri" w:hAnsi="Calibri"/>
                <w:b/>
                <w:szCs w:val="22"/>
              </w:rPr>
            </w:pPr>
            <w:r>
              <w:rPr>
                <w:rFonts w:ascii="Calibri" w:hAnsi="Calibri"/>
                <w:b/>
                <w:szCs w:val="22"/>
              </w:rPr>
              <w:t>13-12-23</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5CD0A" w14:textId="1B25DF37" w:rsidR="00837F4F" w:rsidRPr="00D2449B" w:rsidRDefault="00837F4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7E6DA" w14:textId="2EB91053" w:rsidR="00837F4F" w:rsidRPr="00D2449B" w:rsidRDefault="00E60BF7" w:rsidP="00D2449B">
            <w:pPr>
              <w:jc w:val="center"/>
              <w:rPr>
                <w:rFonts w:ascii="Calibri" w:hAnsi="Calibri"/>
                <w:b/>
                <w:szCs w:val="22"/>
              </w:rPr>
            </w:pPr>
            <w:r>
              <w:rPr>
                <w:rFonts w:ascii="Calibri" w:hAnsi="Calibri"/>
                <w:b/>
                <w:szCs w:val="22"/>
              </w:rPr>
              <w:t>LH</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01A74" w14:textId="14837D95" w:rsidR="00837F4F" w:rsidRPr="00D2449B" w:rsidRDefault="00837F4F"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27B11" w14:textId="1B0DDC74" w:rsidR="00837F4F" w:rsidRPr="00D2449B" w:rsidRDefault="00E60BF7" w:rsidP="00D2449B">
            <w:pPr>
              <w:jc w:val="center"/>
              <w:rPr>
                <w:rFonts w:ascii="Calibri" w:hAnsi="Calibri"/>
                <w:b/>
                <w:szCs w:val="22"/>
              </w:rPr>
            </w:pPr>
            <w:r>
              <w:rPr>
                <w:rFonts w:ascii="Calibri" w:hAnsi="Calibri"/>
                <w:b/>
                <w:szCs w:val="22"/>
              </w:rPr>
              <w:t>13/12/23</w:t>
            </w:r>
          </w:p>
        </w:tc>
      </w:tr>
      <w:tr w:rsidR="004A5EA9" w:rsidRPr="00D2449B" w14:paraId="2094A164" w14:textId="77777777" w:rsidTr="00773A66">
        <w:trPr>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773A6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335F0B17" w:rsidR="004A5EA9" w:rsidRPr="00250879" w:rsidRDefault="00DF08B8" w:rsidP="008542DE">
            <w:pPr>
              <w:rPr>
                <w:rFonts w:ascii="Calibri" w:hAnsi="Calibri"/>
                <w:color w:val="548DD4" w:themeColor="text2" w:themeTint="99"/>
                <w:szCs w:val="22"/>
              </w:rPr>
            </w:pPr>
            <w:r>
              <w:rPr>
                <w:rFonts w:ascii="Calibri" w:hAnsi="Calibri"/>
                <w:szCs w:val="22"/>
              </w:rPr>
              <w:t>2023/0724</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4DB6" w:rsidRPr="00D2449B" w14:paraId="311D78EF" w14:textId="77777777" w:rsidTr="00773A6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824DB6" w:rsidRPr="00C0704D" w:rsidRDefault="00824DB6">
            <w:pPr>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557F4" w14:textId="78614606" w:rsidR="00824DB6" w:rsidRPr="00C0704D" w:rsidRDefault="00DF08B8" w:rsidP="002C6277">
            <w:pPr>
              <w:rPr>
                <w:rFonts w:ascii="Calibri" w:hAnsi="Calibri"/>
                <w:szCs w:val="22"/>
              </w:rPr>
            </w:pPr>
            <w:r w:rsidRPr="00DF08B8">
              <w:rPr>
                <w:rFonts w:ascii="Calibri" w:hAnsi="Calibri"/>
                <w:szCs w:val="22"/>
              </w:rPr>
              <w:t>N/A</w:t>
            </w:r>
          </w:p>
        </w:tc>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E7732" w14:textId="5155C647" w:rsidR="00824DB6" w:rsidRPr="00824DB6" w:rsidRDefault="00824DB6" w:rsidP="002C6277">
            <w:pPr>
              <w:rPr>
                <w:rFonts w:ascii="Calibri" w:hAnsi="Calibri"/>
                <w:b/>
                <w:bCs/>
                <w:szCs w:val="22"/>
              </w:rPr>
            </w:pPr>
            <w:r w:rsidRPr="00824DB6">
              <w:rPr>
                <w:rFonts w:ascii="Calibri" w:hAnsi="Calibri"/>
                <w:b/>
                <w:bCs/>
                <w:szCs w:val="22"/>
              </w:rPr>
              <w:t>Site Notice:</w:t>
            </w:r>
          </w:p>
        </w:tc>
        <w:tc>
          <w:tcPr>
            <w:tcW w:w="11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6B764FD9" w:rsidR="00824DB6" w:rsidRPr="00C0704D" w:rsidRDefault="00DF08B8" w:rsidP="002C6277">
            <w:pPr>
              <w:rPr>
                <w:rFonts w:ascii="Calibri" w:hAnsi="Calibri"/>
                <w:szCs w:val="22"/>
              </w:rPr>
            </w:pPr>
            <w:r w:rsidRPr="00DF08B8">
              <w:rPr>
                <w:rFonts w:ascii="Calibri" w:hAnsi="Calibri"/>
                <w:szCs w:val="22"/>
              </w:rPr>
              <w:t>26-09-23</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824DB6" w:rsidRPr="00D2449B" w:rsidRDefault="00824DB6">
            <w:pPr>
              <w:rPr>
                <w:rFonts w:ascii="Calibri" w:hAnsi="Calibri"/>
                <w:szCs w:val="22"/>
              </w:rPr>
            </w:pPr>
          </w:p>
        </w:tc>
      </w:tr>
      <w:tr w:rsidR="004A5EA9" w:rsidRPr="00D2449B" w14:paraId="03FA8232" w14:textId="77777777" w:rsidTr="00773A6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599888F4" w:rsidR="004A5EA9" w:rsidRPr="00250879" w:rsidRDefault="00DF08B8" w:rsidP="00811771">
            <w:pPr>
              <w:rPr>
                <w:rFonts w:ascii="Calibri" w:hAnsi="Calibri"/>
                <w:color w:val="548DD4" w:themeColor="text2" w:themeTint="99"/>
                <w:szCs w:val="22"/>
              </w:rPr>
            </w:pPr>
            <w:r w:rsidRPr="00DF08B8">
              <w:rPr>
                <w:rFonts w:ascii="Calibri" w:hAnsi="Calibri"/>
                <w:szCs w:val="22"/>
              </w:rPr>
              <w:t>Will Hopcroft</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773A66">
        <w:trPr>
          <w:jc w:val="center"/>
        </w:trPr>
        <w:tc>
          <w:tcPr>
            <w:tcW w:w="5849"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59619BD1" w:rsidR="004A5EA9" w:rsidRPr="00D2449B" w:rsidRDefault="00761D2C" w:rsidP="002A01CF">
            <w:pPr>
              <w:jc w:val="center"/>
              <w:rPr>
                <w:rFonts w:ascii="Calibri" w:hAnsi="Calibri"/>
                <w:b/>
                <w:szCs w:val="22"/>
              </w:rPr>
            </w:pPr>
            <w:r>
              <w:rPr>
                <w:rFonts w:ascii="Calibri" w:hAnsi="Calibri"/>
                <w:b/>
                <w:szCs w:val="22"/>
              </w:rPr>
              <w:t>APPROVAL</w:t>
            </w:r>
          </w:p>
        </w:tc>
      </w:tr>
      <w:tr w:rsidR="004A5EA9" w:rsidRPr="00D2449B" w14:paraId="7813B96A"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77B4DCF9" w:rsidR="004A5EA9" w:rsidRPr="002C6277" w:rsidRDefault="00DF08B8">
            <w:pPr>
              <w:rPr>
                <w:rFonts w:ascii="Calibri" w:hAnsi="Calibri"/>
                <w:szCs w:val="22"/>
              </w:rPr>
            </w:pPr>
            <w:r w:rsidRPr="00DF08B8">
              <w:rPr>
                <w:rFonts w:ascii="Calibri" w:hAnsi="Calibri"/>
                <w:szCs w:val="22"/>
              </w:rPr>
              <w:t>Listed Building Consent for proposed works to farmhouse walls to alleviate damp.</w:t>
            </w:r>
          </w:p>
        </w:tc>
      </w:tr>
      <w:tr w:rsidR="002A01CF" w:rsidRPr="00D2449B" w14:paraId="52988241"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749E34B4" w:rsidR="002A01CF" w:rsidRPr="002C6277" w:rsidRDefault="00DF08B8" w:rsidP="00A42E82">
            <w:pPr>
              <w:rPr>
                <w:rFonts w:ascii="Calibri" w:hAnsi="Calibri"/>
                <w:szCs w:val="22"/>
              </w:rPr>
            </w:pPr>
            <w:r w:rsidRPr="00DF08B8">
              <w:rPr>
                <w:rFonts w:ascii="Calibri" w:hAnsi="Calibri"/>
                <w:szCs w:val="22"/>
              </w:rPr>
              <w:t>Ash Knott, Little Bowland Road</w:t>
            </w:r>
          </w:p>
        </w:tc>
      </w:tr>
      <w:tr w:rsidR="00A95D89" w:rsidRPr="00D2449B" w14:paraId="3FB99B2E"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1DE01C95" w:rsidR="002A01CF" w:rsidRPr="00DF08B8" w:rsidRDefault="00DF08B8">
            <w:pPr>
              <w:rPr>
                <w:rFonts w:ascii="Calibri" w:hAnsi="Calibri"/>
                <w:bCs/>
                <w:szCs w:val="22"/>
              </w:rPr>
            </w:pPr>
            <w:r>
              <w:rPr>
                <w:rFonts w:ascii="Calibri" w:hAnsi="Calibri"/>
                <w:bCs/>
                <w:szCs w:val="22"/>
              </w:rPr>
              <w:t xml:space="preserve">No objections. </w:t>
            </w:r>
          </w:p>
        </w:tc>
      </w:tr>
      <w:tr w:rsidR="00C618DB" w:rsidRPr="00D2449B" w14:paraId="639E958B"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C0704D" w:rsidRPr="00D2449B" w14:paraId="62663AAF"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47F23C50" w:rsidR="00C0704D" w:rsidRPr="00C0704D" w:rsidRDefault="00DF08B8" w:rsidP="00D74711">
            <w:pPr>
              <w:rPr>
                <w:rFonts w:ascii="Calibri" w:hAnsi="Calibri"/>
                <w:szCs w:val="22"/>
              </w:rPr>
            </w:pPr>
            <w:r>
              <w:rPr>
                <w:rFonts w:ascii="Calibri" w:hAnsi="Calibri"/>
                <w:szCs w:val="22"/>
              </w:rPr>
              <w:t xml:space="preserve">None required. </w:t>
            </w:r>
          </w:p>
        </w:tc>
      </w:tr>
      <w:tr w:rsidR="00C0704D" w:rsidRPr="00D2449B" w14:paraId="29EBDA1F"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70E7C926" w:rsidR="00C0704D" w:rsidRPr="00C0704D" w:rsidRDefault="00DF08B8" w:rsidP="00692B60">
            <w:pPr>
              <w:rPr>
                <w:rFonts w:ascii="Calibri" w:hAnsi="Calibri"/>
                <w:szCs w:val="22"/>
              </w:rPr>
            </w:pPr>
            <w:r>
              <w:rPr>
                <w:rFonts w:ascii="Calibri" w:hAnsi="Calibri"/>
                <w:szCs w:val="22"/>
              </w:rPr>
              <w:t xml:space="preserve">None received. </w:t>
            </w:r>
          </w:p>
        </w:tc>
      </w:tr>
      <w:tr w:rsidR="00C0704D" w:rsidRPr="00D2449B" w14:paraId="1CDFA4C3"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53FA9DA" w14:textId="77777777" w:rsidR="00DF08B8" w:rsidRDefault="00DF08B8" w:rsidP="00DF08B8">
            <w:pPr>
              <w:pStyle w:val="PLANNING"/>
              <w:rPr>
                <w:rFonts w:ascii="Calibri" w:hAnsi="Calibri"/>
                <w:b/>
                <w:bCs/>
                <w:szCs w:val="22"/>
              </w:rPr>
            </w:pPr>
            <w:r>
              <w:rPr>
                <w:rFonts w:ascii="Calibri" w:hAnsi="Calibri"/>
                <w:b/>
                <w:bCs/>
                <w:szCs w:val="22"/>
              </w:rPr>
              <w:t>Ribble Valley Core Strategy:</w:t>
            </w:r>
          </w:p>
          <w:p w14:paraId="5663FD5D" w14:textId="77777777" w:rsidR="00DF08B8" w:rsidRDefault="00DF08B8" w:rsidP="00DF08B8">
            <w:pPr>
              <w:jc w:val="both"/>
              <w:rPr>
                <w:rFonts w:ascii="Calibri" w:hAnsi="Calibri"/>
                <w:b/>
                <w:szCs w:val="22"/>
              </w:rPr>
            </w:pPr>
          </w:p>
          <w:p w14:paraId="54FBCB93" w14:textId="77777777" w:rsidR="00DF08B8" w:rsidRDefault="00DF08B8" w:rsidP="00DF08B8">
            <w:pPr>
              <w:pStyle w:val="PLANNING"/>
              <w:rPr>
                <w:rFonts w:ascii="Calibri" w:hAnsi="Calibri"/>
                <w:szCs w:val="22"/>
              </w:rPr>
            </w:pPr>
            <w:r>
              <w:rPr>
                <w:rFonts w:ascii="Calibri" w:hAnsi="Calibri"/>
                <w:szCs w:val="22"/>
              </w:rPr>
              <w:t>Key Statement EN5:</w:t>
            </w:r>
            <w:r>
              <w:rPr>
                <w:rFonts w:ascii="Calibri" w:hAnsi="Calibri"/>
                <w:szCs w:val="22"/>
              </w:rPr>
              <w:tab/>
              <w:t>Heritage Assets</w:t>
            </w:r>
          </w:p>
          <w:p w14:paraId="5ABDAABB" w14:textId="77777777" w:rsidR="00DF08B8" w:rsidRDefault="00DF08B8" w:rsidP="00DF08B8">
            <w:pPr>
              <w:pStyle w:val="PLANNING"/>
              <w:rPr>
                <w:rFonts w:ascii="Calibri" w:hAnsi="Calibri"/>
                <w:szCs w:val="22"/>
              </w:rPr>
            </w:pPr>
            <w:r>
              <w:rPr>
                <w:rFonts w:ascii="Calibri" w:hAnsi="Calibri"/>
                <w:szCs w:val="22"/>
              </w:rPr>
              <w:t>Policy DME4:</w:t>
            </w:r>
            <w:r>
              <w:rPr>
                <w:rFonts w:ascii="Calibri" w:hAnsi="Calibri"/>
                <w:szCs w:val="22"/>
              </w:rPr>
              <w:tab/>
              <w:t>Protecting Heritage Assets</w:t>
            </w:r>
          </w:p>
          <w:p w14:paraId="394BAA17" w14:textId="77777777" w:rsidR="00DF08B8" w:rsidRDefault="00DF08B8" w:rsidP="00DF08B8">
            <w:pPr>
              <w:pStyle w:val="PLANNING"/>
              <w:rPr>
                <w:rFonts w:ascii="Calibri" w:hAnsi="Calibri"/>
                <w:szCs w:val="22"/>
              </w:rPr>
            </w:pPr>
          </w:p>
          <w:p w14:paraId="26C90C40" w14:textId="77777777" w:rsidR="00DF08B8" w:rsidRDefault="00DF08B8" w:rsidP="00DF08B8">
            <w:pPr>
              <w:pStyle w:val="PLANNING"/>
              <w:rPr>
                <w:rFonts w:ascii="Calibri" w:hAnsi="Calibri"/>
                <w:szCs w:val="22"/>
              </w:rPr>
            </w:pPr>
            <w:r>
              <w:rPr>
                <w:rFonts w:ascii="Calibri" w:hAnsi="Calibri"/>
                <w:szCs w:val="22"/>
              </w:rPr>
              <w:t>Planning (Listed Buildings and Conservation Areas) Act</w:t>
            </w:r>
          </w:p>
          <w:p w14:paraId="09E7A934" w14:textId="77777777" w:rsidR="00DF08B8" w:rsidRDefault="00DF08B8" w:rsidP="00DF08B8">
            <w:pPr>
              <w:jc w:val="both"/>
              <w:rPr>
                <w:rFonts w:ascii="Calibri" w:hAnsi="Calibri"/>
                <w:szCs w:val="22"/>
              </w:rPr>
            </w:pPr>
            <w:r>
              <w:rPr>
                <w:rFonts w:ascii="Calibri" w:hAnsi="Calibri"/>
                <w:szCs w:val="22"/>
              </w:rPr>
              <w:t>National Planning Policy Framework (NPPF)</w:t>
            </w:r>
          </w:p>
          <w:p w14:paraId="6C4C318E" w14:textId="77777777" w:rsidR="008542DE" w:rsidRPr="00D2449B" w:rsidRDefault="008542DE" w:rsidP="00C0704D">
            <w:pPr>
              <w:rPr>
                <w:rFonts w:ascii="Calibri" w:hAnsi="Calibri"/>
                <w:b/>
                <w:szCs w:val="22"/>
              </w:rPr>
            </w:pPr>
          </w:p>
        </w:tc>
      </w:tr>
      <w:tr w:rsidR="00C0704D" w:rsidRPr="00D2449B" w14:paraId="08181FD6"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t>Relevant Planning History:</w:t>
            </w:r>
          </w:p>
          <w:p w14:paraId="1D356246" w14:textId="77777777" w:rsidR="00C0704D" w:rsidRDefault="00C0704D" w:rsidP="00C0704D">
            <w:pPr>
              <w:pStyle w:val="PLANNING"/>
              <w:rPr>
                <w:rFonts w:ascii="Calibri" w:hAnsi="Calibri"/>
                <w:b/>
                <w:bCs/>
                <w:szCs w:val="22"/>
              </w:rPr>
            </w:pPr>
          </w:p>
          <w:p w14:paraId="0E12E4A3" w14:textId="057DFEE6" w:rsidR="0046548C" w:rsidRPr="00DF08B8" w:rsidRDefault="00DF08B8" w:rsidP="00C0704D">
            <w:pPr>
              <w:pStyle w:val="PLANNING"/>
              <w:rPr>
                <w:rFonts w:ascii="Calibri" w:hAnsi="Calibri"/>
                <w:b/>
                <w:bCs/>
                <w:szCs w:val="22"/>
              </w:rPr>
            </w:pPr>
            <w:r w:rsidRPr="00DF08B8">
              <w:rPr>
                <w:rFonts w:ascii="Calibri" w:hAnsi="Calibri"/>
                <w:b/>
                <w:bCs/>
                <w:szCs w:val="22"/>
              </w:rPr>
              <w:t>2000/0395:</w:t>
            </w:r>
          </w:p>
          <w:p w14:paraId="532A4463" w14:textId="1ED9110F" w:rsidR="00DF08B8" w:rsidRPr="00DF08B8" w:rsidRDefault="00DF08B8" w:rsidP="00DF08B8">
            <w:pPr>
              <w:rPr>
                <w:rFonts w:ascii="Calibri" w:hAnsi="Calibri"/>
                <w:szCs w:val="22"/>
              </w:rPr>
            </w:pPr>
            <w:r w:rsidRPr="00DF08B8">
              <w:rPr>
                <w:rFonts w:ascii="Calibri" w:hAnsi="Calibri"/>
                <w:szCs w:val="22"/>
              </w:rPr>
              <w:t>Restoration of semi-derelict building and construct new garage (listed building consent)</w:t>
            </w:r>
            <w:r>
              <w:rPr>
                <w:rFonts w:ascii="Calibri" w:hAnsi="Calibri"/>
                <w:szCs w:val="22"/>
              </w:rPr>
              <w:t xml:space="preserve"> – Approved with Conditions </w:t>
            </w:r>
          </w:p>
          <w:p w14:paraId="17147D50" w14:textId="1B19B3D1" w:rsidR="0046548C" w:rsidRPr="00D2449B" w:rsidRDefault="0046548C" w:rsidP="00C0704D">
            <w:pPr>
              <w:pStyle w:val="PLANNING"/>
              <w:rPr>
                <w:rFonts w:ascii="Calibri" w:hAnsi="Calibri"/>
                <w:b/>
                <w:bCs/>
                <w:szCs w:val="22"/>
              </w:rPr>
            </w:pPr>
          </w:p>
        </w:tc>
      </w:tr>
      <w:tr w:rsidR="00C0704D" w:rsidRPr="00D2449B" w14:paraId="6AAC3B0A"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2A719392" w14:textId="77777777" w:rsidR="00C0704D" w:rsidRDefault="00C0704D" w:rsidP="00811771">
            <w:pPr>
              <w:pStyle w:val="Header"/>
              <w:tabs>
                <w:tab w:val="clear" w:pos="4153"/>
                <w:tab w:val="clear" w:pos="8306"/>
              </w:tabs>
              <w:contextualSpacing/>
              <w:jc w:val="both"/>
              <w:rPr>
                <w:rFonts w:ascii="Calibri" w:hAnsi="Calibri"/>
                <w:bCs/>
                <w:szCs w:val="22"/>
              </w:rPr>
            </w:pPr>
          </w:p>
          <w:p w14:paraId="60C08FD5" w14:textId="4F0F9B7D" w:rsidR="00C0704D" w:rsidRDefault="00DF08B8" w:rsidP="00B93EB5">
            <w:pPr>
              <w:pStyle w:val="Header"/>
              <w:tabs>
                <w:tab w:val="clear" w:pos="4153"/>
                <w:tab w:val="clear" w:pos="8306"/>
              </w:tabs>
              <w:contextualSpacing/>
              <w:jc w:val="both"/>
              <w:rPr>
                <w:rFonts w:ascii="Calibri" w:hAnsi="Calibri"/>
                <w:bCs/>
                <w:szCs w:val="22"/>
              </w:rPr>
            </w:pPr>
            <w:r>
              <w:rPr>
                <w:rFonts w:ascii="Calibri" w:hAnsi="Calibri"/>
                <w:bCs/>
                <w:szCs w:val="22"/>
              </w:rPr>
              <w:t>The site is comprised of Ash Knott, a GII Listed Building off Little Bowland Road</w:t>
            </w:r>
            <w:r w:rsidR="00DB7D97">
              <w:rPr>
                <w:rFonts w:ascii="Calibri" w:hAnsi="Calibri"/>
                <w:bCs/>
                <w:szCs w:val="22"/>
              </w:rPr>
              <w:t>. The listing is outlined as below:</w:t>
            </w:r>
          </w:p>
          <w:p w14:paraId="73C41235" w14:textId="77777777" w:rsidR="00DB7D97" w:rsidRDefault="00DB7D97" w:rsidP="00B93EB5">
            <w:pPr>
              <w:pStyle w:val="Header"/>
              <w:tabs>
                <w:tab w:val="clear" w:pos="4153"/>
                <w:tab w:val="clear" w:pos="8306"/>
              </w:tabs>
              <w:contextualSpacing/>
              <w:jc w:val="both"/>
              <w:rPr>
                <w:rFonts w:ascii="Calibri" w:hAnsi="Calibri"/>
                <w:bCs/>
                <w:szCs w:val="22"/>
              </w:rPr>
            </w:pPr>
          </w:p>
          <w:p w14:paraId="7968DD7C" w14:textId="77777777" w:rsidR="00DB7D97" w:rsidRPr="00DB7D97" w:rsidRDefault="00DB7D97" w:rsidP="00B93EB5">
            <w:pPr>
              <w:pStyle w:val="Header"/>
              <w:tabs>
                <w:tab w:val="clear" w:pos="4153"/>
                <w:tab w:val="clear" w:pos="8306"/>
              </w:tabs>
              <w:contextualSpacing/>
              <w:jc w:val="both"/>
              <w:rPr>
                <w:rFonts w:ascii="Calibri" w:hAnsi="Calibri"/>
                <w:b/>
                <w:szCs w:val="22"/>
              </w:rPr>
            </w:pPr>
            <w:r w:rsidRPr="00DB7D97">
              <w:rPr>
                <w:rFonts w:ascii="Calibri" w:hAnsi="Calibri"/>
                <w:b/>
                <w:szCs w:val="22"/>
              </w:rPr>
              <w:t>Farm store to south east of Dinkling Green Farmhouse</w:t>
            </w:r>
          </w:p>
          <w:p w14:paraId="4554A435" w14:textId="77777777" w:rsidR="00DB7D97" w:rsidRDefault="00DB7D97" w:rsidP="00B93EB5">
            <w:pPr>
              <w:pStyle w:val="Header"/>
              <w:tabs>
                <w:tab w:val="clear" w:pos="4153"/>
                <w:tab w:val="clear" w:pos="8306"/>
              </w:tabs>
              <w:contextualSpacing/>
              <w:jc w:val="both"/>
              <w:rPr>
                <w:rFonts w:ascii="Calibri" w:hAnsi="Calibri"/>
                <w:bCs/>
                <w:szCs w:val="22"/>
              </w:rPr>
            </w:pPr>
          </w:p>
          <w:p w14:paraId="5CC3F456" w14:textId="77777777" w:rsidR="00DB7D97" w:rsidRPr="00DB7D97" w:rsidRDefault="00DB7D97" w:rsidP="00DB7D97">
            <w:pPr>
              <w:pStyle w:val="Header"/>
              <w:contextualSpacing/>
              <w:jc w:val="both"/>
              <w:rPr>
                <w:rFonts w:ascii="Calibri" w:hAnsi="Calibri"/>
                <w:bCs/>
                <w:i/>
                <w:iCs/>
                <w:szCs w:val="22"/>
              </w:rPr>
            </w:pPr>
            <w:r w:rsidRPr="00DB7D97">
              <w:rPr>
                <w:rFonts w:ascii="Calibri" w:hAnsi="Calibri"/>
                <w:bCs/>
                <w:i/>
                <w:iCs/>
                <w:szCs w:val="22"/>
              </w:rPr>
              <w:t>GV II Farm store, formerly a house, late C17. Rubble, mainly sandstone, with slate roof. three-unit plan. Two storeys. Windows mullioned with chamfered heads and sills and double chamfered jambs. The left-hand unit has a four-light window to the left of the door and a three-light window on the first floor. The</w:t>
            </w:r>
            <w:r w:rsidRPr="00DB7D97">
              <w:rPr>
                <w:rFonts w:ascii="Calibri" w:hAnsi="Calibri"/>
                <w:bCs/>
                <w:szCs w:val="22"/>
              </w:rPr>
              <w:t xml:space="preserve"> </w:t>
            </w:r>
            <w:r w:rsidRPr="00DB7D97">
              <w:rPr>
                <w:rFonts w:ascii="Calibri" w:hAnsi="Calibri"/>
                <w:bCs/>
                <w:i/>
                <w:iCs/>
                <w:szCs w:val="22"/>
              </w:rPr>
              <w:lastRenderedPageBreak/>
              <w:t>doorway has chamfered jambs and a triangular head. The right-hand units have a five-light window to the left of the door, a three-light window to the right and two three-light windows on the first floor. The doorway has chamfered jambs and a triangular head. To the left of the five-light window is a blocked fire window with plain stone surround. The right-hand gable has a three-light window, a two-light window to an outshut, and a blocked first floor window.</w:t>
            </w:r>
          </w:p>
          <w:p w14:paraId="64816799" w14:textId="77777777" w:rsidR="00DB7D97" w:rsidRPr="00DB7D97" w:rsidRDefault="00DB7D97" w:rsidP="00DB7D97">
            <w:pPr>
              <w:pStyle w:val="Header"/>
              <w:contextualSpacing/>
              <w:jc w:val="both"/>
              <w:rPr>
                <w:rFonts w:ascii="Calibri" w:hAnsi="Calibri"/>
                <w:bCs/>
                <w:i/>
                <w:iCs/>
                <w:szCs w:val="22"/>
              </w:rPr>
            </w:pPr>
          </w:p>
          <w:p w14:paraId="7FCACAA6" w14:textId="77777777" w:rsidR="00DB7D97" w:rsidRDefault="00DB7D97" w:rsidP="00DB7D97">
            <w:pPr>
              <w:pStyle w:val="Header"/>
              <w:tabs>
                <w:tab w:val="clear" w:pos="4153"/>
                <w:tab w:val="clear" w:pos="8306"/>
              </w:tabs>
              <w:contextualSpacing/>
              <w:jc w:val="both"/>
              <w:rPr>
                <w:rFonts w:ascii="Calibri" w:hAnsi="Calibri"/>
                <w:bCs/>
                <w:i/>
                <w:iCs/>
                <w:szCs w:val="22"/>
              </w:rPr>
            </w:pPr>
            <w:r w:rsidRPr="00DB7D97">
              <w:rPr>
                <w:rFonts w:ascii="Calibri" w:hAnsi="Calibri"/>
                <w:bCs/>
                <w:i/>
                <w:iCs/>
                <w:szCs w:val="22"/>
              </w:rPr>
              <w:t>Interior: the left-hand unit has the remains of a chamfered stone fireplace against its internal wall. Backing onto it, in the middle unit, is a blocked shouldered stone fireplace, with a chamfered and stopped firehood bressumer with a mortise for a heck post.</w:t>
            </w:r>
          </w:p>
          <w:p w14:paraId="62370E9F" w14:textId="5370490C" w:rsidR="00DB7D97" w:rsidRPr="00DB7D97" w:rsidRDefault="00DB7D97" w:rsidP="00DB7D97">
            <w:pPr>
              <w:pStyle w:val="Header"/>
              <w:tabs>
                <w:tab w:val="clear" w:pos="4153"/>
                <w:tab w:val="clear" w:pos="8306"/>
              </w:tabs>
              <w:contextualSpacing/>
              <w:jc w:val="both"/>
              <w:rPr>
                <w:rFonts w:ascii="Calibri" w:hAnsi="Calibri"/>
                <w:bCs/>
                <w:szCs w:val="22"/>
              </w:rPr>
            </w:pPr>
          </w:p>
        </w:tc>
      </w:tr>
      <w:tr w:rsidR="00C0704D" w:rsidRPr="00D2449B" w14:paraId="408C6380"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lastRenderedPageBreak/>
              <w:t>Proposed Development for which consent is sought</w:t>
            </w:r>
            <w:r w:rsidRPr="00D2449B">
              <w:rPr>
                <w:rFonts w:ascii="Calibri" w:hAnsi="Calibri"/>
                <w:b/>
                <w:szCs w:val="22"/>
              </w:rPr>
              <w:t>:</w:t>
            </w:r>
          </w:p>
          <w:p w14:paraId="7C8F28E1" w14:textId="77777777" w:rsidR="00C0704D" w:rsidRDefault="00C0704D" w:rsidP="00440CB6">
            <w:pPr>
              <w:pStyle w:val="Header"/>
              <w:tabs>
                <w:tab w:val="clear" w:pos="4153"/>
                <w:tab w:val="clear" w:pos="8306"/>
              </w:tabs>
              <w:jc w:val="both"/>
              <w:rPr>
                <w:rFonts w:ascii="Calibri" w:hAnsi="Calibri"/>
                <w:b/>
                <w:szCs w:val="22"/>
              </w:rPr>
            </w:pPr>
          </w:p>
          <w:p w14:paraId="484FCFBC" w14:textId="10B934CC" w:rsidR="00DB7D97" w:rsidRDefault="00DB7D97" w:rsidP="00DB7D97">
            <w:pPr>
              <w:rPr>
                <w:rFonts w:ascii="Calibri" w:hAnsi="Calibri"/>
                <w:szCs w:val="22"/>
              </w:rPr>
            </w:pPr>
            <w:r>
              <w:rPr>
                <w:rFonts w:ascii="Calibri" w:hAnsi="Calibri"/>
                <w:szCs w:val="22"/>
              </w:rPr>
              <w:t>The proposal seeks Listed Building Consent to undertake minor works to the farmhouse walls in order to alleviate damp. Specifically, it is a small element of the wall at the staircase which is suffering. The methodology is as follows and it is proposed to use manual tools only:</w:t>
            </w:r>
          </w:p>
          <w:p w14:paraId="3356E584" w14:textId="77777777" w:rsidR="00DB7D97" w:rsidRDefault="00DB7D97" w:rsidP="00DB7D97">
            <w:pPr>
              <w:rPr>
                <w:rFonts w:ascii="Calibri" w:hAnsi="Calibri"/>
                <w:szCs w:val="22"/>
              </w:rPr>
            </w:pPr>
          </w:p>
          <w:p w14:paraId="0F19B70A" w14:textId="77777777" w:rsidR="00DB7D97" w:rsidRDefault="00DB7D97" w:rsidP="00DB7D97">
            <w:pPr>
              <w:jc w:val="both"/>
              <w:rPr>
                <w:rFonts w:ascii="Calibri" w:hAnsi="Calibri"/>
                <w:i/>
                <w:iCs/>
                <w:szCs w:val="22"/>
              </w:rPr>
            </w:pPr>
            <w:r w:rsidRPr="00DB7D97">
              <w:rPr>
                <w:rFonts w:ascii="Calibri" w:hAnsi="Calibri"/>
                <w:i/>
                <w:iCs/>
                <w:szCs w:val="22"/>
              </w:rPr>
              <w:t>It is proposed to chip off walls down to the bare brick. Next is to remove any doorframes and skirting boards, then clean all walls down with a wire brush. Apply 2 coats of anti-sulphate within a timescale of 12 hours then spray walls down with SPR. Afterward, an application of a 4-1 mix of sand and cement to fill any defects in the wall. Then apply a very thin coat of flat sand and cement and rub it up with a sponge. This is then left to dry for approximately 24-48 hours depending on conditions. Then apply a chamfer over flexi barrier across the bottom between the wall and the floor and a spray of anti-sulfate again on the sand and cement. When dry, SPR the walls with a 40-1 mix. Applying K11 one way followed by the opposite way repeated 3-4 times. Then finally, leave to dry before applying the render lite plaster. This will be done thermal boarded or dot and dabbed.</w:t>
            </w:r>
          </w:p>
          <w:p w14:paraId="1B20488F" w14:textId="129498CA" w:rsidR="00DB7D97" w:rsidRPr="00D54E67" w:rsidRDefault="00DB7D97" w:rsidP="00DB7D97">
            <w:pPr>
              <w:jc w:val="both"/>
              <w:rPr>
                <w:rFonts w:ascii="Calibri" w:hAnsi="Calibri"/>
                <w:szCs w:val="22"/>
              </w:rPr>
            </w:pPr>
          </w:p>
        </w:tc>
      </w:tr>
      <w:tr w:rsidR="0046548C" w:rsidRPr="00D2449B" w14:paraId="06BBE02F"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6AE5340" w14:textId="77777777" w:rsidR="00DB7D97" w:rsidRDefault="00DB7D97" w:rsidP="00DB7D97">
            <w:pPr>
              <w:pStyle w:val="Header"/>
              <w:tabs>
                <w:tab w:val="left" w:pos="720"/>
              </w:tabs>
              <w:jc w:val="both"/>
              <w:rPr>
                <w:rFonts w:ascii="Calibri" w:hAnsi="Calibri"/>
                <w:b/>
                <w:szCs w:val="22"/>
              </w:rPr>
            </w:pPr>
            <w:r>
              <w:rPr>
                <w:rFonts w:ascii="Calibri" w:hAnsi="Calibri"/>
                <w:b/>
                <w:szCs w:val="22"/>
              </w:rPr>
              <w:t>Principle of Development:</w:t>
            </w:r>
          </w:p>
          <w:p w14:paraId="78BCAECA" w14:textId="77777777" w:rsidR="00DB7D97" w:rsidRDefault="00DB7D97" w:rsidP="00DB7D97">
            <w:pPr>
              <w:pStyle w:val="Header"/>
              <w:tabs>
                <w:tab w:val="left" w:pos="720"/>
              </w:tabs>
              <w:jc w:val="both"/>
              <w:rPr>
                <w:rFonts w:ascii="Calibri" w:hAnsi="Calibri"/>
                <w:b/>
                <w:szCs w:val="22"/>
              </w:rPr>
            </w:pPr>
          </w:p>
          <w:p w14:paraId="0809965F" w14:textId="3508CDBE" w:rsidR="0046548C" w:rsidRPr="00E60BF7" w:rsidRDefault="00DB7D97" w:rsidP="00E60BF7">
            <w:pPr>
              <w:pStyle w:val="Header"/>
              <w:tabs>
                <w:tab w:val="left" w:pos="720"/>
              </w:tabs>
              <w:jc w:val="both"/>
              <w:rPr>
                <w:rFonts w:ascii="Calibri" w:hAnsi="Calibri"/>
                <w:bCs/>
                <w:szCs w:val="22"/>
              </w:rPr>
            </w:pPr>
            <w:r>
              <w:rPr>
                <w:rFonts w:ascii="Calibri" w:hAnsi="Calibri"/>
                <w:bCs/>
                <w:szCs w:val="22"/>
              </w:rPr>
              <w:t>As the proposed works fall within the bounds of Listed Building Consent, it is only possible to assess the proposal on whether it would harm the significance of the Grade II Listed Building.</w:t>
            </w:r>
          </w:p>
          <w:p w14:paraId="07A958AF" w14:textId="2F6670FE" w:rsidR="0046548C" w:rsidRDefault="0046548C" w:rsidP="008542DE">
            <w:pPr>
              <w:pStyle w:val="Header"/>
              <w:tabs>
                <w:tab w:val="clear" w:pos="4153"/>
                <w:tab w:val="clear" w:pos="8306"/>
              </w:tabs>
              <w:contextualSpacing/>
              <w:jc w:val="both"/>
              <w:rPr>
                <w:rFonts w:ascii="Calibri" w:hAnsi="Calibri"/>
                <w:b/>
                <w:szCs w:val="22"/>
              </w:rPr>
            </w:pPr>
          </w:p>
        </w:tc>
      </w:tr>
      <w:tr w:rsidR="008542DE" w:rsidRPr="00D2449B" w14:paraId="2540EE5C"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4D1FF43" w14:textId="38869AF4" w:rsidR="008542DE" w:rsidRDefault="008542DE" w:rsidP="008542DE">
            <w:pPr>
              <w:pStyle w:val="Header"/>
              <w:tabs>
                <w:tab w:val="clear" w:pos="4153"/>
                <w:tab w:val="clear" w:pos="8306"/>
              </w:tabs>
              <w:contextualSpacing/>
              <w:jc w:val="both"/>
              <w:rPr>
                <w:rFonts w:ascii="Calibri" w:hAnsi="Calibri"/>
                <w:b/>
                <w:szCs w:val="22"/>
              </w:rPr>
            </w:pPr>
            <w:r>
              <w:rPr>
                <w:rFonts w:ascii="Calibri" w:hAnsi="Calibri"/>
                <w:b/>
                <w:szCs w:val="22"/>
              </w:rPr>
              <w:t>Impact upon Listed Building</w:t>
            </w:r>
            <w:r w:rsidR="00DB7D97">
              <w:rPr>
                <w:rFonts w:ascii="Calibri" w:hAnsi="Calibri"/>
                <w:b/>
                <w:szCs w:val="22"/>
              </w:rPr>
              <w:t>:</w:t>
            </w:r>
          </w:p>
          <w:p w14:paraId="79486478" w14:textId="77777777" w:rsidR="00DB7D97" w:rsidRDefault="00DB7D97" w:rsidP="00DB7D97">
            <w:pPr>
              <w:pStyle w:val="Header"/>
              <w:tabs>
                <w:tab w:val="left" w:pos="720"/>
              </w:tabs>
              <w:jc w:val="both"/>
              <w:rPr>
                <w:rFonts w:ascii="Calibri" w:hAnsi="Calibri"/>
                <w:b/>
              </w:rPr>
            </w:pPr>
          </w:p>
          <w:p w14:paraId="6943369E" w14:textId="77777777" w:rsidR="00DB7D97" w:rsidRDefault="00DB7D97" w:rsidP="00DB7D97">
            <w:pPr>
              <w:pStyle w:val="Header"/>
              <w:tabs>
                <w:tab w:val="left" w:pos="720"/>
              </w:tabs>
              <w:jc w:val="both"/>
              <w:rPr>
                <w:rFonts w:ascii="Calibri" w:hAnsi="Calibri"/>
                <w:bCs/>
                <w:i/>
                <w:iCs/>
              </w:rPr>
            </w:pPr>
            <w:r>
              <w:rPr>
                <w:rFonts w:ascii="Calibri" w:hAnsi="Calibri"/>
                <w:bCs/>
                <w:i/>
                <w:iCs/>
              </w:rPr>
              <w:t>Context</w:t>
            </w:r>
          </w:p>
          <w:p w14:paraId="5293424F" w14:textId="77777777" w:rsidR="00DB7D97" w:rsidRDefault="00DB7D97" w:rsidP="00DB7D97">
            <w:pPr>
              <w:pStyle w:val="Header"/>
              <w:tabs>
                <w:tab w:val="left" w:pos="720"/>
              </w:tabs>
              <w:jc w:val="both"/>
              <w:rPr>
                <w:rFonts w:ascii="Calibri" w:hAnsi="Calibri"/>
                <w:bCs/>
                <w:i/>
                <w:iCs/>
              </w:rPr>
            </w:pPr>
          </w:p>
          <w:p w14:paraId="7663B4A7" w14:textId="77777777" w:rsidR="00DB7D97" w:rsidRDefault="00DB7D97" w:rsidP="00DB7D97">
            <w:pPr>
              <w:jc w:val="both"/>
              <w:rPr>
                <w:rFonts w:ascii="Calibri" w:hAnsi="Calibri"/>
                <w:bCs/>
              </w:rPr>
            </w:pPr>
            <w:r>
              <w:rPr>
                <w:rFonts w:ascii="Calibri" w:hAnsi="Calibri"/>
                <w:bCs/>
              </w:rPr>
              <w:t>As per KS EN5, the Council states that there will be a presumption in favour of the conservation and enhancement of the significance of heritage assets and their settings with recognising that the best way of ensuring the long-term protection of heritage assets is to ensure a viable use that optimises opportunities for sustaining and enhancing its significance.</w:t>
            </w:r>
          </w:p>
          <w:p w14:paraId="6A165058" w14:textId="77777777" w:rsidR="00DB7D97" w:rsidRDefault="00DB7D97" w:rsidP="00DB7D97">
            <w:pPr>
              <w:jc w:val="both"/>
              <w:rPr>
                <w:rFonts w:ascii="Calibri" w:hAnsi="Calibri"/>
                <w:bCs/>
              </w:rPr>
            </w:pPr>
          </w:p>
          <w:p w14:paraId="3662FBF2" w14:textId="4EB0B95E" w:rsidR="00DB7D97" w:rsidRDefault="00DB7D97" w:rsidP="00DB7D97">
            <w:pPr>
              <w:jc w:val="both"/>
              <w:rPr>
                <w:rFonts w:ascii="Calibri" w:hAnsi="Calibri"/>
                <w:bCs/>
              </w:rPr>
            </w:pPr>
            <w:r>
              <w:rPr>
                <w:rFonts w:ascii="Calibri" w:hAnsi="Calibri"/>
                <w:bCs/>
              </w:rPr>
              <w:t xml:space="preserve">Policy DME4 concerns both Conservation Areas and Listed Buildings. With regard to Listed Buildings, the policy goes on to state that </w:t>
            </w:r>
            <w:r>
              <w:rPr>
                <w:rFonts w:ascii="Calibri" w:hAnsi="Calibri"/>
                <w:bCs/>
                <w:i/>
                <w:iCs/>
              </w:rPr>
              <w:t>‘alterations or extensions to listed buildings or buildings of local heritage interest, or development proposals on sites within their setting which cause harm to the significance of the heritage asset will not be supported.’</w:t>
            </w:r>
          </w:p>
          <w:p w14:paraId="0E683441" w14:textId="77777777" w:rsidR="00DB7D97" w:rsidRDefault="00DB7D97" w:rsidP="00DB7D97">
            <w:pPr>
              <w:jc w:val="both"/>
              <w:rPr>
                <w:rFonts w:ascii="Calibri" w:hAnsi="Calibri"/>
                <w:bCs/>
              </w:rPr>
            </w:pPr>
          </w:p>
          <w:p w14:paraId="4EA96413" w14:textId="77777777" w:rsidR="00DB7D97" w:rsidRDefault="00DB7D97" w:rsidP="00DB7D97">
            <w:pPr>
              <w:jc w:val="both"/>
              <w:rPr>
                <w:rFonts w:ascii="Calibri" w:hAnsi="Calibri"/>
                <w:bCs/>
                <w:i/>
                <w:iCs/>
              </w:rPr>
            </w:pPr>
            <w:r>
              <w:rPr>
                <w:rFonts w:ascii="Calibri" w:hAnsi="Calibri"/>
                <w:bCs/>
              </w:rPr>
              <w:t xml:space="preserve">The NPPF (2021) also states at Paragraph 202 that </w:t>
            </w:r>
            <w:r>
              <w:rPr>
                <w:rFonts w:ascii="Calibri" w:hAnsi="Calibri"/>
                <w:bCs/>
                <w:i/>
                <w:iCs/>
              </w:rPr>
              <w:t>‘where a development proposal will lead to less than substantial harm to the significance of a designated heritage asset, this harm should be weighed against the public benefits of the proposal’.</w:t>
            </w:r>
          </w:p>
          <w:p w14:paraId="53710B29" w14:textId="77777777" w:rsidR="00DB7D97" w:rsidRDefault="00DB7D97" w:rsidP="00DB7D97">
            <w:pPr>
              <w:jc w:val="both"/>
              <w:rPr>
                <w:rFonts w:ascii="Calibri" w:hAnsi="Calibri"/>
                <w:b/>
              </w:rPr>
            </w:pPr>
          </w:p>
          <w:p w14:paraId="32C61111" w14:textId="77777777" w:rsidR="00DB7D97" w:rsidRDefault="00DB7D97" w:rsidP="00DB7D97">
            <w:pPr>
              <w:jc w:val="both"/>
              <w:rPr>
                <w:rFonts w:ascii="Calibri" w:hAnsi="Calibri"/>
                <w:bCs/>
                <w:i/>
                <w:iCs/>
              </w:rPr>
            </w:pPr>
            <w:r>
              <w:rPr>
                <w:rFonts w:ascii="Calibri" w:hAnsi="Calibri"/>
                <w:bCs/>
                <w:i/>
                <w:iCs/>
              </w:rPr>
              <w:t>Assessment</w:t>
            </w:r>
          </w:p>
          <w:p w14:paraId="7389859A" w14:textId="77777777" w:rsidR="00DB7D97" w:rsidRDefault="00DB7D97" w:rsidP="00DB7D97">
            <w:pPr>
              <w:jc w:val="both"/>
              <w:rPr>
                <w:rFonts w:ascii="Calibri" w:hAnsi="Calibri"/>
                <w:bCs/>
              </w:rPr>
            </w:pPr>
          </w:p>
          <w:p w14:paraId="16EF1C2D" w14:textId="44795626" w:rsidR="008F3400" w:rsidRDefault="00DB7D97" w:rsidP="008F3400">
            <w:pPr>
              <w:pStyle w:val="Header"/>
              <w:tabs>
                <w:tab w:val="left" w:pos="720"/>
              </w:tabs>
              <w:jc w:val="both"/>
              <w:rPr>
                <w:rFonts w:ascii="Calibri" w:hAnsi="Calibri"/>
                <w:bCs/>
              </w:rPr>
            </w:pPr>
            <w:r w:rsidRPr="008F3400">
              <w:rPr>
                <w:rFonts w:ascii="Calibri" w:hAnsi="Calibri"/>
                <w:bCs/>
              </w:rPr>
              <w:t xml:space="preserve">It is noted that the observations made by the surveyor </w:t>
            </w:r>
            <w:r w:rsidR="008F3400" w:rsidRPr="008F3400">
              <w:rPr>
                <w:rFonts w:ascii="Calibri" w:hAnsi="Calibri"/>
                <w:bCs/>
              </w:rPr>
              <w:t xml:space="preserve">indicate </w:t>
            </w:r>
            <w:r w:rsidRPr="008F3400">
              <w:rPr>
                <w:rFonts w:ascii="Calibri" w:hAnsi="Calibri"/>
                <w:bCs/>
              </w:rPr>
              <w:t xml:space="preserve">that the damp plaster is likely caused by water ingress rather than penetrating damp leading to damp plaster and salts which are attracting further </w:t>
            </w:r>
            <w:r w:rsidRPr="008F3400">
              <w:rPr>
                <w:rFonts w:ascii="Calibri" w:hAnsi="Calibri"/>
                <w:bCs/>
              </w:rPr>
              <w:lastRenderedPageBreak/>
              <w:t xml:space="preserve">moisture. </w:t>
            </w:r>
            <w:r w:rsidR="008F3400">
              <w:rPr>
                <w:rFonts w:ascii="Calibri" w:hAnsi="Calibri"/>
                <w:bCs/>
              </w:rPr>
              <w:t>The works seek only to carry out appropriate and sensitive refurbishment of a GII Listed Building utilise like-for-like materials and a methodology that minimises any risk to the Listed Building.</w:t>
            </w:r>
          </w:p>
          <w:p w14:paraId="6A2BDA66" w14:textId="4AB06220" w:rsidR="008542DE" w:rsidRDefault="00DB7D97" w:rsidP="008F3400">
            <w:pPr>
              <w:jc w:val="both"/>
              <w:rPr>
                <w:rFonts w:ascii="Calibri" w:hAnsi="Calibri"/>
                <w:b/>
              </w:rPr>
            </w:pPr>
            <w:r w:rsidRPr="008F3400">
              <w:rPr>
                <w:rFonts w:ascii="Calibri" w:hAnsi="Calibri"/>
                <w:bCs/>
              </w:rPr>
              <w:t>The solution proposed appears appropriate and we have no concerns or objections about the proposed works recommended, which will preserve the special interest of the listed building.</w:t>
            </w:r>
            <w:r w:rsidR="008F3400">
              <w:rPr>
                <w:rFonts w:ascii="Calibri" w:hAnsi="Calibri"/>
                <w:bCs/>
              </w:rPr>
              <w:t xml:space="preserve"> As such the proposal is considered acceptable in this regard. </w:t>
            </w:r>
          </w:p>
          <w:p w14:paraId="632BE018" w14:textId="52217FAC" w:rsidR="0046548C" w:rsidRPr="00FA0D9D" w:rsidRDefault="0046548C" w:rsidP="0046548C">
            <w:pPr>
              <w:contextualSpacing/>
              <w:rPr>
                <w:rFonts w:ascii="Calibri" w:hAnsi="Calibri"/>
                <w:b/>
              </w:rPr>
            </w:pPr>
          </w:p>
        </w:tc>
      </w:tr>
      <w:tr w:rsidR="00C0704D" w:rsidRPr="00D2449B" w14:paraId="0A9D02B4"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EA09F9">
            <w:pPr>
              <w:contextualSpacing/>
              <w:jc w:val="both"/>
              <w:rPr>
                <w:rFonts w:ascii="Calibri" w:hAnsi="Calibri"/>
                <w:b/>
                <w:bCs/>
                <w:szCs w:val="22"/>
              </w:rPr>
            </w:pPr>
            <w:r w:rsidRPr="00D2449B">
              <w:rPr>
                <w:rFonts w:ascii="Calibri" w:hAnsi="Calibri"/>
                <w:b/>
                <w:bCs/>
                <w:szCs w:val="22"/>
              </w:rPr>
              <w:lastRenderedPageBreak/>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DD62F6" w:rsidRDefault="00C0704D" w:rsidP="00DD62F6">
            <w:pPr>
              <w:contextualSpacing/>
              <w:rPr>
                <w:rFonts w:ascii="Calibri" w:hAnsi="Calibri"/>
                <w:bCs/>
                <w:color w:val="548DD4" w:themeColor="text2" w:themeTint="99"/>
                <w:szCs w:val="22"/>
              </w:rPr>
            </w:pPr>
          </w:p>
          <w:p w14:paraId="31F985EE" w14:textId="77777777" w:rsidR="009F4443" w:rsidRDefault="008F3400" w:rsidP="00DD62F6">
            <w:pPr>
              <w:pStyle w:val="Header"/>
              <w:tabs>
                <w:tab w:val="clear" w:pos="4153"/>
                <w:tab w:val="clear" w:pos="8306"/>
              </w:tabs>
              <w:contextualSpacing/>
              <w:jc w:val="both"/>
              <w:rPr>
                <w:rFonts w:ascii="Calibri" w:hAnsi="Calibri"/>
                <w:bCs/>
                <w:szCs w:val="22"/>
              </w:rPr>
            </w:pPr>
            <w:r w:rsidRPr="008F3400">
              <w:rPr>
                <w:rFonts w:ascii="Calibri" w:hAnsi="Calibri"/>
                <w:bCs/>
                <w:szCs w:val="22"/>
              </w:rPr>
              <w:t>Having regard to the duty at section 66 of the Planning (Listed Buildings and Conservation Areas) Act 1990, in giving ‘great weight’ to the conservation of the designated heritage asset (NPPF paragraph 199) and in consideration to NPPF paragraph 197 (development sustaining and enhancing the significance of heritage assets and positively contributing to local character and distinctiveness) and Ribble Valley Core Strategy Key Statement EN5 and Policies DME4 the development is acceptable.</w:t>
            </w:r>
          </w:p>
          <w:p w14:paraId="3A4BD7A7" w14:textId="6AB6D2C4" w:rsidR="008F3400" w:rsidRDefault="008F3400" w:rsidP="00DD62F6">
            <w:pPr>
              <w:pStyle w:val="Header"/>
              <w:tabs>
                <w:tab w:val="clear" w:pos="4153"/>
                <w:tab w:val="clear" w:pos="8306"/>
              </w:tabs>
              <w:contextualSpacing/>
              <w:jc w:val="both"/>
              <w:rPr>
                <w:rFonts w:ascii="Calibri" w:hAnsi="Calibri"/>
                <w:b/>
                <w:szCs w:val="22"/>
              </w:rPr>
            </w:pPr>
          </w:p>
        </w:tc>
      </w:tr>
      <w:tr w:rsidR="00C0704D" w:rsidRPr="00D2449B" w14:paraId="507FC89B" w14:textId="77777777" w:rsidTr="00773A66">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C0704D" w:rsidRPr="00D2449B" w:rsidRDefault="00C0704D" w:rsidP="00CD2CEF">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320"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7A6064A5" w:rsidR="00C0704D" w:rsidRPr="00D2449B" w:rsidRDefault="00C0704D" w:rsidP="00CD2CEF">
            <w:pPr>
              <w:rPr>
                <w:rFonts w:ascii="Calibri" w:hAnsi="Calibri"/>
                <w:bCs/>
                <w:szCs w:val="22"/>
              </w:rPr>
            </w:pPr>
          </w:p>
        </w:tc>
      </w:tr>
      <w:tr w:rsidR="00773A66" w:rsidRPr="00D2449B" w14:paraId="755767E6" w14:textId="77777777" w:rsidTr="003C5F79">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9D01B5" w14:textId="2B757DFD" w:rsidR="00773A66" w:rsidRPr="00D2449B" w:rsidRDefault="00773A66" w:rsidP="00CD2CEF">
            <w:pPr>
              <w:rPr>
                <w:rFonts w:ascii="Calibri" w:hAnsi="Calibri"/>
                <w:bCs/>
                <w:szCs w:val="22"/>
              </w:rPr>
            </w:pPr>
            <w:r w:rsidRPr="009F4443">
              <w:rPr>
                <w:rFonts w:asciiTheme="minorHAnsi" w:hAnsiTheme="minorHAnsi"/>
                <w:bCs/>
                <w:szCs w:val="22"/>
              </w:rPr>
              <w:t xml:space="preserve">That </w:t>
            </w:r>
            <w:r w:rsidR="008F3400">
              <w:rPr>
                <w:rFonts w:asciiTheme="minorHAnsi" w:hAnsiTheme="minorHAnsi"/>
                <w:bCs/>
                <w:szCs w:val="22"/>
              </w:rPr>
              <w:t xml:space="preserve">Listed Building Consent be granted. </w:t>
            </w:r>
          </w:p>
        </w:tc>
      </w:tr>
    </w:tbl>
    <w:p w14:paraId="513FB541" w14:textId="77777777" w:rsidR="008F3400" w:rsidRPr="00D2449B" w:rsidRDefault="008F3400">
      <w:pPr>
        <w:rPr>
          <w:rFonts w:ascii="Calibri" w:hAnsi="Calibri"/>
          <w:szCs w:val="22"/>
        </w:rPr>
      </w:pPr>
    </w:p>
    <w:sectPr w:rsidR="008F3400"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B5CB5"/>
    <w:rsid w:val="00130035"/>
    <w:rsid w:val="001D4F7A"/>
    <w:rsid w:val="00250879"/>
    <w:rsid w:val="00282E3A"/>
    <w:rsid w:val="0029334A"/>
    <w:rsid w:val="002954E5"/>
    <w:rsid w:val="002A01CF"/>
    <w:rsid w:val="002C6277"/>
    <w:rsid w:val="002F2580"/>
    <w:rsid w:val="00321B6E"/>
    <w:rsid w:val="00440CB6"/>
    <w:rsid w:val="0046548C"/>
    <w:rsid w:val="004947BB"/>
    <w:rsid w:val="00497407"/>
    <w:rsid w:val="004A5EA9"/>
    <w:rsid w:val="004C2434"/>
    <w:rsid w:val="004F0649"/>
    <w:rsid w:val="00510FA2"/>
    <w:rsid w:val="00556ECD"/>
    <w:rsid w:val="005E1C6C"/>
    <w:rsid w:val="005E65DF"/>
    <w:rsid w:val="00692B60"/>
    <w:rsid w:val="006A71AD"/>
    <w:rsid w:val="006C2BFA"/>
    <w:rsid w:val="006F6849"/>
    <w:rsid w:val="0070054B"/>
    <w:rsid w:val="00761D2C"/>
    <w:rsid w:val="00773A66"/>
    <w:rsid w:val="00776AE2"/>
    <w:rsid w:val="007C791C"/>
    <w:rsid w:val="007D7DF4"/>
    <w:rsid w:val="007E0D23"/>
    <w:rsid w:val="007F16D6"/>
    <w:rsid w:val="00811771"/>
    <w:rsid w:val="00824DB6"/>
    <w:rsid w:val="00837F4F"/>
    <w:rsid w:val="008542DE"/>
    <w:rsid w:val="008A28C8"/>
    <w:rsid w:val="008F3400"/>
    <w:rsid w:val="009F4443"/>
    <w:rsid w:val="00A42E82"/>
    <w:rsid w:val="00A579BB"/>
    <w:rsid w:val="00A63D55"/>
    <w:rsid w:val="00A95D89"/>
    <w:rsid w:val="00B93EB5"/>
    <w:rsid w:val="00BD3F03"/>
    <w:rsid w:val="00C0704D"/>
    <w:rsid w:val="00C25722"/>
    <w:rsid w:val="00C618DB"/>
    <w:rsid w:val="00D11007"/>
    <w:rsid w:val="00D17EB1"/>
    <w:rsid w:val="00D2449B"/>
    <w:rsid w:val="00D54E67"/>
    <w:rsid w:val="00DB7D97"/>
    <w:rsid w:val="00DD62F6"/>
    <w:rsid w:val="00DF08B8"/>
    <w:rsid w:val="00E46243"/>
    <w:rsid w:val="00E60BF7"/>
    <w:rsid w:val="00E66534"/>
    <w:rsid w:val="00E72F6C"/>
    <w:rsid w:val="00EA09F9"/>
    <w:rsid w:val="00EC23C7"/>
    <w:rsid w:val="00ED00B7"/>
    <w:rsid w:val="00EF44E6"/>
    <w:rsid w:val="00F056A7"/>
    <w:rsid w:val="00FA59ED"/>
    <w:rsid w:val="00FA7112"/>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123512">
      <w:bodyDiv w:val="1"/>
      <w:marLeft w:val="0"/>
      <w:marRight w:val="0"/>
      <w:marTop w:val="0"/>
      <w:marBottom w:val="0"/>
      <w:divBdr>
        <w:top w:val="none" w:sz="0" w:space="0" w:color="auto"/>
        <w:left w:val="none" w:sz="0" w:space="0" w:color="auto"/>
        <w:bottom w:val="none" w:sz="0" w:space="0" w:color="auto"/>
        <w:right w:val="none" w:sz="0" w:space="0" w:color="auto"/>
      </w:divBdr>
    </w:div>
    <w:div w:id="1102144616">
      <w:bodyDiv w:val="1"/>
      <w:marLeft w:val="0"/>
      <w:marRight w:val="0"/>
      <w:marTop w:val="0"/>
      <w:marBottom w:val="0"/>
      <w:divBdr>
        <w:top w:val="none" w:sz="0" w:space="0" w:color="auto"/>
        <w:left w:val="none" w:sz="0" w:space="0" w:color="auto"/>
        <w:bottom w:val="none" w:sz="0" w:space="0" w:color="auto"/>
        <w:right w:val="none" w:sz="0" w:space="0" w:color="auto"/>
      </w:divBdr>
    </w:div>
    <w:div w:id="150813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2023-12-13T17:17:00Z</cp:lastPrinted>
  <dcterms:created xsi:type="dcterms:W3CDTF">2023-12-13T17:18:00Z</dcterms:created>
  <dcterms:modified xsi:type="dcterms:W3CDTF">2023-12-13T17:18:00Z</dcterms:modified>
</cp:coreProperties>
</file>