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1637"/>
        <w:gridCol w:w="36"/>
        <w:gridCol w:w="658"/>
        <w:gridCol w:w="2744"/>
        <w:gridCol w:w="3634"/>
      </w:tblGrid>
      <w:tr w:rsidR="004A5EA9" w:rsidRPr="00D2449B" w14:paraId="2094A164" w14:textId="77777777" w:rsidTr="00D7793B">
        <w:trPr>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57"/>
              <w:gridCol w:w="900"/>
              <w:gridCol w:w="865"/>
              <w:gridCol w:w="992"/>
              <w:gridCol w:w="1203"/>
              <w:gridCol w:w="1098"/>
              <w:gridCol w:w="722"/>
              <w:gridCol w:w="897"/>
              <w:gridCol w:w="1211"/>
            </w:tblGrid>
            <w:tr w:rsidR="00D7793B" w:rsidRPr="008C75E4" w14:paraId="0B81EEDC" w14:textId="77777777" w:rsidTr="00987540">
              <w:trPr>
                <w:jc w:val="center"/>
              </w:trPr>
              <w:tc>
                <w:tcPr>
                  <w:tcW w:w="9923" w:type="dxa"/>
                  <w:gridSpan w:val="9"/>
                  <w:tcMar>
                    <w:top w:w="57" w:type="dxa"/>
                    <w:bottom w:w="57" w:type="dxa"/>
                  </w:tcMar>
                </w:tcPr>
                <w:p w14:paraId="2A3D44B7" w14:textId="77777777" w:rsidR="00D7793B" w:rsidRPr="008C75E4" w:rsidRDefault="00D7793B" w:rsidP="00D7793B">
                  <w:pPr>
                    <w:jc w:val="center"/>
                    <w:rPr>
                      <w:rFonts w:ascii="Calibri" w:hAnsi="Calibri"/>
                      <w:b/>
                      <w:szCs w:val="22"/>
                    </w:rPr>
                  </w:pPr>
                  <w:r w:rsidRPr="008C75E4">
                    <w:rPr>
                      <w:rFonts w:ascii="Calibri" w:hAnsi="Calibri"/>
                      <w:b/>
                      <w:szCs w:val="22"/>
                    </w:rPr>
                    <w:t>Report to be read in conjunction with the Decision Notice.</w:t>
                  </w:r>
                </w:p>
              </w:tc>
            </w:tr>
            <w:tr w:rsidR="00EF2BAA" w:rsidRPr="008C75E4" w14:paraId="30316091" w14:textId="77777777" w:rsidTr="00987540">
              <w:trPr>
                <w:trHeight w:val="251"/>
                <w:jc w:val="center"/>
              </w:trPr>
              <w:tc>
                <w:tcPr>
                  <w:tcW w:w="1296" w:type="dxa"/>
                  <w:tcMar>
                    <w:top w:w="57" w:type="dxa"/>
                    <w:bottom w:w="57" w:type="dxa"/>
                  </w:tcMar>
                </w:tcPr>
                <w:p w14:paraId="12B52140" w14:textId="77777777" w:rsidR="00D7793B" w:rsidRDefault="00D7793B" w:rsidP="00D7793B">
                  <w:pPr>
                    <w:jc w:val="center"/>
                    <w:rPr>
                      <w:rFonts w:ascii="Calibri" w:hAnsi="Calibri"/>
                      <w:b/>
                      <w:szCs w:val="22"/>
                    </w:rPr>
                  </w:pPr>
                  <w:r w:rsidRPr="008C75E4">
                    <w:rPr>
                      <w:rFonts w:ascii="Calibri" w:hAnsi="Calibri"/>
                      <w:b/>
                      <w:szCs w:val="22"/>
                    </w:rPr>
                    <w:t>Signed:</w:t>
                  </w:r>
                </w:p>
                <w:p w14:paraId="49C957FC" w14:textId="77777777" w:rsidR="00D7793B" w:rsidRPr="008C75E4" w:rsidRDefault="00D7793B" w:rsidP="00D7793B">
                  <w:pPr>
                    <w:jc w:val="center"/>
                    <w:rPr>
                      <w:rFonts w:ascii="Calibri" w:hAnsi="Calibri"/>
                      <w:b/>
                      <w:szCs w:val="22"/>
                    </w:rPr>
                  </w:pPr>
                </w:p>
              </w:tc>
              <w:tc>
                <w:tcPr>
                  <w:tcW w:w="900" w:type="dxa"/>
                </w:tcPr>
                <w:p w14:paraId="4C41402E" w14:textId="77777777" w:rsidR="00D7793B" w:rsidRPr="008C75E4" w:rsidRDefault="00D7793B" w:rsidP="00D7793B">
                  <w:pPr>
                    <w:jc w:val="center"/>
                    <w:rPr>
                      <w:rFonts w:ascii="Calibri" w:hAnsi="Calibri"/>
                      <w:b/>
                      <w:szCs w:val="22"/>
                    </w:rPr>
                  </w:pPr>
                  <w:r w:rsidRPr="008C75E4">
                    <w:rPr>
                      <w:rFonts w:ascii="Calibri" w:hAnsi="Calibri"/>
                      <w:b/>
                      <w:szCs w:val="22"/>
                    </w:rPr>
                    <w:t>Officer:</w:t>
                  </w:r>
                </w:p>
              </w:tc>
              <w:tc>
                <w:tcPr>
                  <w:tcW w:w="1080" w:type="dxa"/>
                </w:tcPr>
                <w:p w14:paraId="7E47F22F" w14:textId="77777777" w:rsidR="00D7793B" w:rsidRPr="004D33C8" w:rsidRDefault="00D7793B" w:rsidP="00D7793B">
                  <w:pPr>
                    <w:jc w:val="center"/>
                    <w:rPr>
                      <w:rFonts w:ascii="Calibri" w:hAnsi="Calibri"/>
                      <w:szCs w:val="22"/>
                    </w:rPr>
                  </w:pPr>
                  <w:r w:rsidRPr="004D33C8">
                    <w:rPr>
                      <w:rFonts w:ascii="Calibri" w:hAnsi="Calibri"/>
                      <w:szCs w:val="22"/>
                    </w:rPr>
                    <w:t>BT</w:t>
                  </w:r>
                </w:p>
              </w:tc>
              <w:tc>
                <w:tcPr>
                  <w:tcW w:w="1136" w:type="dxa"/>
                </w:tcPr>
                <w:p w14:paraId="2922EE3C" w14:textId="77777777" w:rsidR="00D7793B" w:rsidRPr="008C75E4" w:rsidRDefault="00D7793B" w:rsidP="00D7793B">
                  <w:pPr>
                    <w:jc w:val="center"/>
                    <w:rPr>
                      <w:rFonts w:ascii="Calibri" w:hAnsi="Calibri"/>
                      <w:b/>
                      <w:szCs w:val="22"/>
                    </w:rPr>
                  </w:pPr>
                  <w:r w:rsidRPr="008C75E4">
                    <w:rPr>
                      <w:rFonts w:ascii="Calibri" w:hAnsi="Calibri"/>
                      <w:b/>
                      <w:szCs w:val="22"/>
                    </w:rPr>
                    <w:t>Date:</w:t>
                  </w:r>
                </w:p>
              </w:tc>
              <w:tc>
                <w:tcPr>
                  <w:tcW w:w="1278" w:type="dxa"/>
                </w:tcPr>
                <w:p w14:paraId="3C1A42B2" w14:textId="3E4D010A" w:rsidR="00D7793B" w:rsidRPr="004D33C8" w:rsidRDefault="008E6CF5" w:rsidP="00D7793B">
                  <w:pPr>
                    <w:jc w:val="center"/>
                    <w:rPr>
                      <w:rFonts w:ascii="Calibri" w:hAnsi="Calibri"/>
                      <w:szCs w:val="22"/>
                    </w:rPr>
                  </w:pPr>
                  <w:r>
                    <w:rPr>
                      <w:rFonts w:ascii="Calibri" w:hAnsi="Calibri"/>
                      <w:szCs w:val="22"/>
                    </w:rPr>
                    <w:t>1</w:t>
                  </w:r>
                  <w:r w:rsidR="00F86285">
                    <w:rPr>
                      <w:rFonts w:ascii="Calibri" w:hAnsi="Calibri"/>
                      <w:szCs w:val="22"/>
                    </w:rPr>
                    <w:t>4</w:t>
                  </w:r>
                  <w:r w:rsidR="00D7793B">
                    <w:rPr>
                      <w:rFonts w:ascii="Calibri" w:hAnsi="Calibri"/>
                      <w:szCs w:val="22"/>
                    </w:rPr>
                    <w:t>/</w:t>
                  </w:r>
                  <w:r w:rsidR="00EF2BAA">
                    <w:rPr>
                      <w:rFonts w:ascii="Calibri" w:hAnsi="Calibri"/>
                      <w:szCs w:val="22"/>
                    </w:rPr>
                    <w:t>11</w:t>
                  </w:r>
                  <w:r w:rsidR="00D7793B">
                    <w:rPr>
                      <w:rFonts w:ascii="Calibri" w:hAnsi="Calibri"/>
                      <w:szCs w:val="22"/>
                    </w:rPr>
                    <w:t>/23</w:t>
                  </w:r>
                </w:p>
              </w:tc>
              <w:tc>
                <w:tcPr>
                  <w:tcW w:w="1098" w:type="dxa"/>
                </w:tcPr>
                <w:p w14:paraId="567D8AC4" w14:textId="77777777" w:rsidR="00D7793B" w:rsidRPr="008C75E4" w:rsidRDefault="00D7793B" w:rsidP="00D7793B">
                  <w:pPr>
                    <w:jc w:val="center"/>
                    <w:rPr>
                      <w:rFonts w:ascii="Calibri" w:hAnsi="Calibri"/>
                      <w:b/>
                      <w:szCs w:val="22"/>
                    </w:rPr>
                  </w:pPr>
                  <w:r w:rsidRPr="008C75E4">
                    <w:rPr>
                      <w:rFonts w:ascii="Calibri" w:hAnsi="Calibri"/>
                      <w:b/>
                      <w:szCs w:val="22"/>
                    </w:rPr>
                    <w:t>Manager:</w:t>
                  </w:r>
                </w:p>
              </w:tc>
              <w:tc>
                <w:tcPr>
                  <w:tcW w:w="862" w:type="dxa"/>
                </w:tcPr>
                <w:p w14:paraId="294174D2" w14:textId="49C4C78C" w:rsidR="00D7793B" w:rsidRPr="008C75E4" w:rsidRDefault="00FA58F7" w:rsidP="00D7793B">
                  <w:pPr>
                    <w:jc w:val="center"/>
                    <w:rPr>
                      <w:rFonts w:ascii="Calibri" w:hAnsi="Calibri"/>
                      <w:b/>
                      <w:szCs w:val="22"/>
                    </w:rPr>
                  </w:pPr>
                  <w:r>
                    <w:rPr>
                      <w:rFonts w:ascii="Calibri" w:hAnsi="Calibri"/>
                      <w:b/>
                      <w:szCs w:val="22"/>
                    </w:rPr>
                    <w:t>LH</w:t>
                  </w:r>
                </w:p>
              </w:tc>
              <w:tc>
                <w:tcPr>
                  <w:tcW w:w="992" w:type="dxa"/>
                </w:tcPr>
                <w:p w14:paraId="4F2B5A2E" w14:textId="77777777" w:rsidR="00D7793B" w:rsidRPr="008C75E4" w:rsidRDefault="00D7793B" w:rsidP="00D7793B">
                  <w:pPr>
                    <w:jc w:val="center"/>
                    <w:rPr>
                      <w:rFonts w:ascii="Calibri" w:hAnsi="Calibri"/>
                      <w:b/>
                      <w:szCs w:val="22"/>
                    </w:rPr>
                  </w:pPr>
                  <w:r w:rsidRPr="008C75E4">
                    <w:rPr>
                      <w:rFonts w:ascii="Calibri" w:hAnsi="Calibri"/>
                      <w:b/>
                      <w:szCs w:val="22"/>
                    </w:rPr>
                    <w:t>Date:</w:t>
                  </w:r>
                </w:p>
              </w:tc>
              <w:tc>
                <w:tcPr>
                  <w:tcW w:w="1281" w:type="dxa"/>
                </w:tcPr>
                <w:p w14:paraId="4D2F71E6" w14:textId="52FD5833" w:rsidR="00D7793B" w:rsidRPr="008C75E4" w:rsidRDefault="00FA58F7" w:rsidP="00D7793B">
                  <w:pPr>
                    <w:rPr>
                      <w:rFonts w:ascii="Calibri" w:hAnsi="Calibri"/>
                      <w:b/>
                      <w:szCs w:val="22"/>
                    </w:rPr>
                  </w:pPr>
                  <w:r>
                    <w:rPr>
                      <w:rFonts w:ascii="Calibri" w:hAnsi="Calibri"/>
                      <w:b/>
                      <w:szCs w:val="22"/>
                    </w:rPr>
                    <w:t>15/11/23</w:t>
                  </w:r>
                </w:p>
              </w:tc>
            </w:tr>
            <w:tr w:rsidR="00D7793B" w:rsidRPr="008C75E4" w14:paraId="039D3A02" w14:textId="77777777" w:rsidTr="00987540">
              <w:trPr>
                <w:jc w:val="center"/>
              </w:trPr>
              <w:tc>
                <w:tcPr>
                  <w:tcW w:w="9923" w:type="dxa"/>
                  <w:gridSpan w:val="9"/>
                  <w:tcBorders>
                    <w:left w:val="nil"/>
                    <w:right w:val="nil"/>
                  </w:tcBorders>
                  <w:tcMar>
                    <w:top w:w="57" w:type="dxa"/>
                    <w:bottom w:w="57" w:type="dxa"/>
                  </w:tcMar>
                </w:tcPr>
                <w:p w14:paraId="7152769C" w14:textId="77777777" w:rsidR="00D7793B" w:rsidRPr="008C75E4" w:rsidRDefault="00D7793B" w:rsidP="00D7793B">
                  <w:pPr>
                    <w:jc w:val="center"/>
                    <w:rPr>
                      <w:rFonts w:ascii="Calibri" w:hAnsi="Calibri"/>
                      <w:b/>
                      <w:szCs w:val="22"/>
                    </w:rPr>
                  </w:pPr>
                </w:p>
              </w:tc>
            </w:tr>
          </w:tbl>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7793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9CF3976" w:rsidR="004A5EA9" w:rsidRPr="006C4E21" w:rsidRDefault="006C4E21" w:rsidP="008542DE">
            <w:pPr>
              <w:rPr>
                <w:rFonts w:ascii="Calibri" w:hAnsi="Calibri"/>
                <w:szCs w:val="22"/>
              </w:rPr>
            </w:pPr>
            <w:r w:rsidRPr="006C4E21">
              <w:rPr>
                <w:rFonts w:ascii="Calibri" w:hAnsi="Calibri"/>
                <w:szCs w:val="22"/>
              </w:rPr>
              <w:t>3/202</w:t>
            </w:r>
            <w:r w:rsidR="00686398">
              <w:rPr>
                <w:rFonts w:ascii="Calibri" w:hAnsi="Calibri"/>
                <w:szCs w:val="22"/>
              </w:rPr>
              <w:t>3/0</w:t>
            </w:r>
            <w:r w:rsidR="00EF2BAA">
              <w:rPr>
                <w:rFonts w:ascii="Calibri" w:hAnsi="Calibri"/>
                <w:szCs w:val="22"/>
              </w:rPr>
              <w:t>746</w:t>
            </w:r>
          </w:p>
        </w:tc>
        <w:tc>
          <w:tcPr>
            <w:tcW w:w="363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D7793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4EF51D0" w:rsidR="004A5EA9" w:rsidRPr="006C4E21" w:rsidRDefault="00EF2BAA" w:rsidP="002C6277">
            <w:pPr>
              <w:rPr>
                <w:rFonts w:ascii="Calibri" w:hAnsi="Calibri"/>
                <w:szCs w:val="22"/>
              </w:rPr>
            </w:pPr>
            <w:r>
              <w:rPr>
                <w:rFonts w:ascii="Calibri" w:hAnsi="Calibri"/>
                <w:szCs w:val="22"/>
              </w:rPr>
              <w:t>17/10/23</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D7793B">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F8DE330" w:rsidR="004A5EA9" w:rsidRPr="006C4E21" w:rsidRDefault="006C4E21" w:rsidP="00811771">
            <w:pPr>
              <w:rPr>
                <w:rFonts w:ascii="Calibri" w:hAnsi="Calibri"/>
                <w:szCs w:val="22"/>
              </w:rPr>
            </w:pPr>
            <w:r w:rsidRPr="006C4E21">
              <w:rPr>
                <w:rFonts w:ascii="Calibri" w:hAnsi="Calibri"/>
                <w:szCs w:val="22"/>
              </w:rPr>
              <w:t>BT</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7793B">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020B396" w:rsidR="004A5EA9" w:rsidRPr="00D2449B" w:rsidRDefault="00C0080F" w:rsidP="002A01CF">
            <w:pPr>
              <w:jc w:val="center"/>
              <w:rPr>
                <w:rFonts w:ascii="Calibri" w:hAnsi="Calibri"/>
                <w:b/>
                <w:szCs w:val="22"/>
              </w:rPr>
            </w:pPr>
            <w:r>
              <w:rPr>
                <w:rFonts w:ascii="Calibri" w:hAnsi="Calibri"/>
                <w:b/>
                <w:szCs w:val="22"/>
              </w:rPr>
              <w:t>REFUSAL</w:t>
            </w:r>
          </w:p>
        </w:tc>
      </w:tr>
      <w:tr w:rsidR="004A5EA9" w:rsidRPr="00D2449B" w14:paraId="7813B96A" w14:textId="77777777" w:rsidTr="00D7793B">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7793B">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B1B7DF2" w:rsidR="004A5EA9" w:rsidRPr="002C6277" w:rsidRDefault="00EF2BAA">
            <w:pPr>
              <w:rPr>
                <w:rFonts w:ascii="Calibri" w:hAnsi="Calibri"/>
                <w:szCs w:val="22"/>
              </w:rPr>
            </w:pPr>
            <w:r w:rsidRPr="00EF2BAA">
              <w:rPr>
                <w:rFonts w:ascii="Calibri" w:hAnsi="Calibri"/>
                <w:szCs w:val="22"/>
              </w:rPr>
              <w:t>Certificate of Lawfulness for existing use of agricultural building as a dwellinghouse.</w:t>
            </w:r>
          </w:p>
        </w:tc>
      </w:tr>
      <w:tr w:rsidR="002A01CF" w:rsidRPr="00D2449B" w14:paraId="52988241" w14:textId="77777777" w:rsidTr="00D7793B">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DB6B814" w:rsidR="002A01CF" w:rsidRPr="00EF2BAA" w:rsidRDefault="00EF2BAA" w:rsidP="00A42E82">
            <w:pPr>
              <w:rPr>
                <w:rFonts w:ascii="Calibri" w:hAnsi="Calibri"/>
                <w:szCs w:val="22"/>
              </w:rPr>
            </w:pPr>
            <w:r w:rsidRPr="00EF2BAA">
              <w:rPr>
                <w:rFonts w:ascii="Calibri" w:hAnsi="Calibri"/>
                <w:szCs w:val="22"/>
              </w:rPr>
              <w:t>Land at Pendleton Road, Wiswell, BB7 9BZ.</w:t>
            </w:r>
          </w:p>
        </w:tc>
      </w:tr>
      <w:tr w:rsidR="00A95D89" w:rsidRPr="00D2449B" w14:paraId="3FB99B2E" w14:textId="77777777" w:rsidTr="00D7793B">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7793B">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64F9A19" w:rsidR="002A01CF" w:rsidRPr="006C4E21" w:rsidRDefault="002109BA">
            <w:pPr>
              <w:rPr>
                <w:rFonts w:ascii="Calibri" w:hAnsi="Calibri"/>
                <w:bCs/>
                <w:szCs w:val="22"/>
              </w:rPr>
            </w:pPr>
            <w:r>
              <w:rPr>
                <w:rFonts w:ascii="Calibri" w:hAnsi="Calibri"/>
                <w:bCs/>
                <w:szCs w:val="22"/>
              </w:rPr>
              <w:t>N/A</w:t>
            </w:r>
          </w:p>
        </w:tc>
      </w:tr>
      <w:tr w:rsidR="00C618DB" w:rsidRPr="00D2449B" w14:paraId="639E958B" w14:textId="77777777" w:rsidTr="00D7793B">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7793B">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EF2BAA" w:rsidRPr="00D2449B" w14:paraId="1EA955B4" w14:textId="77777777" w:rsidTr="00DD2BB0">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6B45ED1C" w:rsidR="00EF2BAA" w:rsidRPr="006C4E21" w:rsidRDefault="00EF2BAA">
            <w:pPr>
              <w:rPr>
                <w:rFonts w:ascii="Calibri" w:hAnsi="Calibri"/>
                <w:bCs/>
                <w:szCs w:val="22"/>
              </w:rPr>
            </w:pPr>
            <w:r>
              <w:rPr>
                <w:rFonts w:ascii="Calibri" w:hAnsi="Calibri"/>
                <w:bCs/>
                <w:szCs w:val="22"/>
              </w:rPr>
              <w:t>N/A</w:t>
            </w:r>
          </w:p>
        </w:tc>
      </w:tr>
      <w:tr w:rsidR="00A54DF1" w:rsidRPr="00D2449B" w14:paraId="62663AAF" w14:textId="77777777" w:rsidTr="00D7793B">
        <w:trPr>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E3F4E8B" w:rsidR="00A54DF1" w:rsidRPr="00C0704D" w:rsidRDefault="00A54DF1" w:rsidP="00A54DF1">
            <w:pPr>
              <w:jc w:val="right"/>
              <w:rPr>
                <w:rFonts w:ascii="Calibri" w:hAnsi="Calibri"/>
                <w:szCs w:val="22"/>
              </w:rPr>
            </w:pPr>
          </w:p>
        </w:tc>
      </w:tr>
      <w:tr w:rsidR="00C0704D" w:rsidRPr="00D2449B" w14:paraId="29EBDA1F" w14:textId="77777777" w:rsidTr="00D7793B">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76F0896" w:rsidR="00C0704D" w:rsidRPr="00C0704D" w:rsidRDefault="00DA3500" w:rsidP="00692B60">
            <w:pPr>
              <w:rPr>
                <w:rFonts w:ascii="Calibri" w:hAnsi="Calibri"/>
                <w:szCs w:val="22"/>
              </w:rPr>
            </w:pPr>
            <w:r>
              <w:rPr>
                <w:rFonts w:ascii="Calibri" w:hAnsi="Calibri"/>
                <w:szCs w:val="22"/>
              </w:rPr>
              <w:t>Although no public consultation was undertaken two representations were received expressing concern about issuing a certificate given the site’s enforcement history and reason for allowing the building for agricultural use, and also raising concerns about planning considerations.</w:t>
            </w:r>
          </w:p>
        </w:tc>
      </w:tr>
      <w:tr w:rsidR="00C0704D" w:rsidRPr="00D2449B" w14:paraId="1CDFA4C3" w14:textId="77777777" w:rsidTr="00D7793B">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56B6D0" w14:textId="77777777" w:rsidR="00686398" w:rsidRDefault="00686398" w:rsidP="00686398">
            <w:pPr>
              <w:rPr>
                <w:rFonts w:ascii="Calibri" w:hAnsi="Calibri"/>
                <w:szCs w:val="22"/>
              </w:rPr>
            </w:pPr>
          </w:p>
          <w:p w14:paraId="08CB61FC" w14:textId="6CF68B9B" w:rsidR="00686398" w:rsidRPr="00686398" w:rsidRDefault="00681E01" w:rsidP="00686398">
            <w:pPr>
              <w:rPr>
                <w:rFonts w:ascii="Calibri" w:hAnsi="Calibri"/>
                <w:i/>
                <w:iCs/>
                <w:szCs w:val="22"/>
              </w:rPr>
            </w:pPr>
            <w:r>
              <w:rPr>
                <w:rFonts w:ascii="Calibri" w:hAnsi="Calibri"/>
                <w:szCs w:val="22"/>
              </w:rPr>
              <w:t>Town and Country Plan</w:t>
            </w:r>
            <w:r w:rsidR="0035044F">
              <w:rPr>
                <w:rFonts w:ascii="Calibri" w:hAnsi="Calibri"/>
                <w:szCs w:val="22"/>
              </w:rPr>
              <w:t>ning</w:t>
            </w:r>
            <w:r>
              <w:rPr>
                <w:rFonts w:ascii="Calibri" w:hAnsi="Calibri"/>
                <w:szCs w:val="22"/>
              </w:rPr>
              <w:t xml:space="preserve"> Act 1990</w:t>
            </w:r>
            <w:r w:rsidR="0035044F">
              <w:rPr>
                <w:rFonts w:ascii="Calibri" w:hAnsi="Calibri"/>
                <w:szCs w:val="22"/>
              </w:rPr>
              <w:t>,</w:t>
            </w:r>
            <w:r>
              <w:rPr>
                <w:rFonts w:ascii="Calibri" w:hAnsi="Calibri"/>
                <w:szCs w:val="22"/>
              </w:rPr>
              <w:t xml:space="preserve"> </w:t>
            </w:r>
            <w:r w:rsidR="00686398" w:rsidRPr="00686398">
              <w:rPr>
                <w:rFonts w:ascii="Calibri" w:hAnsi="Calibri"/>
                <w:szCs w:val="22"/>
              </w:rPr>
              <w:t>Section 171(B); Section 191</w:t>
            </w:r>
          </w:p>
          <w:p w14:paraId="1A0C4DD2" w14:textId="77777777" w:rsidR="00681E01" w:rsidRDefault="00681E01" w:rsidP="00C0704D">
            <w:pPr>
              <w:rPr>
                <w:rFonts w:ascii="Calibri" w:hAnsi="Calibri"/>
                <w:szCs w:val="22"/>
              </w:rPr>
            </w:pPr>
          </w:p>
          <w:p w14:paraId="03F5E778" w14:textId="67BAE789" w:rsidR="00F9645B" w:rsidRPr="00681E01" w:rsidRDefault="00681E01" w:rsidP="001F1BF5">
            <w:pPr>
              <w:rPr>
                <w:rFonts w:ascii="Calibri" w:hAnsi="Calibri"/>
                <w:szCs w:val="22"/>
              </w:rPr>
            </w:pPr>
            <w:r w:rsidRPr="00681E01">
              <w:rPr>
                <w:rFonts w:ascii="Calibri" w:hAnsi="Calibri"/>
                <w:szCs w:val="22"/>
              </w:rPr>
              <w:t xml:space="preserve">National Planning Practice Guidance: Lawful </w:t>
            </w:r>
            <w:r w:rsidR="00686398">
              <w:rPr>
                <w:rFonts w:ascii="Calibri" w:hAnsi="Calibri"/>
                <w:szCs w:val="22"/>
              </w:rPr>
              <w:t>D</w:t>
            </w:r>
            <w:r w:rsidRPr="00681E01">
              <w:rPr>
                <w:rFonts w:ascii="Calibri" w:hAnsi="Calibri"/>
                <w:szCs w:val="22"/>
              </w:rPr>
              <w:t>evelopment Certificates</w:t>
            </w:r>
          </w:p>
          <w:p w14:paraId="6C4C318E" w14:textId="2253CD40" w:rsidR="001F1BF5" w:rsidRPr="00D2449B" w:rsidRDefault="001F1BF5" w:rsidP="001F1BF5">
            <w:pPr>
              <w:rPr>
                <w:rFonts w:ascii="Calibri" w:hAnsi="Calibri"/>
                <w:b/>
                <w:szCs w:val="22"/>
              </w:rPr>
            </w:pPr>
          </w:p>
        </w:tc>
      </w:tr>
      <w:tr w:rsidR="00C0704D" w:rsidRPr="00D2449B" w14:paraId="08181FD6"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9C91DA8" w14:textId="77777777" w:rsidR="00686398" w:rsidRDefault="00686398" w:rsidP="00EF2BAA">
            <w:pPr>
              <w:pStyle w:val="PLANNING"/>
              <w:rPr>
                <w:rFonts w:ascii="Calibri" w:hAnsi="Calibri"/>
                <w:szCs w:val="22"/>
              </w:rPr>
            </w:pPr>
          </w:p>
          <w:p w14:paraId="070B4885" w14:textId="03C76D93" w:rsidR="00EF2BAA" w:rsidRPr="00EF2BAA" w:rsidRDefault="00EF2BAA" w:rsidP="00EF2BAA">
            <w:pPr>
              <w:pStyle w:val="PLANNING"/>
              <w:rPr>
                <w:rFonts w:ascii="Calibri" w:hAnsi="Calibri"/>
                <w:b/>
                <w:bCs/>
                <w:szCs w:val="22"/>
              </w:rPr>
            </w:pPr>
            <w:r w:rsidRPr="00EF2BAA">
              <w:rPr>
                <w:rFonts w:ascii="Calibri" w:hAnsi="Calibri"/>
                <w:b/>
                <w:bCs/>
                <w:szCs w:val="22"/>
              </w:rPr>
              <w:t>3/2022/0345:</w:t>
            </w:r>
          </w:p>
          <w:p w14:paraId="22D4E32A" w14:textId="3933DED1" w:rsidR="00EF2BAA" w:rsidRDefault="00EF2BAA" w:rsidP="00EF2BAA">
            <w:pPr>
              <w:pStyle w:val="PLANNING"/>
              <w:rPr>
                <w:rFonts w:ascii="Calibri" w:hAnsi="Calibri"/>
                <w:szCs w:val="22"/>
              </w:rPr>
            </w:pPr>
            <w:r w:rsidRPr="00EF2BAA">
              <w:rPr>
                <w:rFonts w:ascii="Calibri" w:hAnsi="Calibri"/>
                <w:szCs w:val="22"/>
              </w:rPr>
              <w:t>Discharge of conditions 3 (Materials) 7 (Replacement Trees) and 8 (Boundary Treatments) from planning permission 3/2018/0989.</w:t>
            </w:r>
            <w:r>
              <w:rPr>
                <w:rFonts w:ascii="Calibri" w:hAnsi="Calibri"/>
                <w:szCs w:val="22"/>
              </w:rPr>
              <w:t xml:space="preserve"> (Approved)</w:t>
            </w:r>
          </w:p>
          <w:p w14:paraId="60289303" w14:textId="77777777" w:rsidR="00EF2BAA" w:rsidRDefault="00EF2BAA" w:rsidP="00EF2BAA">
            <w:pPr>
              <w:pStyle w:val="PLANNING"/>
              <w:rPr>
                <w:rFonts w:ascii="Calibri" w:hAnsi="Calibri"/>
                <w:szCs w:val="22"/>
              </w:rPr>
            </w:pPr>
          </w:p>
          <w:p w14:paraId="097BC577" w14:textId="63BD8DC5" w:rsidR="00EF2BAA" w:rsidRPr="00EF2BAA" w:rsidRDefault="00EF2BAA" w:rsidP="00EF2BAA">
            <w:pPr>
              <w:pStyle w:val="PLANNING"/>
              <w:rPr>
                <w:rFonts w:ascii="Calibri" w:hAnsi="Calibri"/>
                <w:b/>
                <w:bCs/>
                <w:szCs w:val="22"/>
              </w:rPr>
            </w:pPr>
            <w:r w:rsidRPr="00EF2BAA">
              <w:rPr>
                <w:rFonts w:ascii="Calibri" w:hAnsi="Calibri"/>
                <w:b/>
                <w:bCs/>
                <w:szCs w:val="22"/>
              </w:rPr>
              <w:t>3/2018/0989:</w:t>
            </w:r>
          </w:p>
          <w:p w14:paraId="3992C7EB" w14:textId="6B5FD92C" w:rsidR="00EF2BAA" w:rsidRDefault="00EF2BAA" w:rsidP="00EF2BAA">
            <w:pPr>
              <w:pStyle w:val="PLANNING"/>
              <w:rPr>
                <w:rFonts w:ascii="Calibri" w:hAnsi="Calibri"/>
                <w:szCs w:val="22"/>
              </w:rPr>
            </w:pPr>
            <w:r>
              <w:rPr>
                <w:rFonts w:ascii="Calibri" w:hAnsi="Calibri"/>
                <w:szCs w:val="22"/>
              </w:rPr>
              <w:t>P</w:t>
            </w:r>
            <w:r w:rsidRPr="00EF2BAA">
              <w:rPr>
                <w:rFonts w:ascii="Calibri" w:hAnsi="Calibri"/>
                <w:szCs w:val="22"/>
              </w:rPr>
              <w:t>roposed extension to existing agricultural building. Regularisation of the existing building</w:t>
            </w:r>
            <w:r>
              <w:rPr>
                <w:rFonts w:ascii="Calibri" w:hAnsi="Calibri"/>
                <w:szCs w:val="22"/>
              </w:rPr>
              <w:t xml:space="preserve"> (Approved)</w:t>
            </w:r>
          </w:p>
          <w:p w14:paraId="578C6B75" w14:textId="77777777" w:rsidR="00EF2BAA" w:rsidRDefault="00EF2BAA" w:rsidP="00EF2BAA">
            <w:pPr>
              <w:pStyle w:val="PLANNING"/>
              <w:rPr>
                <w:rFonts w:ascii="Calibri" w:hAnsi="Calibri"/>
                <w:szCs w:val="22"/>
              </w:rPr>
            </w:pPr>
          </w:p>
          <w:p w14:paraId="32BB2B06" w14:textId="15467C51" w:rsidR="00EF2BAA" w:rsidRDefault="00EF2BAA" w:rsidP="00EF2BAA">
            <w:pPr>
              <w:pStyle w:val="PLANNING"/>
              <w:rPr>
                <w:rFonts w:ascii="Calibri" w:hAnsi="Calibri"/>
                <w:b/>
                <w:bCs/>
                <w:szCs w:val="22"/>
              </w:rPr>
            </w:pPr>
            <w:r w:rsidRPr="00EF2BAA">
              <w:rPr>
                <w:rFonts w:ascii="Calibri" w:hAnsi="Calibri"/>
                <w:b/>
                <w:bCs/>
                <w:szCs w:val="22"/>
              </w:rPr>
              <w:t>APP/T2350/C/23/3318459</w:t>
            </w:r>
            <w:r>
              <w:rPr>
                <w:rFonts w:ascii="Calibri" w:hAnsi="Calibri"/>
                <w:b/>
                <w:bCs/>
                <w:szCs w:val="22"/>
              </w:rPr>
              <w:t>:</w:t>
            </w:r>
          </w:p>
          <w:p w14:paraId="67F02627" w14:textId="0C0BA663" w:rsidR="00EF2BAA" w:rsidRPr="00EF2BAA" w:rsidRDefault="005464DC" w:rsidP="00EF2BAA">
            <w:pPr>
              <w:pStyle w:val="PLANNING"/>
              <w:rPr>
                <w:rFonts w:ascii="Calibri" w:hAnsi="Calibri"/>
                <w:szCs w:val="22"/>
              </w:rPr>
            </w:pPr>
            <w:r w:rsidRPr="005464DC">
              <w:rPr>
                <w:rFonts w:ascii="Calibri" w:hAnsi="Calibri"/>
                <w:szCs w:val="22"/>
              </w:rPr>
              <w:t>Land on North-west side of Pendleton Road, Wiswell</w:t>
            </w:r>
            <w:r>
              <w:rPr>
                <w:rFonts w:ascii="Calibri" w:hAnsi="Calibri"/>
                <w:szCs w:val="22"/>
              </w:rPr>
              <w:t xml:space="preserve"> (Ongoing)</w:t>
            </w:r>
          </w:p>
          <w:p w14:paraId="17147D50" w14:textId="12E1CB94" w:rsidR="00EF2BAA" w:rsidRPr="00553D35" w:rsidRDefault="00EF2BAA" w:rsidP="00EF2BAA">
            <w:pPr>
              <w:pStyle w:val="PLANNING"/>
              <w:rPr>
                <w:rFonts w:ascii="Calibri" w:hAnsi="Calibri"/>
                <w:szCs w:val="22"/>
              </w:rPr>
            </w:pPr>
          </w:p>
        </w:tc>
      </w:tr>
      <w:tr w:rsidR="00C0704D" w:rsidRPr="00D2449B" w14:paraId="6AAC3B0A" w14:textId="77777777" w:rsidTr="00D7793B">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A45459B"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4E8C3841" w14:textId="77777777" w:rsidR="00F9645B" w:rsidRDefault="00F9645B" w:rsidP="00440CB6">
            <w:pPr>
              <w:pStyle w:val="Header"/>
              <w:tabs>
                <w:tab w:val="clear" w:pos="4153"/>
                <w:tab w:val="clear" w:pos="8306"/>
              </w:tabs>
              <w:contextualSpacing/>
              <w:jc w:val="both"/>
              <w:rPr>
                <w:rFonts w:ascii="Calibri" w:hAnsi="Calibri"/>
                <w:b/>
                <w:szCs w:val="22"/>
              </w:rPr>
            </w:pPr>
          </w:p>
          <w:p w14:paraId="47BD6A5D" w14:textId="21B17B06" w:rsidR="00EF2BAA" w:rsidRDefault="0088733D" w:rsidP="0088733D">
            <w:pPr>
              <w:pStyle w:val="Header"/>
              <w:contextualSpacing/>
              <w:rPr>
                <w:rFonts w:ascii="Calibri" w:hAnsi="Calibri"/>
                <w:bCs/>
                <w:szCs w:val="22"/>
              </w:rPr>
            </w:pPr>
            <w:r>
              <w:rPr>
                <w:rFonts w:ascii="Calibri" w:hAnsi="Calibri"/>
                <w:bCs/>
                <w:szCs w:val="22"/>
              </w:rPr>
              <w:lastRenderedPageBreak/>
              <w:t xml:space="preserve">The application relates to </w:t>
            </w:r>
            <w:r w:rsidR="00FA58F7">
              <w:rPr>
                <w:rFonts w:ascii="Calibri" w:hAnsi="Calibri"/>
                <w:bCs/>
                <w:szCs w:val="22"/>
              </w:rPr>
              <w:t>a parcel of</w:t>
            </w:r>
            <w:r w:rsidRPr="00804538">
              <w:rPr>
                <w:rFonts w:ascii="Calibri" w:hAnsi="Calibri"/>
                <w:bCs/>
                <w:color w:val="FF0000"/>
                <w:szCs w:val="22"/>
              </w:rPr>
              <w:t xml:space="preserve"> </w:t>
            </w:r>
            <w:r w:rsidRPr="00FA58F7">
              <w:rPr>
                <w:rFonts w:ascii="Calibri" w:hAnsi="Calibri"/>
                <w:bCs/>
                <w:szCs w:val="22"/>
              </w:rPr>
              <w:t xml:space="preserve">land </w:t>
            </w:r>
            <w:r>
              <w:rPr>
                <w:rFonts w:ascii="Calibri" w:hAnsi="Calibri"/>
                <w:bCs/>
                <w:szCs w:val="22"/>
              </w:rPr>
              <w:t xml:space="preserve">situated on the North-western edge of Wiswell. </w:t>
            </w:r>
            <w:r w:rsidR="00A303EE">
              <w:rPr>
                <w:rFonts w:ascii="Calibri" w:hAnsi="Calibri"/>
                <w:bCs/>
                <w:szCs w:val="22"/>
              </w:rPr>
              <w:t xml:space="preserve">The land parcel in question comprises an elongated strip of grassland bound by trees on all perimeters which extends to the North-west from Pendleton Road. </w:t>
            </w:r>
            <w:r>
              <w:rPr>
                <w:rFonts w:ascii="Calibri" w:hAnsi="Calibri"/>
                <w:bCs/>
                <w:szCs w:val="22"/>
              </w:rPr>
              <w:t xml:space="preserve">Access to the land parcel is from Pendleton Road via a gated field access with an area of hardstanding comprised of loose aggregate sited just inside the site’s field access point. A single pole with three mounted CCTV cameras lies directly adjacent to the </w:t>
            </w:r>
            <w:r w:rsidR="005B29D7">
              <w:rPr>
                <w:rFonts w:ascii="Calibri" w:hAnsi="Calibri"/>
                <w:bCs/>
                <w:szCs w:val="22"/>
              </w:rPr>
              <w:t xml:space="preserve">aforementioned </w:t>
            </w:r>
            <w:r>
              <w:rPr>
                <w:rFonts w:ascii="Calibri" w:hAnsi="Calibri"/>
                <w:bCs/>
                <w:szCs w:val="22"/>
              </w:rPr>
              <w:t xml:space="preserve">area of </w:t>
            </w:r>
            <w:r w:rsidR="005B29D7">
              <w:rPr>
                <w:rFonts w:ascii="Calibri" w:hAnsi="Calibri"/>
                <w:bCs/>
                <w:szCs w:val="22"/>
              </w:rPr>
              <w:t xml:space="preserve">hardstanding. The remainder of the site contains a trailer mounted solar panel array, greenhouse building, vegetable garden and a building </w:t>
            </w:r>
            <w:r w:rsidR="00415C19">
              <w:rPr>
                <w:rFonts w:ascii="Calibri" w:hAnsi="Calibri"/>
                <w:bCs/>
                <w:szCs w:val="22"/>
              </w:rPr>
              <w:t xml:space="preserve">approved for agricultural use </w:t>
            </w:r>
            <w:r w:rsidR="005B29D7">
              <w:rPr>
                <w:rFonts w:ascii="Calibri" w:hAnsi="Calibri"/>
                <w:bCs/>
                <w:szCs w:val="22"/>
              </w:rPr>
              <w:t xml:space="preserve">located approximately 50 metres away to the South-west of the site’s access which forms the basis of this application. Residential </w:t>
            </w:r>
            <w:r w:rsidR="00415C19">
              <w:rPr>
                <w:rFonts w:ascii="Calibri" w:hAnsi="Calibri"/>
                <w:bCs/>
                <w:szCs w:val="22"/>
              </w:rPr>
              <w:t>properties</w:t>
            </w:r>
            <w:r w:rsidR="005B29D7">
              <w:rPr>
                <w:rFonts w:ascii="Calibri" w:hAnsi="Calibri"/>
                <w:bCs/>
                <w:szCs w:val="22"/>
              </w:rPr>
              <w:t xml:space="preserve"> border the South-eastern </w:t>
            </w:r>
            <w:r w:rsidR="00415C19">
              <w:rPr>
                <w:rFonts w:ascii="Calibri" w:hAnsi="Calibri"/>
                <w:bCs/>
                <w:szCs w:val="22"/>
              </w:rPr>
              <w:t>corner</w:t>
            </w:r>
            <w:r w:rsidR="005B29D7">
              <w:rPr>
                <w:rFonts w:ascii="Calibri" w:hAnsi="Calibri"/>
                <w:bCs/>
                <w:szCs w:val="22"/>
              </w:rPr>
              <w:t xml:space="preserve"> of the application site with the wider area comprising a mixture of </w:t>
            </w:r>
            <w:r w:rsidR="00A303EE">
              <w:rPr>
                <w:rFonts w:ascii="Calibri" w:hAnsi="Calibri"/>
                <w:bCs/>
                <w:szCs w:val="22"/>
              </w:rPr>
              <w:t xml:space="preserve">woodland, agricultural land and open countryside. </w:t>
            </w:r>
          </w:p>
          <w:p w14:paraId="62370E9F" w14:textId="541B9E1C" w:rsidR="0088733D" w:rsidRPr="006C2BFA" w:rsidRDefault="0088733D" w:rsidP="0088733D">
            <w:pPr>
              <w:pStyle w:val="Header"/>
              <w:contextualSpacing/>
              <w:rPr>
                <w:rFonts w:ascii="Calibri" w:hAnsi="Calibri"/>
                <w:bCs/>
                <w:szCs w:val="22"/>
              </w:rPr>
            </w:pPr>
          </w:p>
        </w:tc>
      </w:tr>
      <w:tr w:rsidR="00C0704D" w:rsidRPr="00D2449B" w14:paraId="408C6380"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265177F" w14:textId="615BB9E4" w:rsidR="00A5364F" w:rsidRPr="00A303EE" w:rsidRDefault="00F9645B" w:rsidP="00A5364F">
            <w:pPr>
              <w:rPr>
                <w:rFonts w:ascii="Calibri" w:hAnsi="Calibri"/>
                <w:szCs w:val="22"/>
              </w:rPr>
            </w:pPr>
            <w:r w:rsidRPr="006E70D4">
              <w:rPr>
                <w:rFonts w:ascii="Calibri" w:hAnsi="Calibri"/>
                <w:szCs w:val="22"/>
              </w:rPr>
              <w:t>This is an application for a</w:t>
            </w:r>
            <w:r>
              <w:rPr>
                <w:rFonts w:ascii="Calibri" w:hAnsi="Calibri"/>
                <w:szCs w:val="22"/>
              </w:rPr>
              <w:t xml:space="preserve"> Certificate of Lawfulness</w:t>
            </w:r>
            <w:r w:rsidRPr="006E70D4">
              <w:rPr>
                <w:rFonts w:ascii="Calibri" w:hAnsi="Calibri"/>
                <w:szCs w:val="22"/>
              </w:rPr>
              <w:t xml:space="preserve"> </w:t>
            </w:r>
            <w:r w:rsidR="00F70ECD">
              <w:rPr>
                <w:rFonts w:ascii="Calibri" w:hAnsi="Calibri"/>
                <w:szCs w:val="22"/>
              </w:rPr>
              <w:t xml:space="preserve">to establish </w:t>
            </w:r>
            <w:r w:rsidR="00A5364F">
              <w:rPr>
                <w:rFonts w:ascii="Calibri" w:hAnsi="Calibri"/>
                <w:szCs w:val="22"/>
              </w:rPr>
              <w:t xml:space="preserve">use of </w:t>
            </w:r>
            <w:r w:rsidR="00EF2BAA">
              <w:rPr>
                <w:rFonts w:ascii="Calibri" w:hAnsi="Calibri"/>
                <w:szCs w:val="22"/>
              </w:rPr>
              <w:t>a</w:t>
            </w:r>
            <w:r w:rsidR="00A5364F">
              <w:rPr>
                <w:rFonts w:ascii="Calibri" w:hAnsi="Calibri"/>
                <w:szCs w:val="22"/>
              </w:rPr>
              <w:t xml:space="preserve"> building </w:t>
            </w:r>
            <w:r w:rsidR="00EF2BAA">
              <w:rPr>
                <w:rFonts w:ascii="Calibri" w:hAnsi="Calibri"/>
                <w:szCs w:val="22"/>
              </w:rPr>
              <w:t>approved for agricultural use</w:t>
            </w:r>
            <w:r w:rsidR="00A5364F">
              <w:rPr>
                <w:rFonts w:ascii="Calibri" w:hAnsi="Calibri"/>
                <w:szCs w:val="22"/>
              </w:rPr>
              <w:t xml:space="preserve"> as a single dwellinghouse </w:t>
            </w:r>
            <w:r w:rsidR="00174FC6" w:rsidRPr="00402270">
              <w:rPr>
                <w:rFonts w:ascii="Calibri" w:hAnsi="Calibri"/>
                <w:bCs/>
                <w:szCs w:val="22"/>
              </w:rPr>
              <w:t xml:space="preserve">for a </w:t>
            </w:r>
            <w:r w:rsidR="00174FC6" w:rsidRPr="00174FC6">
              <w:rPr>
                <w:rFonts w:ascii="Calibri" w:hAnsi="Calibri"/>
                <w:bCs/>
                <w:szCs w:val="22"/>
              </w:rPr>
              <w:t xml:space="preserve">continuous </w:t>
            </w:r>
            <w:r w:rsidR="00174FC6" w:rsidRPr="00402270">
              <w:rPr>
                <w:rFonts w:ascii="Calibri" w:hAnsi="Calibri"/>
                <w:bCs/>
                <w:szCs w:val="22"/>
              </w:rPr>
              <w:t xml:space="preserve">period in excess of </w:t>
            </w:r>
            <w:r w:rsidR="00174FC6" w:rsidRPr="00174FC6">
              <w:rPr>
                <w:rFonts w:ascii="Calibri" w:hAnsi="Calibri"/>
                <w:bCs/>
                <w:szCs w:val="22"/>
              </w:rPr>
              <w:t>four</w:t>
            </w:r>
            <w:r w:rsidR="00174FC6" w:rsidRPr="00402270">
              <w:rPr>
                <w:rFonts w:ascii="Calibri" w:hAnsi="Calibri"/>
                <w:bCs/>
                <w:szCs w:val="22"/>
              </w:rPr>
              <w:t xml:space="preserve"> years</w:t>
            </w:r>
            <w:r w:rsidR="00A303EE">
              <w:rPr>
                <w:rFonts w:ascii="Calibri" w:hAnsi="Calibri"/>
                <w:bCs/>
                <w:szCs w:val="22"/>
              </w:rPr>
              <w:t xml:space="preserve">. </w:t>
            </w:r>
            <w:r w:rsidR="00A5364F" w:rsidRPr="00A5364F">
              <w:rPr>
                <w:rFonts w:ascii="Calibri" w:hAnsi="Calibri"/>
                <w:bCs/>
                <w:szCs w:val="22"/>
              </w:rPr>
              <w:t xml:space="preserve">It is the applicant’s claim that they </w:t>
            </w:r>
            <w:bookmarkStart w:id="0" w:name="_Hlk137293600"/>
            <w:r w:rsidR="00A5364F" w:rsidRPr="00A5364F">
              <w:rPr>
                <w:rFonts w:ascii="Calibri" w:hAnsi="Calibri"/>
                <w:bCs/>
                <w:szCs w:val="22"/>
              </w:rPr>
              <w:t xml:space="preserve">have </w:t>
            </w:r>
            <w:r w:rsidR="00AC2DD5">
              <w:rPr>
                <w:rFonts w:ascii="Calibri" w:hAnsi="Calibri"/>
                <w:bCs/>
                <w:szCs w:val="22"/>
              </w:rPr>
              <w:t xml:space="preserve">continuously utilised the </w:t>
            </w:r>
            <w:r w:rsidR="00A303EE">
              <w:rPr>
                <w:rFonts w:ascii="Calibri" w:hAnsi="Calibri"/>
                <w:bCs/>
                <w:szCs w:val="22"/>
              </w:rPr>
              <w:t>agricultural</w:t>
            </w:r>
            <w:r w:rsidR="00AC2DD5">
              <w:rPr>
                <w:rFonts w:ascii="Calibri" w:hAnsi="Calibri"/>
                <w:bCs/>
                <w:szCs w:val="22"/>
              </w:rPr>
              <w:t xml:space="preserve"> building in question as a single dwellinghouse </w:t>
            </w:r>
            <w:r w:rsidR="00A5500B">
              <w:rPr>
                <w:rFonts w:ascii="Calibri" w:hAnsi="Calibri"/>
                <w:bCs/>
                <w:szCs w:val="22"/>
              </w:rPr>
              <w:t>from</w:t>
            </w:r>
            <w:r w:rsidR="00AC2DD5">
              <w:rPr>
                <w:rFonts w:ascii="Calibri" w:hAnsi="Calibri"/>
                <w:bCs/>
                <w:szCs w:val="22"/>
              </w:rPr>
              <w:t xml:space="preserve"> </w:t>
            </w:r>
            <w:r w:rsidR="00A303EE">
              <w:rPr>
                <w:rFonts w:ascii="Calibri" w:hAnsi="Calibri"/>
                <w:bCs/>
                <w:szCs w:val="22"/>
              </w:rPr>
              <w:t>May</w:t>
            </w:r>
            <w:r w:rsidR="00AC2DD5">
              <w:rPr>
                <w:rFonts w:ascii="Calibri" w:hAnsi="Calibri"/>
                <w:bCs/>
                <w:szCs w:val="22"/>
              </w:rPr>
              <w:t xml:space="preserve"> </w:t>
            </w:r>
            <w:r w:rsidR="0010195B">
              <w:rPr>
                <w:rFonts w:ascii="Calibri" w:hAnsi="Calibri"/>
                <w:bCs/>
                <w:szCs w:val="22"/>
              </w:rPr>
              <w:t>20</w:t>
            </w:r>
            <w:r w:rsidR="0010195B" w:rsidRPr="0010195B">
              <w:rPr>
                <w:rFonts w:ascii="Calibri" w:hAnsi="Calibri"/>
                <w:bCs/>
                <w:szCs w:val="22"/>
                <w:vertAlign w:val="superscript"/>
              </w:rPr>
              <w:t>th</w:t>
            </w:r>
            <w:r w:rsidR="0010195B">
              <w:rPr>
                <w:rFonts w:ascii="Calibri" w:hAnsi="Calibri"/>
                <w:bCs/>
                <w:szCs w:val="22"/>
              </w:rPr>
              <w:t xml:space="preserve"> </w:t>
            </w:r>
            <w:r w:rsidR="00AC2DD5">
              <w:rPr>
                <w:rFonts w:ascii="Calibri" w:hAnsi="Calibri"/>
                <w:bCs/>
                <w:szCs w:val="22"/>
              </w:rPr>
              <w:t>201</w:t>
            </w:r>
            <w:r w:rsidR="00A303EE">
              <w:rPr>
                <w:rFonts w:ascii="Calibri" w:hAnsi="Calibri"/>
                <w:bCs/>
                <w:szCs w:val="22"/>
              </w:rPr>
              <w:t>9</w:t>
            </w:r>
            <w:r w:rsidR="00AC2DD5">
              <w:rPr>
                <w:rFonts w:ascii="Calibri" w:hAnsi="Calibri"/>
                <w:bCs/>
                <w:szCs w:val="22"/>
              </w:rPr>
              <w:t xml:space="preserve"> through to the present day</w:t>
            </w:r>
            <w:bookmarkEnd w:id="0"/>
            <w:r w:rsidR="00A303EE">
              <w:rPr>
                <w:rFonts w:ascii="Calibri" w:hAnsi="Calibri"/>
                <w:bCs/>
                <w:szCs w:val="22"/>
              </w:rPr>
              <w:t xml:space="preserve">. </w:t>
            </w:r>
            <w:r w:rsidR="00A5364F" w:rsidRPr="00A5364F">
              <w:rPr>
                <w:rFonts w:ascii="Calibri" w:hAnsi="Calibri"/>
                <w:bCs/>
                <w:szCs w:val="22"/>
              </w:rPr>
              <w:t>As such, the applicant seeks confirmation of the above in the form of a Lawful Development Certificate.</w:t>
            </w:r>
          </w:p>
          <w:p w14:paraId="1B20488F" w14:textId="26BF9170" w:rsidR="00105930" w:rsidRPr="00D54E67" w:rsidRDefault="00105930" w:rsidP="00105930">
            <w:pPr>
              <w:rPr>
                <w:rFonts w:ascii="Calibri" w:hAnsi="Calibri"/>
                <w:szCs w:val="22"/>
              </w:rPr>
            </w:pPr>
          </w:p>
        </w:tc>
      </w:tr>
      <w:tr w:rsidR="00C0704D" w:rsidRPr="00D2449B" w14:paraId="617768FF" w14:textId="77777777" w:rsidTr="00D7793B">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20CF70" w14:textId="77777777" w:rsidR="00174FC6" w:rsidRDefault="00174FC6" w:rsidP="00174FC6">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39EC533C" w14:textId="77777777" w:rsidR="00174FC6" w:rsidRDefault="00174FC6" w:rsidP="00105930">
            <w:pPr>
              <w:pStyle w:val="Header"/>
              <w:jc w:val="both"/>
              <w:rPr>
                <w:rFonts w:ascii="Calibri" w:hAnsi="Calibri"/>
                <w:szCs w:val="22"/>
              </w:rPr>
            </w:pPr>
          </w:p>
          <w:p w14:paraId="704ACB5D" w14:textId="77777777" w:rsidR="00B50F3A" w:rsidRDefault="00BB7670" w:rsidP="00BB7670">
            <w:pPr>
              <w:pStyle w:val="Header"/>
              <w:rPr>
                <w:rFonts w:ascii="Calibri" w:hAnsi="Calibri"/>
                <w:bCs/>
                <w:szCs w:val="22"/>
              </w:rPr>
            </w:pPr>
            <w:r w:rsidRPr="00BB7670">
              <w:rPr>
                <w:rFonts w:ascii="Calibri" w:hAnsi="Calibri"/>
                <w:bCs/>
                <w:szCs w:val="22"/>
              </w:rPr>
              <w:t xml:space="preserve">The lawfulness of the existing use in question rests upon a detailed assessment of the supporting information provided as part of the application in relation to the provisions of Section 171(B) of the </w:t>
            </w:r>
            <w:r w:rsidR="00C706E4" w:rsidRPr="00C706E4">
              <w:rPr>
                <w:rFonts w:ascii="Calibri" w:hAnsi="Calibri"/>
                <w:bCs/>
                <w:szCs w:val="22"/>
              </w:rPr>
              <w:t>Town and Country Planning Act (1990)</w:t>
            </w:r>
            <w:r w:rsidR="00B50F3A">
              <w:rPr>
                <w:rFonts w:ascii="Calibri" w:hAnsi="Calibri"/>
                <w:bCs/>
                <w:szCs w:val="22"/>
              </w:rPr>
              <w:t xml:space="preserve"> </w:t>
            </w:r>
            <w:r w:rsidR="00B50F3A" w:rsidRPr="00B50F3A">
              <w:rPr>
                <w:rFonts w:ascii="Calibri" w:hAnsi="Calibri"/>
                <w:bCs/>
                <w:szCs w:val="22"/>
              </w:rPr>
              <w:t xml:space="preserve">(the Act). </w:t>
            </w:r>
          </w:p>
          <w:p w14:paraId="4B69ED85" w14:textId="77777777" w:rsidR="00B50F3A" w:rsidRDefault="00B50F3A" w:rsidP="00BB7670">
            <w:pPr>
              <w:pStyle w:val="Header"/>
              <w:rPr>
                <w:rFonts w:ascii="Calibri" w:hAnsi="Calibri"/>
                <w:bCs/>
                <w:szCs w:val="22"/>
              </w:rPr>
            </w:pPr>
          </w:p>
          <w:p w14:paraId="42AD3F9D" w14:textId="0068B164" w:rsidR="00BB7670" w:rsidRPr="00BB7670" w:rsidRDefault="00BB7670" w:rsidP="00BB7670">
            <w:pPr>
              <w:pStyle w:val="Header"/>
              <w:rPr>
                <w:rFonts w:ascii="Calibri" w:hAnsi="Calibri"/>
                <w:bCs/>
                <w:szCs w:val="22"/>
              </w:rPr>
            </w:pPr>
            <w:r w:rsidRPr="00BB7670">
              <w:rPr>
                <w:rFonts w:ascii="Calibri" w:hAnsi="Calibri"/>
                <w:bCs/>
                <w:szCs w:val="22"/>
              </w:rPr>
              <w:t>Section 171(B) of the Act provides timescales whereby unauthorised development becomes immune from enforcement action and as such becomes lawful as follows:</w:t>
            </w:r>
          </w:p>
          <w:p w14:paraId="0B6E3844" w14:textId="77777777" w:rsidR="00BB7670" w:rsidRPr="00BB7670" w:rsidRDefault="00BB7670" w:rsidP="00BB7670">
            <w:pPr>
              <w:pStyle w:val="Header"/>
              <w:rPr>
                <w:rFonts w:ascii="Calibri" w:hAnsi="Calibri"/>
                <w:szCs w:val="22"/>
                <w:u w:val="single"/>
              </w:rPr>
            </w:pPr>
          </w:p>
          <w:p w14:paraId="59F02117" w14:textId="77777777" w:rsidR="00BB7670" w:rsidRDefault="00BB7670" w:rsidP="00BB7670">
            <w:pPr>
              <w:pStyle w:val="Header"/>
              <w:rPr>
                <w:rFonts w:ascii="Calibri" w:hAnsi="Calibri"/>
                <w:bCs/>
                <w:i/>
                <w:iCs/>
                <w:szCs w:val="22"/>
                <w:lang w:val="en"/>
              </w:rPr>
            </w:pPr>
            <w:r>
              <w:rPr>
                <w:rFonts w:ascii="Calibri" w:hAnsi="Calibri"/>
                <w:bCs/>
                <w:i/>
                <w:iCs/>
                <w:szCs w:val="22"/>
                <w:lang w:val="en"/>
              </w:rPr>
              <w:t xml:space="preserve">(1) </w:t>
            </w:r>
            <w:r w:rsidRPr="00BB7670">
              <w:rPr>
                <w:rFonts w:ascii="Calibri" w:hAnsi="Calibri"/>
                <w:bCs/>
                <w:i/>
                <w:iCs/>
                <w:szCs w:val="22"/>
                <w:lang w:val="en"/>
              </w:rPr>
              <w:t>Where there has been a breach of planning control consisting in the carrying out without planning permission of building, engineering, mining or other operations in, on, over or under land, no enforcement action may be taken after the end of the period of four years beginning with the date on which the operations were substantially completed.</w:t>
            </w:r>
          </w:p>
          <w:p w14:paraId="608510F4" w14:textId="77777777" w:rsidR="00BB7670" w:rsidRDefault="00BB7670" w:rsidP="00BB7670">
            <w:pPr>
              <w:pStyle w:val="Header"/>
              <w:rPr>
                <w:rFonts w:ascii="Calibri" w:hAnsi="Calibri"/>
                <w:bCs/>
                <w:i/>
                <w:iCs/>
                <w:szCs w:val="22"/>
                <w:lang w:val="en"/>
              </w:rPr>
            </w:pPr>
          </w:p>
          <w:p w14:paraId="26C6FF8C" w14:textId="63A8073A" w:rsidR="00BB7670" w:rsidRPr="00BB7670" w:rsidRDefault="00BB7670" w:rsidP="00BB7670">
            <w:pPr>
              <w:pStyle w:val="Header"/>
              <w:rPr>
                <w:rFonts w:ascii="Calibri" w:hAnsi="Calibri"/>
                <w:bCs/>
                <w:i/>
                <w:iCs/>
                <w:szCs w:val="22"/>
                <w:lang w:val="en"/>
              </w:rPr>
            </w:pPr>
            <w:r>
              <w:rPr>
                <w:rFonts w:ascii="Calibri" w:hAnsi="Calibri"/>
                <w:bCs/>
                <w:i/>
                <w:iCs/>
                <w:szCs w:val="22"/>
                <w:lang w:val="en"/>
              </w:rPr>
              <w:t xml:space="preserve">(2) </w:t>
            </w:r>
            <w:r w:rsidRPr="00BB7670">
              <w:rPr>
                <w:rFonts w:ascii="Calibri" w:hAnsi="Calibri"/>
                <w:bCs/>
                <w:i/>
                <w:iCs/>
                <w:szCs w:val="22"/>
                <w:lang w:val="en"/>
              </w:rPr>
              <w:t>Where there has been a breach of planning control consisting in the change of use of any building to use as a single dwellinghouse, no enforcement action may be taken after the end of the period of four years beginning with the date of the breach.</w:t>
            </w:r>
          </w:p>
          <w:p w14:paraId="3B467274" w14:textId="77777777" w:rsidR="00BB7670" w:rsidRPr="00BB7670" w:rsidRDefault="00BB7670" w:rsidP="00BB7670">
            <w:pPr>
              <w:pStyle w:val="Header"/>
              <w:rPr>
                <w:rFonts w:ascii="Calibri" w:hAnsi="Calibri"/>
                <w:bCs/>
                <w:i/>
                <w:iCs/>
                <w:szCs w:val="22"/>
                <w:lang w:val="en"/>
              </w:rPr>
            </w:pPr>
          </w:p>
          <w:p w14:paraId="18A1A8C1" w14:textId="4F563E2A" w:rsidR="00BB7670" w:rsidRPr="0002304A" w:rsidRDefault="00BB7670" w:rsidP="00BB7670">
            <w:pPr>
              <w:pStyle w:val="Header"/>
              <w:rPr>
                <w:rFonts w:ascii="Calibri" w:hAnsi="Calibri"/>
                <w:bCs/>
                <w:i/>
                <w:iCs/>
                <w:szCs w:val="22"/>
                <w:lang w:val="en"/>
              </w:rPr>
            </w:pPr>
            <w:r>
              <w:rPr>
                <w:rFonts w:ascii="Calibri" w:hAnsi="Calibri"/>
                <w:bCs/>
                <w:i/>
                <w:iCs/>
                <w:szCs w:val="22"/>
                <w:lang w:val="en"/>
              </w:rPr>
              <w:t xml:space="preserve">(3) </w:t>
            </w:r>
            <w:r w:rsidRPr="00BB7670">
              <w:rPr>
                <w:rFonts w:ascii="Calibri" w:hAnsi="Calibri"/>
                <w:bCs/>
                <w:i/>
                <w:iCs/>
                <w:szCs w:val="22"/>
                <w:lang w:val="en"/>
              </w:rPr>
              <w:t xml:space="preserve">In the case of any other breach of planning control, no enforcement action may be taken after the end </w:t>
            </w:r>
            <w:r w:rsidRPr="0002304A">
              <w:rPr>
                <w:rFonts w:ascii="Calibri" w:hAnsi="Calibri"/>
                <w:bCs/>
                <w:i/>
                <w:iCs/>
                <w:szCs w:val="22"/>
                <w:lang w:val="en"/>
              </w:rPr>
              <w:t>of the period of ten years beginning with the date of the breach.</w:t>
            </w:r>
          </w:p>
          <w:p w14:paraId="02EEACD9" w14:textId="77777777" w:rsidR="00B50F3A" w:rsidRDefault="00B50F3A" w:rsidP="003E6B13">
            <w:pPr>
              <w:pStyle w:val="Header"/>
              <w:rPr>
                <w:rFonts w:ascii="Calibri" w:hAnsi="Calibri"/>
                <w:bCs/>
                <w:szCs w:val="22"/>
              </w:rPr>
            </w:pPr>
          </w:p>
          <w:p w14:paraId="5F1276FB" w14:textId="1C0E9384" w:rsidR="00752E03" w:rsidRDefault="00752E03" w:rsidP="00752E03">
            <w:pPr>
              <w:pStyle w:val="Header"/>
              <w:rPr>
                <w:rFonts w:ascii="Calibri" w:hAnsi="Calibri"/>
                <w:bCs/>
                <w:szCs w:val="22"/>
              </w:rPr>
            </w:pPr>
            <w:r>
              <w:rPr>
                <w:rFonts w:ascii="Calibri" w:hAnsi="Calibri"/>
                <w:bCs/>
                <w:szCs w:val="22"/>
              </w:rPr>
              <w:t>In this instance, i</w:t>
            </w:r>
            <w:r w:rsidRPr="00752E03">
              <w:rPr>
                <w:rFonts w:ascii="Calibri" w:hAnsi="Calibri"/>
                <w:bCs/>
                <w:szCs w:val="22"/>
              </w:rPr>
              <w:t>t is the applicant’s claim that they have continuously utilised the agricultural building in question as a single dwellinghouse from May 20</w:t>
            </w:r>
            <w:r w:rsidRPr="00752E03">
              <w:rPr>
                <w:rFonts w:ascii="Calibri" w:hAnsi="Calibri"/>
                <w:bCs/>
                <w:szCs w:val="22"/>
                <w:vertAlign w:val="superscript"/>
              </w:rPr>
              <w:t>th</w:t>
            </w:r>
            <w:r w:rsidRPr="00752E03">
              <w:rPr>
                <w:rFonts w:ascii="Calibri" w:hAnsi="Calibri"/>
                <w:bCs/>
                <w:szCs w:val="22"/>
              </w:rPr>
              <w:t xml:space="preserve"> 2019 through to the present day</w:t>
            </w:r>
            <w:r>
              <w:rPr>
                <w:rFonts w:ascii="Calibri" w:hAnsi="Calibri"/>
                <w:bCs/>
                <w:szCs w:val="22"/>
              </w:rPr>
              <w:t xml:space="preserve"> therefore the </w:t>
            </w:r>
            <w:r w:rsidRPr="00752E03">
              <w:rPr>
                <w:rFonts w:ascii="Calibri" w:hAnsi="Calibri"/>
                <w:bCs/>
                <w:szCs w:val="22"/>
              </w:rPr>
              <w:t xml:space="preserve">lawfulness of the existing use in question rests upon a detailed assessment of the supporting information provided as part of the application in relation to the provisions of Section 171(B) </w:t>
            </w:r>
            <w:r>
              <w:rPr>
                <w:rFonts w:ascii="Calibri" w:hAnsi="Calibri"/>
                <w:bCs/>
                <w:szCs w:val="22"/>
              </w:rPr>
              <w:t xml:space="preserve">(2) </w:t>
            </w:r>
            <w:r w:rsidRPr="00752E03">
              <w:rPr>
                <w:rFonts w:ascii="Calibri" w:hAnsi="Calibri"/>
                <w:bCs/>
                <w:szCs w:val="22"/>
              </w:rPr>
              <w:t xml:space="preserve">of the Town and Country Planning Act (1990) (the Act). </w:t>
            </w:r>
          </w:p>
          <w:p w14:paraId="3F54AAD9" w14:textId="77777777" w:rsidR="00945CF1" w:rsidRDefault="00945CF1" w:rsidP="00752E03">
            <w:pPr>
              <w:pStyle w:val="Header"/>
              <w:rPr>
                <w:rFonts w:ascii="Calibri" w:hAnsi="Calibri"/>
                <w:bCs/>
                <w:szCs w:val="22"/>
              </w:rPr>
            </w:pPr>
          </w:p>
          <w:p w14:paraId="3E304CB6" w14:textId="77777777" w:rsidR="00945CF1" w:rsidRPr="00945CF1" w:rsidRDefault="00945CF1" w:rsidP="00945CF1">
            <w:pPr>
              <w:pStyle w:val="Header"/>
              <w:rPr>
                <w:rFonts w:ascii="Calibri" w:hAnsi="Calibri"/>
                <w:bCs/>
                <w:szCs w:val="22"/>
              </w:rPr>
            </w:pPr>
            <w:r w:rsidRPr="00945CF1">
              <w:rPr>
                <w:rFonts w:ascii="Calibri" w:hAnsi="Calibri"/>
                <w:bCs/>
                <w:szCs w:val="22"/>
              </w:rPr>
              <w:t>National Planning Practice Guidance states:</w:t>
            </w:r>
          </w:p>
          <w:p w14:paraId="5DFBB091" w14:textId="77777777" w:rsidR="00945CF1" w:rsidRPr="00945CF1" w:rsidRDefault="00945CF1" w:rsidP="00945CF1">
            <w:pPr>
              <w:pStyle w:val="Header"/>
              <w:rPr>
                <w:rFonts w:ascii="Calibri" w:hAnsi="Calibri"/>
                <w:bCs/>
                <w:szCs w:val="22"/>
              </w:rPr>
            </w:pPr>
          </w:p>
          <w:p w14:paraId="1BB18B56" w14:textId="77777777" w:rsidR="00945CF1" w:rsidRPr="00945CF1" w:rsidRDefault="00945CF1" w:rsidP="00945CF1">
            <w:pPr>
              <w:pStyle w:val="Header"/>
              <w:rPr>
                <w:rFonts w:ascii="Calibri" w:hAnsi="Calibri"/>
                <w:bCs/>
                <w:i/>
                <w:iCs/>
                <w:szCs w:val="22"/>
              </w:rPr>
            </w:pPr>
            <w:r w:rsidRPr="00945CF1">
              <w:rPr>
                <w:rFonts w:ascii="Calibri" w:hAnsi="Calibri"/>
                <w:bCs/>
                <w:i/>
                <w:iCs/>
                <w:szCs w:val="22"/>
              </w:rPr>
              <w:t>‘The applicant is responsible for providing sufficient information to support an application…if a local planning authority has no evidence itself, nor any from others, to contradict or otherwise make the applicant’s version of events less than probable, there is no good reason to refuse the application, provided the applicant’s evidence alone is sufficiently precise and unambiguous to justify the grant of a certificate on the balance of probability.’</w:t>
            </w:r>
          </w:p>
          <w:p w14:paraId="3A685201" w14:textId="77777777" w:rsidR="006A3A22" w:rsidRDefault="006A3A22" w:rsidP="003E6B13">
            <w:pPr>
              <w:pStyle w:val="Header"/>
              <w:rPr>
                <w:rFonts w:ascii="Calibri" w:hAnsi="Calibri"/>
                <w:bCs/>
                <w:szCs w:val="22"/>
              </w:rPr>
            </w:pPr>
          </w:p>
          <w:p w14:paraId="2B95EE97" w14:textId="7A666A41" w:rsidR="006A155D" w:rsidRDefault="00FC7027" w:rsidP="003E6B13">
            <w:pPr>
              <w:pStyle w:val="Header"/>
              <w:rPr>
                <w:rFonts w:ascii="Calibri" w:hAnsi="Calibri"/>
                <w:bCs/>
                <w:szCs w:val="22"/>
              </w:rPr>
            </w:pPr>
            <w:r>
              <w:rPr>
                <w:rFonts w:ascii="Calibri" w:hAnsi="Calibri"/>
                <w:bCs/>
                <w:szCs w:val="22"/>
              </w:rPr>
              <w:lastRenderedPageBreak/>
              <w:t>In terms of supporting evidence, t</w:t>
            </w:r>
            <w:r w:rsidR="006A3A22">
              <w:rPr>
                <w:rFonts w:ascii="Calibri" w:hAnsi="Calibri"/>
                <w:bCs/>
                <w:szCs w:val="22"/>
              </w:rPr>
              <w:t xml:space="preserve">he application’s </w:t>
            </w:r>
            <w:r w:rsidR="00904978">
              <w:rPr>
                <w:rFonts w:ascii="Calibri" w:hAnsi="Calibri"/>
                <w:bCs/>
                <w:szCs w:val="22"/>
              </w:rPr>
              <w:t xml:space="preserve">supporting statement </w:t>
            </w:r>
            <w:r>
              <w:rPr>
                <w:rFonts w:ascii="Calibri" w:hAnsi="Calibri"/>
                <w:bCs/>
                <w:szCs w:val="22"/>
              </w:rPr>
              <w:t xml:space="preserve">is </w:t>
            </w:r>
            <w:r w:rsidR="007A5D5F">
              <w:rPr>
                <w:rFonts w:ascii="Calibri" w:hAnsi="Calibri"/>
                <w:bCs/>
                <w:szCs w:val="22"/>
              </w:rPr>
              <w:t>limited to</w:t>
            </w:r>
            <w:r w:rsidR="00904978">
              <w:rPr>
                <w:rFonts w:ascii="Calibri" w:hAnsi="Calibri"/>
                <w:bCs/>
                <w:szCs w:val="22"/>
              </w:rPr>
              <w:t xml:space="preserve"> sworn affidavit</w:t>
            </w:r>
            <w:r w:rsidR="00945CF1">
              <w:rPr>
                <w:rFonts w:ascii="Calibri" w:hAnsi="Calibri"/>
                <w:bCs/>
                <w:szCs w:val="22"/>
              </w:rPr>
              <w:t xml:space="preserve">s </w:t>
            </w:r>
            <w:r w:rsidR="00DF3F24">
              <w:rPr>
                <w:rFonts w:ascii="Calibri" w:hAnsi="Calibri"/>
                <w:bCs/>
                <w:szCs w:val="22"/>
              </w:rPr>
              <w:t xml:space="preserve">from friends and family of the applicant </w:t>
            </w:r>
            <w:r w:rsidR="00904978">
              <w:rPr>
                <w:rFonts w:ascii="Calibri" w:hAnsi="Calibri"/>
                <w:bCs/>
                <w:szCs w:val="22"/>
              </w:rPr>
              <w:t>attest</w:t>
            </w:r>
            <w:r w:rsidR="00945CF1">
              <w:rPr>
                <w:rFonts w:ascii="Calibri" w:hAnsi="Calibri"/>
                <w:bCs/>
                <w:szCs w:val="22"/>
              </w:rPr>
              <w:t xml:space="preserve">ing </w:t>
            </w:r>
            <w:r w:rsidR="00904978">
              <w:rPr>
                <w:rFonts w:ascii="Calibri" w:hAnsi="Calibri"/>
                <w:bCs/>
                <w:szCs w:val="22"/>
              </w:rPr>
              <w:t>to the continuous residential use of the building in question for a period in excess of four years</w:t>
            </w:r>
            <w:r w:rsidR="006A3A22">
              <w:rPr>
                <w:rFonts w:ascii="Calibri" w:hAnsi="Calibri"/>
                <w:bCs/>
                <w:szCs w:val="22"/>
              </w:rPr>
              <w:t xml:space="preserve"> and </w:t>
            </w:r>
            <w:r w:rsidR="00904978">
              <w:rPr>
                <w:rFonts w:ascii="Calibri" w:hAnsi="Calibri"/>
                <w:bCs/>
                <w:szCs w:val="22"/>
              </w:rPr>
              <w:t xml:space="preserve">numerous photographs </w:t>
            </w:r>
            <w:r w:rsidR="007A5D5F">
              <w:rPr>
                <w:rFonts w:ascii="Calibri" w:hAnsi="Calibri"/>
                <w:bCs/>
                <w:szCs w:val="22"/>
              </w:rPr>
              <w:t xml:space="preserve">(with no time stamp) </w:t>
            </w:r>
            <w:r w:rsidR="00904978">
              <w:rPr>
                <w:rFonts w:ascii="Calibri" w:hAnsi="Calibri"/>
                <w:bCs/>
                <w:szCs w:val="22"/>
              </w:rPr>
              <w:t xml:space="preserve">of the building’s interior. </w:t>
            </w:r>
            <w:r w:rsidR="00945CF1">
              <w:rPr>
                <w:rFonts w:ascii="Calibri" w:hAnsi="Calibri"/>
                <w:bCs/>
                <w:szCs w:val="22"/>
              </w:rPr>
              <w:t xml:space="preserve">Notwithstanding this, no other information or evidence has been provided </w:t>
            </w:r>
            <w:r w:rsidR="006A3A22">
              <w:rPr>
                <w:rFonts w:ascii="Calibri" w:hAnsi="Calibri"/>
                <w:bCs/>
                <w:szCs w:val="22"/>
              </w:rPr>
              <w:t xml:space="preserve">(in the form of Council Tax bills, utilities bills for water, receipts for equipment / materials used to convert the building in question, receipts for contractor work, documents with the building’s address on etc) to </w:t>
            </w:r>
            <w:r w:rsidR="006A3A22" w:rsidRPr="006A3A22">
              <w:rPr>
                <w:rFonts w:ascii="Calibri" w:hAnsi="Calibri"/>
                <w:bCs/>
                <w:szCs w:val="22"/>
              </w:rPr>
              <w:t xml:space="preserve">unequivocally demonstrate continuous use of the </w:t>
            </w:r>
            <w:r w:rsidR="006A3A22">
              <w:rPr>
                <w:rFonts w:ascii="Calibri" w:hAnsi="Calibri"/>
                <w:bCs/>
                <w:szCs w:val="22"/>
              </w:rPr>
              <w:t>agricultural</w:t>
            </w:r>
            <w:r w:rsidR="006A3A22" w:rsidRPr="006A3A22">
              <w:rPr>
                <w:rFonts w:ascii="Calibri" w:hAnsi="Calibri"/>
                <w:bCs/>
                <w:szCs w:val="22"/>
              </w:rPr>
              <w:t xml:space="preserve"> building in question as a single dwellinghouse</w:t>
            </w:r>
            <w:r w:rsidR="006A3A22">
              <w:rPr>
                <w:rFonts w:ascii="Calibri" w:hAnsi="Calibri"/>
                <w:bCs/>
                <w:szCs w:val="22"/>
              </w:rPr>
              <w:t xml:space="preserve"> for</w:t>
            </w:r>
            <w:r w:rsidR="006A3A22" w:rsidRPr="006A3A22">
              <w:rPr>
                <w:rFonts w:ascii="Calibri" w:hAnsi="Calibri"/>
                <w:bCs/>
                <w:szCs w:val="22"/>
              </w:rPr>
              <w:t xml:space="preserve"> a continuous period in excess of four years</w:t>
            </w:r>
            <w:r w:rsidR="006A3A22">
              <w:rPr>
                <w:rFonts w:ascii="Calibri" w:hAnsi="Calibri"/>
                <w:bCs/>
                <w:szCs w:val="22"/>
              </w:rPr>
              <w:t xml:space="preserve">. </w:t>
            </w:r>
          </w:p>
          <w:p w14:paraId="402BAFCE" w14:textId="77777777" w:rsidR="00FC7027" w:rsidRDefault="00FC7027" w:rsidP="003E6B13">
            <w:pPr>
              <w:pStyle w:val="Header"/>
              <w:rPr>
                <w:rFonts w:ascii="Calibri" w:hAnsi="Calibri"/>
                <w:bCs/>
                <w:szCs w:val="22"/>
              </w:rPr>
            </w:pPr>
          </w:p>
          <w:p w14:paraId="2055D905" w14:textId="581CDC97" w:rsidR="007A5D5F" w:rsidRDefault="00DF3F24" w:rsidP="003E6B13">
            <w:pPr>
              <w:pStyle w:val="Header"/>
              <w:rPr>
                <w:rFonts w:ascii="Calibri" w:hAnsi="Calibri"/>
                <w:bCs/>
                <w:szCs w:val="22"/>
              </w:rPr>
            </w:pPr>
            <w:r>
              <w:rPr>
                <w:rFonts w:ascii="Calibri" w:hAnsi="Calibri"/>
                <w:bCs/>
                <w:szCs w:val="22"/>
              </w:rPr>
              <w:t>Also of relevance is a planning enforcement notice which was served by the Council to the applicant on February 8</w:t>
            </w:r>
            <w:r w:rsidRPr="00DF3F24">
              <w:rPr>
                <w:rFonts w:ascii="Calibri" w:hAnsi="Calibri"/>
                <w:bCs/>
                <w:szCs w:val="22"/>
                <w:vertAlign w:val="superscript"/>
              </w:rPr>
              <w:t>th</w:t>
            </w:r>
            <w:r>
              <w:rPr>
                <w:rFonts w:ascii="Calibri" w:hAnsi="Calibri"/>
                <w:bCs/>
                <w:szCs w:val="22"/>
              </w:rPr>
              <w:t xml:space="preserve"> 2023 with respect to the carrying out of engineering operations and other installations within the application site including the creation of hardstanding areas, erection </w:t>
            </w:r>
            <w:r w:rsidR="00614A2C">
              <w:rPr>
                <w:rFonts w:ascii="Calibri" w:hAnsi="Calibri"/>
                <w:bCs/>
                <w:szCs w:val="22"/>
              </w:rPr>
              <w:t xml:space="preserve">of </w:t>
            </w:r>
            <w:r>
              <w:rPr>
                <w:rFonts w:ascii="Calibri" w:hAnsi="Calibri"/>
                <w:bCs/>
                <w:szCs w:val="22"/>
              </w:rPr>
              <w:t xml:space="preserve">CCTV cameras </w:t>
            </w:r>
            <w:r w:rsidR="00614A2C">
              <w:rPr>
                <w:rFonts w:ascii="Calibri" w:hAnsi="Calibri"/>
                <w:bCs/>
                <w:szCs w:val="22"/>
              </w:rPr>
              <w:t>and the installation of a trailer mounted solar panel array. This enforcement notice is currently the subject of an ongoing appeal</w:t>
            </w:r>
            <w:r w:rsidR="005536F3">
              <w:rPr>
                <w:rFonts w:ascii="Calibri" w:hAnsi="Calibri"/>
                <w:bCs/>
                <w:szCs w:val="22"/>
              </w:rPr>
              <w:t>. W</w:t>
            </w:r>
            <w:r w:rsidR="00614A2C">
              <w:rPr>
                <w:rFonts w:ascii="Calibri" w:hAnsi="Calibri"/>
                <w:bCs/>
                <w:szCs w:val="22"/>
              </w:rPr>
              <w:t xml:space="preserve">hilst the enforcement notice </w:t>
            </w:r>
            <w:r w:rsidR="005536F3">
              <w:rPr>
                <w:rFonts w:ascii="Calibri" w:hAnsi="Calibri"/>
                <w:bCs/>
                <w:szCs w:val="22"/>
              </w:rPr>
              <w:t xml:space="preserve">in question </w:t>
            </w:r>
            <w:r w:rsidR="00614A2C">
              <w:rPr>
                <w:rFonts w:ascii="Calibri" w:hAnsi="Calibri"/>
                <w:bCs/>
                <w:szCs w:val="22"/>
              </w:rPr>
              <w:t xml:space="preserve">does not relate to the unauthorised use of the </w:t>
            </w:r>
            <w:r w:rsidR="005536F3">
              <w:rPr>
                <w:rFonts w:ascii="Calibri" w:hAnsi="Calibri"/>
                <w:bCs/>
                <w:szCs w:val="22"/>
              </w:rPr>
              <w:t xml:space="preserve">site’s </w:t>
            </w:r>
            <w:r w:rsidR="00614A2C">
              <w:rPr>
                <w:rFonts w:ascii="Calibri" w:hAnsi="Calibri"/>
                <w:bCs/>
                <w:szCs w:val="22"/>
              </w:rPr>
              <w:t>agricultural building</w:t>
            </w:r>
            <w:r w:rsidR="005536F3">
              <w:rPr>
                <w:rFonts w:ascii="Calibri" w:hAnsi="Calibri"/>
                <w:bCs/>
                <w:szCs w:val="22"/>
              </w:rPr>
              <w:t xml:space="preserve">, there are numerous assertions within the applicant’s </w:t>
            </w:r>
            <w:r w:rsidR="009C4022">
              <w:rPr>
                <w:rFonts w:ascii="Calibri" w:hAnsi="Calibri"/>
                <w:bCs/>
                <w:szCs w:val="22"/>
              </w:rPr>
              <w:t xml:space="preserve">enforcement notice </w:t>
            </w:r>
            <w:r w:rsidR="005536F3">
              <w:rPr>
                <w:rFonts w:ascii="Calibri" w:hAnsi="Calibri"/>
                <w:bCs/>
                <w:szCs w:val="22"/>
              </w:rPr>
              <w:t xml:space="preserve">appeal statement which contradict the claims made within the supporting statement submitted as part of the current planning application. </w:t>
            </w:r>
          </w:p>
          <w:p w14:paraId="1DBCA7FA" w14:textId="77777777" w:rsidR="007A5D5F" w:rsidRDefault="007A5D5F" w:rsidP="003E6B13">
            <w:pPr>
              <w:pStyle w:val="Header"/>
              <w:rPr>
                <w:rFonts w:ascii="Calibri" w:hAnsi="Calibri"/>
                <w:bCs/>
                <w:szCs w:val="22"/>
              </w:rPr>
            </w:pPr>
          </w:p>
          <w:p w14:paraId="0EE8EADD" w14:textId="5E100A5A" w:rsidR="00F021EF" w:rsidRDefault="005536F3" w:rsidP="00F021EF">
            <w:pPr>
              <w:pStyle w:val="Header"/>
              <w:rPr>
                <w:rFonts w:ascii="Calibri" w:hAnsi="Calibri"/>
                <w:bCs/>
                <w:szCs w:val="22"/>
              </w:rPr>
            </w:pPr>
            <w:r>
              <w:rPr>
                <w:rFonts w:ascii="Calibri" w:hAnsi="Calibri"/>
                <w:bCs/>
                <w:szCs w:val="22"/>
              </w:rPr>
              <w:t xml:space="preserve">The </w:t>
            </w:r>
            <w:r w:rsidR="00EC4495">
              <w:rPr>
                <w:rFonts w:ascii="Calibri" w:hAnsi="Calibri"/>
                <w:bCs/>
                <w:szCs w:val="22"/>
              </w:rPr>
              <w:t xml:space="preserve">applicant’s enforcement notice appeal statement </w:t>
            </w:r>
            <w:r w:rsidR="00EC4495" w:rsidRPr="00EC4495">
              <w:rPr>
                <w:rFonts w:ascii="Calibri" w:hAnsi="Calibri"/>
                <w:bCs/>
                <w:szCs w:val="22"/>
              </w:rPr>
              <w:t xml:space="preserve">(dated March 2023) </w:t>
            </w:r>
            <w:r w:rsidR="00EC4495">
              <w:rPr>
                <w:rFonts w:ascii="Calibri" w:hAnsi="Calibri"/>
                <w:bCs/>
                <w:szCs w:val="22"/>
              </w:rPr>
              <w:t>refers to the building in question as an ‘agricultural building</w:t>
            </w:r>
            <w:r w:rsidR="009202BF">
              <w:rPr>
                <w:rFonts w:ascii="Calibri" w:hAnsi="Calibri"/>
                <w:bCs/>
                <w:szCs w:val="22"/>
              </w:rPr>
              <w:t xml:space="preserve">’ and </w:t>
            </w:r>
            <w:r w:rsidR="00A80971">
              <w:rPr>
                <w:rFonts w:ascii="Calibri" w:hAnsi="Calibri"/>
                <w:bCs/>
                <w:szCs w:val="22"/>
              </w:rPr>
              <w:t xml:space="preserve">sets out a detailed argument so as to justify retention of the unauthorised works in question for the purposes of supporting the agricultural use of the site. No reference is made to any residential use of the site. </w:t>
            </w:r>
            <w:r w:rsidR="00F021EF">
              <w:rPr>
                <w:rFonts w:ascii="Calibri" w:hAnsi="Calibri"/>
                <w:szCs w:val="22"/>
              </w:rPr>
              <w:t xml:space="preserve">Moreover, the </w:t>
            </w:r>
            <w:r w:rsidR="00F021EF" w:rsidRPr="004F48B7">
              <w:rPr>
                <w:rFonts w:ascii="Calibri" w:hAnsi="Calibri"/>
                <w:bCs/>
                <w:szCs w:val="22"/>
              </w:rPr>
              <w:t xml:space="preserve">building in question </w:t>
            </w:r>
            <w:r w:rsidR="00F021EF">
              <w:rPr>
                <w:rFonts w:ascii="Calibri" w:hAnsi="Calibri"/>
                <w:bCs/>
                <w:szCs w:val="22"/>
              </w:rPr>
              <w:t xml:space="preserve">is also referred to as </w:t>
            </w:r>
            <w:r w:rsidR="00F021EF" w:rsidRPr="004F48B7">
              <w:rPr>
                <w:rFonts w:ascii="Calibri" w:hAnsi="Calibri"/>
                <w:bCs/>
                <w:szCs w:val="22"/>
              </w:rPr>
              <w:t>an ‘agricultural building’</w:t>
            </w:r>
            <w:r w:rsidR="00F021EF">
              <w:rPr>
                <w:rFonts w:ascii="Calibri" w:hAnsi="Calibri"/>
                <w:bCs/>
                <w:szCs w:val="22"/>
              </w:rPr>
              <w:t xml:space="preserve"> within a request for pre-application planning advice submitted in July 2022 regarding the </w:t>
            </w:r>
            <w:r w:rsidR="00F021EF" w:rsidRPr="00CF03F8">
              <w:rPr>
                <w:rFonts w:ascii="Calibri" w:hAnsi="Calibri"/>
                <w:bCs/>
                <w:i/>
                <w:iCs/>
                <w:szCs w:val="22"/>
              </w:rPr>
              <w:t>proposed</w:t>
            </w:r>
            <w:r w:rsidR="00F021EF">
              <w:rPr>
                <w:rFonts w:ascii="Calibri" w:hAnsi="Calibri"/>
                <w:bCs/>
                <w:szCs w:val="22"/>
              </w:rPr>
              <w:t xml:space="preserve"> conversion of the building </w:t>
            </w:r>
            <w:r w:rsidR="007861CE">
              <w:rPr>
                <w:rFonts w:ascii="Calibri" w:hAnsi="Calibri"/>
                <w:bCs/>
                <w:szCs w:val="22"/>
              </w:rPr>
              <w:t xml:space="preserve">in question </w:t>
            </w:r>
            <w:r w:rsidR="00F021EF">
              <w:rPr>
                <w:rFonts w:ascii="Calibri" w:hAnsi="Calibri"/>
                <w:bCs/>
                <w:szCs w:val="22"/>
              </w:rPr>
              <w:t>to a dwellinghouse</w:t>
            </w:r>
            <w:r w:rsidR="00900ED0">
              <w:rPr>
                <w:rFonts w:ascii="Calibri" w:hAnsi="Calibri"/>
                <w:bCs/>
                <w:szCs w:val="22"/>
              </w:rPr>
              <w:t xml:space="preserve"> (building status also denoted as empty / storage in notes for pre-application plans). </w:t>
            </w:r>
            <w:r w:rsidR="007C6788">
              <w:rPr>
                <w:rFonts w:ascii="Calibri" w:hAnsi="Calibri"/>
                <w:bCs/>
                <w:szCs w:val="22"/>
              </w:rPr>
              <w:t>In addition, the applicant</w:t>
            </w:r>
            <w:r w:rsidR="007A5D5F">
              <w:rPr>
                <w:rFonts w:ascii="Calibri" w:hAnsi="Calibri"/>
                <w:bCs/>
                <w:szCs w:val="22"/>
              </w:rPr>
              <w:t xml:space="preserve"> </w:t>
            </w:r>
            <w:r w:rsidR="007C6788">
              <w:rPr>
                <w:rFonts w:ascii="Calibri" w:hAnsi="Calibri"/>
                <w:bCs/>
                <w:szCs w:val="22"/>
              </w:rPr>
              <w:t xml:space="preserve">is listed as </w:t>
            </w:r>
            <w:r w:rsidR="007A5D5F">
              <w:rPr>
                <w:rFonts w:ascii="Calibri" w:hAnsi="Calibri"/>
                <w:bCs/>
                <w:szCs w:val="22"/>
              </w:rPr>
              <w:t xml:space="preserve">residing at </w:t>
            </w:r>
            <w:r w:rsidR="007C6788">
              <w:rPr>
                <w:rFonts w:ascii="Calibri" w:hAnsi="Calibri"/>
                <w:bCs/>
                <w:szCs w:val="22"/>
              </w:rPr>
              <w:t>an address in</w:t>
            </w:r>
            <w:r w:rsidR="007C6788" w:rsidRPr="007C6788">
              <w:rPr>
                <w:rFonts w:ascii="Calibri" w:hAnsi="Calibri"/>
                <w:bCs/>
                <w:szCs w:val="22"/>
              </w:rPr>
              <w:t xml:space="preserve"> Oswaldtwistle</w:t>
            </w:r>
            <w:r w:rsidR="007C6788">
              <w:rPr>
                <w:rFonts w:ascii="Calibri" w:hAnsi="Calibri"/>
                <w:bCs/>
                <w:szCs w:val="22"/>
              </w:rPr>
              <w:t xml:space="preserve">, Lancashire in supporting documentation </w:t>
            </w:r>
            <w:r w:rsidR="007861CE">
              <w:rPr>
                <w:rFonts w:ascii="Calibri" w:hAnsi="Calibri"/>
                <w:bCs/>
                <w:szCs w:val="22"/>
              </w:rPr>
              <w:t xml:space="preserve">(from March 2023) </w:t>
            </w:r>
            <w:r w:rsidR="007C6788">
              <w:rPr>
                <w:rFonts w:ascii="Calibri" w:hAnsi="Calibri"/>
                <w:bCs/>
                <w:szCs w:val="22"/>
              </w:rPr>
              <w:t>with respect to the enforcement notice appeal and this same address is also listed as the applicant’s place of residence for previous planning application 3/2022/0345</w:t>
            </w:r>
            <w:r w:rsidR="004F48B7">
              <w:rPr>
                <w:rFonts w:ascii="Calibri" w:hAnsi="Calibri"/>
                <w:bCs/>
                <w:szCs w:val="22"/>
              </w:rPr>
              <w:t xml:space="preserve"> (March 2022). </w:t>
            </w:r>
            <w:r w:rsidR="007C6788">
              <w:rPr>
                <w:rFonts w:ascii="Calibri" w:hAnsi="Calibri"/>
                <w:bCs/>
                <w:szCs w:val="22"/>
              </w:rPr>
              <w:t xml:space="preserve">Furthermore, it also understood that officers </w:t>
            </w:r>
            <w:r w:rsidR="007A5D5F">
              <w:rPr>
                <w:rFonts w:ascii="Calibri" w:hAnsi="Calibri"/>
                <w:bCs/>
                <w:szCs w:val="22"/>
              </w:rPr>
              <w:t>had been</w:t>
            </w:r>
            <w:r w:rsidR="00947E7D">
              <w:rPr>
                <w:rFonts w:ascii="Calibri" w:hAnsi="Calibri"/>
                <w:bCs/>
                <w:szCs w:val="22"/>
              </w:rPr>
              <w:t xml:space="preserve"> unable to </w:t>
            </w:r>
            <w:r w:rsidR="00442819">
              <w:rPr>
                <w:rFonts w:ascii="Calibri" w:hAnsi="Calibri"/>
                <w:bCs/>
                <w:szCs w:val="22"/>
              </w:rPr>
              <w:t xml:space="preserve">gain access to the interior of the building in question </w:t>
            </w:r>
            <w:r w:rsidR="006D5941">
              <w:rPr>
                <w:rFonts w:ascii="Calibri" w:hAnsi="Calibri"/>
                <w:bCs/>
                <w:szCs w:val="22"/>
              </w:rPr>
              <w:t xml:space="preserve">to confirm </w:t>
            </w:r>
            <w:r w:rsidR="007A5D5F">
              <w:rPr>
                <w:rFonts w:ascii="Calibri" w:hAnsi="Calibri"/>
                <w:bCs/>
                <w:szCs w:val="22"/>
              </w:rPr>
              <w:t>its use</w:t>
            </w:r>
            <w:r w:rsidR="006D5941">
              <w:rPr>
                <w:rFonts w:ascii="Calibri" w:hAnsi="Calibri"/>
                <w:bCs/>
                <w:szCs w:val="22"/>
              </w:rPr>
              <w:t xml:space="preserve"> at the time of </w:t>
            </w:r>
            <w:r w:rsidR="007A5D5F">
              <w:rPr>
                <w:rFonts w:ascii="Calibri" w:hAnsi="Calibri"/>
                <w:bCs/>
                <w:szCs w:val="22"/>
              </w:rPr>
              <w:t xml:space="preserve">writing of </w:t>
            </w:r>
            <w:r w:rsidR="006D5941">
              <w:rPr>
                <w:rFonts w:ascii="Calibri" w:hAnsi="Calibri"/>
                <w:bCs/>
                <w:szCs w:val="22"/>
              </w:rPr>
              <w:t xml:space="preserve">the Council’s own </w:t>
            </w:r>
            <w:r w:rsidR="007A5D5F">
              <w:rPr>
                <w:rFonts w:ascii="Calibri" w:hAnsi="Calibri"/>
                <w:bCs/>
                <w:szCs w:val="22"/>
              </w:rPr>
              <w:t xml:space="preserve">enforcement notice </w:t>
            </w:r>
            <w:r w:rsidR="006D5941">
              <w:rPr>
                <w:rFonts w:ascii="Calibri" w:hAnsi="Calibri"/>
                <w:bCs/>
                <w:szCs w:val="22"/>
              </w:rPr>
              <w:t>appeal statement.</w:t>
            </w:r>
            <w:r w:rsidR="00F021EF">
              <w:rPr>
                <w:rFonts w:ascii="Calibri" w:hAnsi="Calibri"/>
                <w:bCs/>
                <w:szCs w:val="22"/>
              </w:rPr>
              <w:t xml:space="preserve"> </w:t>
            </w:r>
            <w:r w:rsidR="00B74F0D">
              <w:rPr>
                <w:rFonts w:ascii="Calibri" w:hAnsi="Calibri"/>
                <w:bCs/>
                <w:szCs w:val="22"/>
              </w:rPr>
              <w:t xml:space="preserve">Taking account of the above, it is considered that sufficient evidence exists </w:t>
            </w:r>
            <w:r w:rsidR="00B74F0D" w:rsidRPr="00B74F0D">
              <w:rPr>
                <w:rFonts w:ascii="Calibri" w:hAnsi="Calibri"/>
                <w:bCs/>
                <w:szCs w:val="22"/>
              </w:rPr>
              <w:t>to contradict or otherwise make the applicant’s version of events less than probable</w:t>
            </w:r>
            <w:r w:rsidR="00B74F0D">
              <w:rPr>
                <w:rFonts w:ascii="Calibri" w:hAnsi="Calibri"/>
                <w:bCs/>
                <w:szCs w:val="22"/>
              </w:rPr>
              <w:t xml:space="preserve"> in this instance. </w:t>
            </w:r>
          </w:p>
          <w:p w14:paraId="07B8CE8A" w14:textId="77777777" w:rsidR="00F021EF" w:rsidRDefault="00F021EF" w:rsidP="00F021EF">
            <w:pPr>
              <w:pStyle w:val="Header"/>
              <w:tabs>
                <w:tab w:val="clear" w:pos="4153"/>
                <w:tab w:val="clear" w:pos="8306"/>
              </w:tabs>
              <w:contextualSpacing/>
              <w:jc w:val="both"/>
              <w:rPr>
                <w:rFonts w:ascii="Calibri" w:hAnsi="Calibri"/>
                <w:bCs/>
                <w:szCs w:val="22"/>
              </w:rPr>
            </w:pPr>
          </w:p>
          <w:p w14:paraId="729DA726" w14:textId="22308F77" w:rsidR="00F021EF" w:rsidRDefault="007861CE" w:rsidP="00F021EF">
            <w:pPr>
              <w:pStyle w:val="Header"/>
              <w:tabs>
                <w:tab w:val="clear" w:pos="4153"/>
                <w:tab w:val="clear" w:pos="8306"/>
              </w:tabs>
              <w:contextualSpacing/>
              <w:jc w:val="both"/>
              <w:rPr>
                <w:rFonts w:ascii="Calibri" w:hAnsi="Calibri"/>
                <w:bCs/>
                <w:szCs w:val="22"/>
              </w:rPr>
            </w:pPr>
            <w:r>
              <w:rPr>
                <w:rFonts w:ascii="Calibri" w:hAnsi="Calibri"/>
                <w:bCs/>
                <w:szCs w:val="22"/>
              </w:rPr>
              <w:t>E</w:t>
            </w:r>
            <w:r w:rsidRPr="00CD4874">
              <w:rPr>
                <w:rFonts w:ascii="Calibri" w:hAnsi="Calibri"/>
                <w:bCs/>
                <w:szCs w:val="22"/>
              </w:rPr>
              <w:t>ven if the Council were to accept the applicant’s assertions and supporting information as sufficient (NB this is not the Council’s position)</w:t>
            </w:r>
            <w:r w:rsidR="00CD4874">
              <w:rPr>
                <w:rFonts w:ascii="Calibri" w:hAnsi="Calibri"/>
                <w:bCs/>
                <w:szCs w:val="22"/>
              </w:rPr>
              <w:t xml:space="preserve">, </w:t>
            </w:r>
            <w:r w:rsidR="00F021EF">
              <w:rPr>
                <w:rFonts w:ascii="Calibri" w:hAnsi="Calibri"/>
                <w:bCs/>
                <w:szCs w:val="22"/>
              </w:rPr>
              <w:t xml:space="preserve">Section 191 (3) of </w:t>
            </w:r>
            <w:r w:rsidR="00F021EF" w:rsidRPr="00F021EF">
              <w:rPr>
                <w:rFonts w:ascii="Calibri" w:hAnsi="Calibri"/>
                <w:bCs/>
                <w:szCs w:val="22"/>
              </w:rPr>
              <w:t>the Town and Country Planning Act (1990) (the Act)</w:t>
            </w:r>
            <w:r w:rsidR="00F021EF">
              <w:rPr>
                <w:rFonts w:ascii="Calibri" w:hAnsi="Calibri"/>
                <w:bCs/>
                <w:szCs w:val="22"/>
              </w:rPr>
              <w:t xml:space="preserve"> states:</w:t>
            </w:r>
          </w:p>
          <w:p w14:paraId="2EF2CE88" w14:textId="77777777" w:rsidR="00F021EF" w:rsidRDefault="00F021EF" w:rsidP="00F021EF">
            <w:pPr>
              <w:pStyle w:val="Header"/>
              <w:tabs>
                <w:tab w:val="clear" w:pos="4153"/>
                <w:tab w:val="clear" w:pos="8306"/>
              </w:tabs>
              <w:contextualSpacing/>
              <w:jc w:val="both"/>
              <w:rPr>
                <w:rFonts w:ascii="Calibri" w:hAnsi="Calibri"/>
                <w:bCs/>
                <w:szCs w:val="22"/>
              </w:rPr>
            </w:pPr>
          </w:p>
          <w:p w14:paraId="1C081FEE" w14:textId="78D085B8" w:rsidR="00EF5CB1" w:rsidRPr="00EF5CB1" w:rsidRDefault="00EF5CB1" w:rsidP="00EF5CB1">
            <w:pPr>
              <w:pStyle w:val="Header"/>
              <w:contextualSpacing/>
              <w:jc w:val="both"/>
              <w:rPr>
                <w:rFonts w:ascii="Calibri" w:hAnsi="Calibri"/>
                <w:bCs/>
                <w:i/>
                <w:iCs/>
                <w:szCs w:val="22"/>
              </w:rPr>
            </w:pPr>
            <w:r>
              <w:rPr>
                <w:rFonts w:ascii="Calibri" w:hAnsi="Calibri"/>
                <w:bCs/>
                <w:i/>
                <w:iCs/>
                <w:szCs w:val="22"/>
              </w:rPr>
              <w:t>‘</w:t>
            </w:r>
            <w:r w:rsidRPr="00EF5CB1">
              <w:rPr>
                <w:rFonts w:ascii="Calibri" w:hAnsi="Calibri"/>
                <w:bCs/>
                <w:i/>
                <w:iCs/>
                <w:szCs w:val="22"/>
              </w:rPr>
              <w:t>For the purposes of this Act any matter constituting a failure to comply with any condition or limitation subject to which planning permission has been granted is lawful at any time if—</w:t>
            </w:r>
          </w:p>
          <w:p w14:paraId="39E23656" w14:textId="77777777" w:rsidR="00EF5CB1" w:rsidRPr="00EF5CB1" w:rsidRDefault="00EF5CB1" w:rsidP="00EF5CB1">
            <w:pPr>
              <w:pStyle w:val="Header"/>
              <w:contextualSpacing/>
              <w:jc w:val="both"/>
              <w:rPr>
                <w:rFonts w:ascii="Calibri" w:hAnsi="Calibri"/>
                <w:bCs/>
                <w:i/>
                <w:iCs/>
                <w:szCs w:val="22"/>
              </w:rPr>
            </w:pPr>
          </w:p>
          <w:p w14:paraId="4D9174D0" w14:textId="040A0976" w:rsidR="00EF5CB1" w:rsidRDefault="00EF5CB1" w:rsidP="00EF5CB1">
            <w:pPr>
              <w:pStyle w:val="Header"/>
              <w:contextualSpacing/>
              <w:jc w:val="both"/>
              <w:rPr>
                <w:rFonts w:ascii="Calibri" w:hAnsi="Calibri"/>
                <w:bCs/>
                <w:i/>
                <w:iCs/>
                <w:szCs w:val="22"/>
              </w:rPr>
            </w:pPr>
            <w:r w:rsidRPr="00EF5CB1">
              <w:rPr>
                <w:rFonts w:ascii="Calibri" w:hAnsi="Calibri"/>
                <w:bCs/>
                <w:i/>
                <w:iCs/>
                <w:szCs w:val="22"/>
              </w:rPr>
              <w:t>(b) it does not constitute a contravention of any of the requirements of any enforcement notice or breach of condition notice then in force.</w:t>
            </w:r>
            <w:r>
              <w:rPr>
                <w:rFonts w:ascii="Calibri" w:hAnsi="Calibri"/>
                <w:bCs/>
                <w:i/>
                <w:iCs/>
                <w:szCs w:val="22"/>
              </w:rPr>
              <w:t>’</w:t>
            </w:r>
          </w:p>
          <w:p w14:paraId="43F0843C" w14:textId="77777777" w:rsidR="00EF5CB1" w:rsidRDefault="00EF5CB1" w:rsidP="00EF5CB1">
            <w:pPr>
              <w:pStyle w:val="Header"/>
              <w:contextualSpacing/>
              <w:jc w:val="both"/>
              <w:rPr>
                <w:rFonts w:ascii="Calibri" w:hAnsi="Calibri"/>
                <w:bCs/>
                <w:i/>
                <w:iCs/>
                <w:szCs w:val="22"/>
              </w:rPr>
            </w:pPr>
          </w:p>
          <w:p w14:paraId="15529D80" w14:textId="27397D87" w:rsidR="00EF5CB1" w:rsidRPr="00FC1C55" w:rsidRDefault="00804538" w:rsidP="00FC1C55">
            <w:pPr>
              <w:pStyle w:val="Header"/>
              <w:rPr>
                <w:rFonts w:ascii="Calibri" w:hAnsi="Calibri"/>
                <w:bCs/>
                <w:i/>
                <w:iCs/>
                <w:szCs w:val="22"/>
                <w:lang w:val="en"/>
              </w:rPr>
            </w:pPr>
            <w:r>
              <w:rPr>
                <w:rFonts w:ascii="Calibri" w:hAnsi="Calibri"/>
                <w:bCs/>
                <w:szCs w:val="22"/>
              </w:rPr>
              <w:t>A</w:t>
            </w:r>
            <w:r w:rsidR="00A20647">
              <w:rPr>
                <w:rFonts w:ascii="Calibri" w:hAnsi="Calibri"/>
                <w:bCs/>
                <w:szCs w:val="22"/>
              </w:rPr>
              <w:t xml:space="preserve"> Breach </w:t>
            </w:r>
            <w:r>
              <w:rPr>
                <w:rFonts w:ascii="Calibri" w:hAnsi="Calibri"/>
                <w:bCs/>
                <w:szCs w:val="22"/>
              </w:rPr>
              <w:t>o</w:t>
            </w:r>
            <w:r w:rsidR="00A20647">
              <w:rPr>
                <w:rFonts w:ascii="Calibri" w:hAnsi="Calibri"/>
                <w:bCs/>
                <w:szCs w:val="22"/>
              </w:rPr>
              <w:t xml:space="preserve">f Condition </w:t>
            </w:r>
            <w:r>
              <w:rPr>
                <w:rFonts w:ascii="Calibri" w:hAnsi="Calibri"/>
                <w:bCs/>
                <w:szCs w:val="22"/>
              </w:rPr>
              <w:t>N</w:t>
            </w:r>
            <w:r w:rsidR="00A20647">
              <w:rPr>
                <w:rFonts w:ascii="Calibri" w:hAnsi="Calibri"/>
                <w:bCs/>
                <w:szCs w:val="22"/>
              </w:rPr>
              <w:t xml:space="preserve">otice was served to the applicant </w:t>
            </w:r>
            <w:r w:rsidR="00CD4874">
              <w:rPr>
                <w:rFonts w:ascii="Calibri" w:hAnsi="Calibri"/>
                <w:bCs/>
                <w:szCs w:val="22"/>
              </w:rPr>
              <w:t>on</w:t>
            </w:r>
            <w:r w:rsidR="00A20647">
              <w:rPr>
                <w:rFonts w:ascii="Calibri" w:hAnsi="Calibri"/>
                <w:bCs/>
                <w:szCs w:val="22"/>
              </w:rPr>
              <w:t xml:space="preserve"> December </w:t>
            </w:r>
            <w:r w:rsidR="00CD4874">
              <w:rPr>
                <w:rFonts w:ascii="Calibri" w:hAnsi="Calibri"/>
                <w:bCs/>
                <w:szCs w:val="22"/>
              </w:rPr>
              <w:t>17</w:t>
            </w:r>
            <w:r w:rsidR="00CD4874" w:rsidRPr="00CD4874">
              <w:rPr>
                <w:rFonts w:ascii="Calibri" w:hAnsi="Calibri"/>
                <w:bCs/>
                <w:szCs w:val="22"/>
                <w:vertAlign w:val="superscript"/>
              </w:rPr>
              <w:t>th</w:t>
            </w:r>
            <w:r w:rsidR="00CD4874">
              <w:rPr>
                <w:rFonts w:ascii="Calibri" w:hAnsi="Calibri"/>
                <w:bCs/>
                <w:szCs w:val="22"/>
              </w:rPr>
              <w:t xml:space="preserve"> </w:t>
            </w:r>
            <w:r w:rsidR="00A20647">
              <w:rPr>
                <w:rFonts w:ascii="Calibri" w:hAnsi="Calibri"/>
                <w:bCs/>
                <w:szCs w:val="22"/>
              </w:rPr>
              <w:t xml:space="preserve">2021 in relation to numerous planning breaches pertaining to approved planning application 3/2018/0989, with the notice in question specifically requiring the applicant to cease all non-agricultural use of the building in question. </w:t>
            </w:r>
            <w:r w:rsidR="00CD4874">
              <w:rPr>
                <w:rFonts w:ascii="Calibri" w:hAnsi="Calibri"/>
                <w:bCs/>
                <w:szCs w:val="22"/>
              </w:rPr>
              <w:t xml:space="preserve">As such, the </w:t>
            </w:r>
            <w:r w:rsidR="00702311">
              <w:rPr>
                <w:rFonts w:ascii="Calibri" w:hAnsi="Calibri"/>
                <w:bCs/>
                <w:szCs w:val="22"/>
              </w:rPr>
              <w:t xml:space="preserve">alleged </w:t>
            </w:r>
            <w:r w:rsidR="00CD4874">
              <w:rPr>
                <w:rFonts w:ascii="Calibri" w:hAnsi="Calibri"/>
                <w:bCs/>
                <w:szCs w:val="22"/>
              </w:rPr>
              <w:t xml:space="preserve">unauthorised use of the building in question </w:t>
            </w:r>
            <w:r w:rsidR="00702311">
              <w:rPr>
                <w:rFonts w:ascii="Calibri" w:hAnsi="Calibri"/>
                <w:bCs/>
                <w:szCs w:val="22"/>
              </w:rPr>
              <w:t>can</w:t>
            </w:r>
            <w:r w:rsidR="00CD4874" w:rsidRPr="00CD4874">
              <w:rPr>
                <w:rFonts w:ascii="Calibri" w:hAnsi="Calibri"/>
                <w:bCs/>
                <w:szCs w:val="22"/>
              </w:rPr>
              <w:t xml:space="preserve">not </w:t>
            </w:r>
            <w:r w:rsidR="00FC1C55">
              <w:rPr>
                <w:rFonts w:ascii="Calibri" w:hAnsi="Calibri"/>
                <w:bCs/>
                <w:szCs w:val="22"/>
              </w:rPr>
              <w:t xml:space="preserve">be </w:t>
            </w:r>
            <w:r w:rsidR="00CD4874" w:rsidRPr="00CD4874">
              <w:rPr>
                <w:rFonts w:ascii="Calibri" w:hAnsi="Calibri"/>
                <w:bCs/>
                <w:szCs w:val="22"/>
              </w:rPr>
              <w:t>considered lawful</w:t>
            </w:r>
            <w:r w:rsidR="00702311">
              <w:rPr>
                <w:rFonts w:ascii="Calibri" w:hAnsi="Calibri"/>
                <w:bCs/>
                <w:szCs w:val="22"/>
              </w:rPr>
              <w:t xml:space="preserve"> due to the</w:t>
            </w:r>
            <w:r w:rsidR="00CD4874" w:rsidRPr="00CD4874">
              <w:rPr>
                <w:rFonts w:ascii="Calibri" w:hAnsi="Calibri"/>
                <w:bCs/>
                <w:szCs w:val="22"/>
              </w:rPr>
              <w:t xml:space="preserve"> </w:t>
            </w:r>
            <w:r w:rsidR="00702311">
              <w:rPr>
                <w:rFonts w:ascii="Calibri" w:hAnsi="Calibri"/>
                <w:bCs/>
                <w:szCs w:val="22"/>
              </w:rPr>
              <w:t xml:space="preserve">provision of a Breach </w:t>
            </w:r>
            <w:r>
              <w:rPr>
                <w:rFonts w:ascii="Calibri" w:hAnsi="Calibri"/>
                <w:bCs/>
                <w:szCs w:val="22"/>
              </w:rPr>
              <w:t>o</w:t>
            </w:r>
            <w:r w:rsidR="00702311">
              <w:rPr>
                <w:rFonts w:ascii="Calibri" w:hAnsi="Calibri"/>
                <w:bCs/>
                <w:szCs w:val="22"/>
              </w:rPr>
              <w:t xml:space="preserve">f Condition </w:t>
            </w:r>
            <w:r>
              <w:rPr>
                <w:rFonts w:ascii="Calibri" w:hAnsi="Calibri"/>
                <w:bCs/>
                <w:szCs w:val="22"/>
              </w:rPr>
              <w:t>N</w:t>
            </w:r>
            <w:r w:rsidR="00702311">
              <w:rPr>
                <w:rFonts w:ascii="Calibri" w:hAnsi="Calibri"/>
                <w:bCs/>
                <w:szCs w:val="22"/>
              </w:rPr>
              <w:t>otice being served</w:t>
            </w:r>
            <w:r w:rsidR="00FC1C55">
              <w:rPr>
                <w:rFonts w:ascii="Calibri" w:hAnsi="Calibri"/>
                <w:bCs/>
                <w:szCs w:val="22"/>
              </w:rPr>
              <w:t xml:space="preserve"> during </w:t>
            </w:r>
            <w:r w:rsidR="00FC1C55" w:rsidRPr="00FC1C55">
              <w:rPr>
                <w:rFonts w:ascii="Calibri" w:hAnsi="Calibri"/>
                <w:bCs/>
                <w:szCs w:val="22"/>
                <w:lang w:val="en"/>
              </w:rPr>
              <w:t xml:space="preserve">the period of four years beginning with the date of the </w:t>
            </w:r>
            <w:r w:rsidR="00FC1C55">
              <w:rPr>
                <w:rFonts w:ascii="Calibri" w:hAnsi="Calibri"/>
                <w:bCs/>
                <w:szCs w:val="22"/>
                <w:lang w:val="en"/>
              </w:rPr>
              <w:t xml:space="preserve">alleged </w:t>
            </w:r>
            <w:r w:rsidR="00FC1C55" w:rsidRPr="00FC1C55">
              <w:rPr>
                <w:rFonts w:ascii="Calibri" w:hAnsi="Calibri"/>
                <w:bCs/>
                <w:szCs w:val="22"/>
                <w:lang w:val="en"/>
              </w:rPr>
              <w:t>breach.</w:t>
            </w:r>
            <w:r w:rsidR="00FC1C55">
              <w:rPr>
                <w:rFonts w:ascii="Calibri" w:hAnsi="Calibri"/>
                <w:bCs/>
                <w:szCs w:val="22"/>
                <w:lang w:val="en"/>
              </w:rPr>
              <w:t xml:space="preserve"> </w:t>
            </w:r>
            <w:r w:rsidR="00FC1C55">
              <w:rPr>
                <w:rFonts w:ascii="Calibri" w:hAnsi="Calibri"/>
                <w:bCs/>
                <w:szCs w:val="22"/>
              </w:rPr>
              <w:t>Consequently</w:t>
            </w:r>
            <w:r w:rsidR="00702311">
              <w:rPr>
                <w:rFonts w:ascii="Calibri" w:hAnsi="Calibri"/>
                <w:bCs/>
                <w:szCs w:val="22"/>
              </w:rPr>
              <w:t xml:space="preserve">, the alleged unauthorised use of the building in question </w:t>
            </w:r>
            <w:r w:rsidR="00702311" w:rsidRPr="00702311">
              <w:rPr>
                <w:rFonts w:ascii="Calibri" w:hAnsi="Calibri"/>
                <w:bCs/>
                <w:szCs w:val="22"/>
              </w:rPr>
              <w:t xml:space="preserve">for a continuous period in excess of </w:t>
            </w:r>
            <w:r w:rsidR="00702311">
              <w:rPr>
                <w:rFonts w:ascii="Calibri" w:hAnsi="Calibri"/>
                <w:bCs/>
                <w:szCs w:val="22"/>
              </w:rPr>
              <w:t>four</w:t>
            </w:r>
            <w:r w:rsidR="00702311" w:rsidRPr="00702311">
              <w:rPr>
                <w:rFonts w:ascii="Calibri" w:hAnsi="Calibri"/>
                <w:bCs/>
                <w:szCs w:val="22"/>
              </w:rPr>
              <w:t xml:space="preserve"> years</w:t>
            </w:r>
            <w:r w:rsidR="00702311">
              <w:rPr>
                <w:rFonts w:ascii="Calibri" w:hAnsi="Calibri"/>
                <w:bCs/>
                <w:szCs w:val="22"/>
              </w:rPr>
              <w:t xml:space="preserve"> is </w:t>
            </w:r>
            <w:r w:rsidR="00702311" w:rsidRPr="00702311">
              <w:rPr>
                <w:rFonts w:ascii="Calibri" w:hAnsi="Calibri"/>
                <w:bCs/>
                <w:szCs w:val="22"/>
              </w:rPr>
              <w:t>not considered lawfu</w:t>
            </w:r>
            <w:r w:rsidR="00702311">
              <w:rPr>
                <w:rFonts w:ascii="Calibri" w:hAnsi="Calibri"/>
                <w:bCs/>
                <w:szCs w:val="22"/>
              </w:rPr>
              <w:t xml:space="preserve">l </w:t>
            </w:r>
            <w:r w:rsidR="00CD4874" w:rsidRPr="00CD4874">
              <w:rPr>
                <w:rFonts w:ascii="Calibri" w:hAnsi="Calibri"/>
                <w:bCs/>
                <w:szCs w:val="22"/>
              </w:rPr>
              <w:t>by virtue of</w:t>
            </w:r>
            <w:r w:rsidR="00CD4874">
              <w:rPr>
                <w:rFonts w:ascii="Calibri" w:hAnsi="Calibri"/>
                <w:bCs/>
                <w:szCs w:val="22"/>
              </w:rPr>
              <w:t xml:space="preserve"> contravening </w:t>
            </w:r>
            <w:r w:rsidR="00CD4874" w:rsidRPr="00CD4874">
              <w:rPr>
                <w:rFonts w:ascii="Calibri" w:hAnsi="Calibri"/>
                <w:bCs/>
                <w:szCs w:val="22"/>
              </w:rPr>
              <w:t xml:space="preserve">Section 191 (3) </w:t>
            </w:r>
            <w:r w:rsidR="00CD4874">
              <w:rPr>
                <w:rFonts w:ascii="Calibri" w:hAnsi="Calibri"/>
                <w:bCs/>
                <w:szCs w:val="22"/>
              </w:rPr>
              <w:t xml:space="preserve">(b) </w:t>
            </w:r>
            <w:r w:rsidR="00CD4874" w:rsidRPr="00CD4874">
              <w:rPr>
                <w:rFonts w:ascii="Calibri" w:hAnsi="Calibri"/>
                <w:bCs/>
                <w:szCs w:val="22"/>
              </w:rPr>
              <w:t>of the Town and Country Planning Act (1990) (the Act)</w:t>
            </w:r>
            <w:r w:rsidR="00CD4874">
              <w:rPr>
                <w:rFonts w:ascii="Calibri" w:hAnsi="Calibri"/>
                <w:bCs/>
                <w:szCs w:val="22"/>
              </w:rPr>
              <w:t>.</w:t>
            </w:r>
          </w:p>
          <w:p w14:paraId="0DB485A3" w14:textId="66441A38" w:rsidR="00AD0B00" w:rsidRPr="00C0704D" w:rsidRDefault="00AD0B00" w:rsidP="003E6B13">
            <w:pPr>
              <w:pStyle w:val="Header"/>
              <w:rPr>
                <w:rFonts w:ascii="Calibri" w:hAnsi="Calibri"/>
                <w:szCs w:val="22"/>
              </w:rPr>
            </w:pPr>
          </w:p>
        </w:tc>
      </w:tr>
      <w:tr w:rsidR="00C0704D" w:rsidRPr="00D2449B" w14:paraId="507FC89B" w14:textId="77777777" w:rsidTr="00D7793B">
        <w:trPr>
          <w:jc w:val="center"/>
        </w:trPr>
        <w:tc>
          <w:tcPr>
            <w:tcW w:w="21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0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73490" w:rsidR="00C0704D" w:rsidRPr="00D2449B" w:rsidRDefault="00402270" w:rsidP="00CD2CEF">
            <w:pPr>
              <w:rPr>
                <w:rFonts w:ascii="Calibri" w:hAnsi="Calibri"/>
                <w:bCs/>
                <w:szCs w:val="22"/>
              </w:rPr>
            </w:pPr>
            <w:r w:rsidRPr="00402270">
              <w:rPr>
                <w:rFonts w:ascii="Calibri" w:hAnsi="Calibri"/>
                <w:bCs/>
                <w:szCs w:val="22"/>
              </w:rPr>
              <w:t>That the certificate of lawfulness be refused for the following reason</w:t>
            </w:r>
            <w:r>
              <w:rPr>
                <w:rFonts w:ascii="Calibri" w:hAnsi="Calibri"/>
                <w:bCs/>
                <w:szCs w:val="22"/>
              </w:rPr>
              <w:t>:</w:t>
            </w:r>
          </w:p>
        </w:tc>
      </w:tr>
      <w:tr w:rsidR="00402270" w:rsidRPr="00D2449B" w14:paraId="441552EE" w14:textId="77777777" w:rsidTr="00D7793B">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82F047" w14:textId="553EF2B5" w:rsidR="00402270" w:rsidRPr="00402270" w:rsidRDefault="00402270" w:rsidP="00402270">
            <w:pPr>
              <w:jc w:val="center"/>
              <w:rPr>
                <w:rFonts w:ascii="Calibri" w:hAnsi="Calibri"/>
                <w:b/>
                <w:szCs w:val="22"/>
              </w:rPr>
            </w:pPr>
            <w:r w:rsidRPr="00402270">
              <w:rPr>
                <w:rFonts w:ascii="Calibri" w:hAnsi="Calibri"/>
                <w:b/>
                <w:szCs w:val="22"/>
              </w:rPr>
              <w:lastRenderedPageBreak/>
              <w:t>01:</w:t>
            </w:r>
          </w:p>
        </w:tc>
        <w:tc>
          <w:tcPr>
            <w:tcW w:w="870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55406" w14:textId="4303B04E" w:rsidR="00402270" w:rsidRPr="000A57F3" w:rsidRDefault="00804538" w:rsidP="00CD2CEF">
            <w:pPr>
              <w:rPr>
                <w:rFonts w:ascii="Calibri" w:hAnsi="Calibri"/>
                <w:bCs/>
                <w:i/>
                <w:iCs/>
                <w:szCs w:val="22"/>
                <w:lang w:val="en"/>
              </w:rPr>
            </w:pPr>
            <w:r>
              <w:rPr>
                <w:rFonts w:ascii="Calibri" w:hAnsi="Calibri"/>
                <w:bCs/>
                <w:szCs w:val="22"/>
              </w:rPr>
              <w:t>A</w:t>
            </w:r>
            <w:r w:rsidR="002B3622">
              <w:rPr>
                <w:rFonts w:ascii="Calibri" w:hAnsi="Calibri"/>
                <w:bCs/>
                <w:szCs w:val="22"/>
              </w:rPr>
              <w:t xml:space="preserve"> Breach </w:t>
            </w:r>
            <w:r>
              <w:rPr>
                <w:rFonts w:ascii="Calibri" w:hAnsi="Calibri"/>
                <w:bCs/>
                <w:szCs w:val="22"/>
              </w:rPr>
              <w:t>o</w:t>
            </w:r>
            <w:r w:rsidR="002B3622">
              <w:rPr>
                <w:rFonts w:ascii="Calibri" w:hAnsi="Calibri"/>
                <w:bCs/>
                <w:szCs w:val="22"/>
              </w:rPr>
              <w:t xml:space="preserve">f Condition </w:t>
            </w:r>
            <w:r>
              <w:rPr>
                <w:rFonts w:ascii="Calibri" w:hAnsi="Calibri"/>
                <w:bCs/>
                <w:szCs w:val="22"/>
              </w:rPr>
              <w:t>N</w:t>
            </w:r>
            <w:r w:rsidR="002B3622">
              <w:rPr>
                <w:rFonts w:ascii="Calibri" w:hAnsi="Calibri"/>
                <w:bCs/>
                <w:szCs w:val="22"/>
              </w:rPr>
              <w:t>otice was served to the applicant</w:t>
            </w:r>
            <w:r w:rsidR="000A57F3">
              <w:rPr>
                <w:rFonts w:ascii="Calibri" w:hAnsi="Calibri"/>
                <w:bCs/>
                <w:szCs w:val="22"/>
              </w:rPr>
              <w:t xml:space="preserve"> </w:t>
            </w:r>
            <w:r w:rsidR="00305874" w:rsidRPr="00305874">
              <w:rPr>
                <w:rFonts w:ascii="Calibri" w:hAnsi="Calibri"/>
                <w:bCs/>
                <w:szCs w:val="22"/>
              </w:rPr>
              <w:t xml:space="preserve">during </w:t>
            </w:r>
            <w:r w:rsidR="00305874" w:rsidRPr="00305874">
              <w:rPr>
                <w:rFonts w:ascii="Calibri" w:hAnsi="Calibri"/>
                <w:bCs/>
                <w:szCs w:val="22"/>
                <w:lang w:val="en"/>
              </w:rPr>
              <w:t xml:space="preserve">the period of four years beginning with the date of the alleged breach. </w:t>
            </w:r>
            <w:r w:rsidR="00305874" w:rsidRPr="00305874">
              <w:rPr>
                <w:rFonts w:ascii="Calibri" w:hAnsi="Calibri"/>
                <w:bCs/>
                <w:szCs w:val="22"/>
              </w:rPr>
              <w:t>Consequently, the alleged unauthorised use of the building in question for a continuous period in excess of four years is not considered lawful by virtue of contravening Section 191 (3) (b) of the Town and Country Planning Act (1990) (the Act).</w:t>
            </w:r>
            <w:r>
              <w:rPr>
                <w:rFonts w:ascii="Calibri" w:hAnsi="Calibri"/>
                <w:bCs/>
                <w:szCs w:val="22"/>
              </w:rPr>
              <w:t xml:space="preserve"> </w:t>
            </w:r>
            <w:r w:rsidR="00FA58F7" w:rsidRPr="00FA58F7">
              <w:rPr>
                <w:rFonts w:ascii="Calibri" w:hAnsi="Calibri"/>
                <w:bCs/>
                <w:szCs w:val="22"/>
              </w:rPr>
              <w:t>In addition,</w:t>
            </w:r>
            <w:r w:rsidRPr="00FA58F7">
              <w:rPr>
                <w:rFonts w:ascii="Calibri" w:hAnsi="Calibri"/>
                <w:bCs/>
                <w:szCs w:val="22"/>
              </w:rPr>
              <w:t xml:space="preserve"> the Council’s evidence make’s the applicant’s version of events less than probable and there is no good reason to accept the applicant’s case that the use of the building should be considered lawful by virtue of Section 1</w:t>
            </w:r>
            <w:r w:rsidR="00FA58F7" w:rsidRPr="00FA58F7">
              <w:rPr>
                <w:rFonts w:ascii="Calibri" w:hAnsi="Calibri"/>
                <w:bCs/>
                <w:szCs w:val="22"/>
              </w:rPr>
              <w:t>7</w:t>
            </w:r>
            <w:r w:rsidRPr="00FA58F7">
              <w:rPr>
                <w:rFonts w:ascii="Calibri" w:hAnsi="Calibri"/>
                <w:bCs/>
                <w:szCs w:val="22"/>
              </w:rPr>
              <w:t>1 (</w:t>
            </w:r>
            <w:r w:rsidR="00FA58F7" w:rsidRPr="00FA58F7">
              <w:rPr>
                <w:rFonts w:ascii="Calibri" w:hAnsi="Calibri"/>
                <w:bCs/>
                <w:szCs w:val="22"/>
              </w:rPr>
              <w:t>B</w:t>
            </w:r>
            <w:r w:rsidRPr="00FA58F7">
              <w:rPr>
                <w:rFonts w:ascii="Calibri" w:hAnsi="Calibri"/>
                <w:bCs/>
                <w:szCs w:val="22"/>
              </w:rPr>
              <w:t>) (</w:t>
            </w:r>
            <w:r w:rsidR="00FA58F7" w:rsidRPr="00FA58F7">
              <w:rPr>
                <w:rFonts w:ascii="Calibri" w:hAnsi="Calibri"/>
                <w:bCs/>
                <w:szCs w:val="22"/>
              </w:rPr>
              <w:t>2</w:t>
            </w:r>
            <w:r w:rsidRPr="00FA58F7">
              <w:rPr>
                <w:rFonts w:ascii="Calibri" w:hAnsi="Calibri"/>
                <w:bCs/>
                <w:szCs w:val="22"/>
              </w:rPr>
              <w:t>) of the Town and Country Planning Act (1990)</w:t>
            </w:r>
            <w:r w:rsidR="00FA58F7" w:rsidRPr="00FA58F7">
              <w:rPr>
                <w:rFonts w:ascii="Calibri" w:hAnsi="Calibri"/>
                <w:bCs/>
                <w:szCs w:val="22"/>
              </w:rPr>
              <w:t>.</w:t>
            </w:r>
          </w:p>
        </w:tc>
      </w:tr>
    </w:tbl>
    <w:p w14:paraId="513FB541" w14:textId="77777777" w:rsidR="0002304A" w:rsidRPr="00D2449B" w:rsidRDefault="0002304A">
      <w:pPr>
        <w:rPr>
          <w:rFonts w:ascii="Calibri" w:hAnsi="Calibri"/>
          <w:szCs w:val="22"/>
        </w:rPr>
      </w:pPr>
    </w:p>
    <w:sectPr w:rsidR="0002304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64D4A"/>
    <w:multiLevelType w:val="hybridMultilevel"/>
    <w:tmpl w:val="54C8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7121"/>
    <w:multiLevelType w:val="hybridMultilevel"/>
    <w:tmpl w:val="678E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863CF"/>
    <w:multiLevelType w:val="hybridMultilevel"/>
    <w:tmpl w:val="969A05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6C416A8"/>
    <w:multiLevelType w:val="hybridMultilevel"/>
    <w:tmpl w:val="D152C688"/>
    <w:lvl w:ilvl="0" w:tplc="05ECAC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7E0E69"/>
    <w:multiLevelType w:val="hybridMultilevel"/>
    <w:tmpl w:val="1398F65E"/>
    <w:lvl w:ilvl="0" w:tplc="CB4473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C9376F"/>
    <w:multiLevelType w:val="hybridMultilevel"/>
    <w:tmpl w:val="BB5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D6824"/>
    <w:multiLevelType w:val="hybridMultilevel"/>
    <w:tmpl w:val="1A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633176010">
    <w:abstractNumId w:val="1"/>
  </w:num>
  <w:num w:numId="3" w16cid:durableId="1330208351">
    <w:abstractNumId w:val="5"/>
  </w:num>
  <w:num w:numId="4" w16cid:durableId="1855730261">
    <w:abstractNumId w:val="0"/>
  </w:num>
  <w:num w:numId="5" w16cid:durableId="1717967737">
    <w:abstractNumId w:val="3"/>
  </w:num>
  <w:num w:numId="6" w16cid:durableId="624508807">
    <w:abstractNumId w:val="4"/>
  </w:num>
  <w:num w:numId="7" w16cid:durableId="1686175993">
    <w:abstractNumId w:val="7"/>
  </w:num>
  <w:num w:numId="8" w16cid:durableId="7860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005"/>
    <w:rsid w:val="0002273F"/>
    <w:rsid w:val="0002304A"/>
    <w:rsid w:val="000758A4"/>
    <w:rsid w:val="00080BDF"/>
    <w:rsid w:val="000A57F3"/>
    <w:rsid w:val="000B5CB5"/>
    <w:rsid w:val="000C1A6C"/>
    <w:rsid w:val="000F2F98"/>
    <w:rsid w:val="000F346C"/>
    <w:rsid w:val="0010195B"/>
    <w:rsid w:val="00101F50"/>
    <w:rsid w:val="00105930"/>
    <w:rsid w:val="00116BCC"/>
    <w:rsid w:val="001238E5"/>
    <w:rsid w:val="00130035"/>
    <w:rsid w:val="00134FBA"/>
    <w:rsid w:val="001512F0"/>
    <w:rsid w:val="00151FE2"/>
    <w:rsid w:val="00153BF7"/>
    <w:rsid w:val="0015513B"/>
    <w:rsid w:val="00174FC6"/>
    <w:rsid w:val="0019211F"/>
    <w:rsid w:val="001C4E32"/>
    <w:rsid w:val="001D4F7A"/>
    <w:rsid w:val="001E634E"/>
    <w:rsid w:val="001E7034"/>
    <w:rsid w:val="001E70DB"/>
    <w:rsid w:val="001F1BF5"/>
    <w:rsid w:val="0020078E"/>
    <w:rsid w:val="002109BA"/>
    <w:rsid w:val="00213A08"/>
    <w:rsid w:val="002164C6"/>
    <w:rsid w:val="0022092D"/>
    <w:rsid w:val="00230DEC"/>
    <w:rsid w:val="00250879"/>
    <w:rsid w:val="00283DAC"/>
    <w:rsid w:val="00285124"/>
    <w:rsid w:val="0029334A"/>
    <w:rsid w:val="002969F4"/>
    <w:rsid w:val="002A01CF"/>
    <w:rsid w:val="002B3622"/>
    <w:rsid w:val="002C6277"/>
    <w:rsid w:val="002E3882"/>
    <w:rsid w:val="002F1F6D"/>
    <w:rsid w:val="002F2580"/>
    <w:rsid w:val="0030336C"/>
    <w:rsid w:val="00305874"/>
    <w:rsid w:val="00321B6E"/>
    <w:rsid w:val="00332D3C"/>
    <w:rsid w:val="003375D3"/>
    <w:rsid w:val="0034162D"/>
    <w:rsid w:val="0035044F"/>
    <w:rsid w:val="00352EC0"/>
    <w:rsid w:val="00354A0F"/>
    <w:rsid w:val="0036309D"/>
    <w:rsid w:val="003709AA"/>
    <w:rsid w:val="00394AAD"/>
    <w:rsid w:val="003A6175"/>
    <w:rsid w:val="003B459A"/>
    <w:rsid w:val="003B63E9"/>
    <w:rsid w:val="003E6B13"/>
    <w:rsid w:val="00402270"/>
    <w:rsid w:val="00414C7D"/>
    <w:rsid w:val="00415C19"/>
    <w:rsid w:val="00440CB6"/>
    <w:rsid w:val="00442819"/>
    <w:rsid w:val="0046548C"/>
    <w:rsid w:val="00472BEA"/>
    <w:rsid w:val="0048424C"/>
    <w:rsid w:val="004947BB"/>
    <w:rsid w:val="004974CD"/>
    <w:rsid w:val="004A5EA9"/>
    <w:rsid w:val="004B432E"/>
    <w:rsid w:val="004C2434"/>
    <w:rsid w:val="004C2AD3"/>
    <w:rsid w:val="004C7D6E"/>
    <w:rsid w:val="004F0649"/>
    <w:rsid w:val="004F48B7"/>
    <w:rsid w:val="005017E6"/>
    <w:rsid w:val="00503194"/>
    <w:rsid w:val="00510FA2"/>
    <w:rsid w:val="005141A2"/>
    <w:rsid w:val="005148AF"/>
    <w:rsid w:val="005148E9"/>
    <w:rsid w:val="00522E14"/>
    <w:rsid w:val="00527882"/>
    <w:rsid w:val="005464DC"/>
    <w:rsid w:val="0055014A"/>
    <w:rsid w:val="005536F3"/>
    <w:rsid w:val="00553D35"/>
    <w:rsid w:val="0055645B"/>
    <w:rsid w:val="00556ECD"/>
    <w:rsid w:val="005673BE"/>
    <w:rsid w:val="00591C39"/>
    <w:rsid w:val="00593603"/>
    <w:rsid w:val="005A25C4"/>
    <w:rsid w:val="005B1843"/>
    <w:rsid w:val="005B29D7"/>
    <w:rsid w:val="005D1C53"/>
    <w:rsid w:val="005E1C6C"/>
    <w:rsid w:val="005E65DF"/>
    <w:rsid w:val="005E67DA"/>
    <w:rsid w:val="005F3D8B"/>
    <w:rsid w:val="00614A2C"/>
    <w:rsid w:val="00620FE4"/>
    <w:rsid w:val="00632F2C"/>
    <w:rsid w:val="006339A4"/>
    <w:rsid w:val="006703EB"/>
    <w:rsid w:val="00673B0A"/>
    <w:rsid w:val="006774C4"/>
    <w:rsid w:val="00681E01"/>
    <w:rsid w:val="00686398"/>
    <w:rsid w:val="00692B60"/>
    <w:rsid w:val="00692EDA"/>
    <w:rsid w:val="00696A3B"/>
    <w:rsid w:val="006A155D"/>
    <w:rsid w:val="006A2818"/>
    <w:rsid w:val="006A3A22"/>
    <w:rsid w:val="006A71AD"/>
    <w:rsid w:val="006B10AF"/>
    <w:rsid w:val="006C2BFA"/>
    <w:rsid w:val="006C4E21"/>
    <w:rsid w:val="006D0BAE"/>
    <w:rsid w:val="006D5941"/>
    <w:rsid w:val="006D7CA0"/>
    <w:rsid w:val="006E2F1F"/>
    <w:rsid w:val="006E513A"/>
    <w:rsid w:val="006F6849"/>
    <w:rsid w:val="0070054B"/>
    <w:rsid w:val="00702311"/>
    <w:rsid w:val="00730776"/>
    <w:rsid w:val="0073672C"/>
    <w:rsid w:val="00743F8C"/>
    <w:rsid w:val="00744E59"/>
    <w:rsid w:val="00752E03"/>
    <w:rsid w:val="0075645B"/>
    <w:rsid w:val="00761403"/>
    <w:rsid w:val="00776AE2"/>
    <w:rsid w:val="00777FCE"/>
    <w:rsid w:val="007861CE"/>
    <w:rsid w:val="007A5D5F"/>
    <w:rsid w:val="007C6788"/>
    <w:rsid w:val="007C791C"/>
    <w:rsid w:val="007D7DF4"/>
    <w:rsid w:val="007E0D23"/>
    <w:rsid w:val="007F16D6"/>
    <w:rsid w:val="00804538"/>
    <w:rsid w:val="00811771"/>
    <w:rsid w:val="008314CD"/>
    <w:rsid w:val="00835CEC"/>
    <w:rsid w:val="00847D6C"/>
    <w:rsid w:val="008542DE"/>
    <w:rsid w:val="00856A43"/>
    <w:rsid w:val="00867B9F"/>
    <w:rsid w:val="0088733D"/>
    <w:rsid w:val="008A28C8"/>
    <w:rsid w:val="008A34F6"/>
    <w:rsid w:val="008C16BF"/>
    <w:rsid w:val="008D47F3"/>
    <w:rsid w:val="008D7825"/>
    <w:rsid w:val="008E6CF5"/>
    <w:rsid w:val="00900ED0"/>
    <w:rsid w:val="00904978"/>
    <w:rsid w:val="009202BF"/>
    <w:rsid w:val="00931915"/>
    <w:rsid w:val="00941A0D"/>
    <w:rsid w:val="009442D2"/>
    <w:rsid w:val="00945CF1"/>
    <w:rsid w:val="00947E7D"/>
    <w:rsid w:val="0098748F"/>
    <w:rsid w:val="00991156"/>
    <w:rsid w:val="009A7332"/>
    <w:rsid w:val="009B4248"/>
    <w:rsid w:val="009B79E9"/>
    <w:rsid w:val="009C4022"/>
    <w:rsid w:val="009F5A44"/>
    <w:rsid w:val="00A20647"/>
    <w:rsid w:val="00A24574"/>
    <w:rsid w:val="00A303EE"/>
    <w:rsid w:val="00A30B19"/>
    <w:rsid w:val="00A30F48"/>
    <w:rsid w:val="00A42E82"/>
    <w:rsid w:val="00A464CB"/>
    <w:rsid w:val="00A513AA"/>
    <w:rsid w:val="00A5364F"/>
    <w:rsid w:val="00A54DF1"/>
    <w:rsid w:val="00A5500B"/>
    <w:rsid w:val="00A579BB"/>
    <w:rsid w:val="00A57DE0"/>
    <w:rsid w:val="00A63D55"/>
    <w:rsid w:val="00A76842"/>
    <w:rsid w:val="00A80971"/>
    <w:rsid w:val="00A95D89"/>
    <w:rsid w:val="00AC2DD5"/>
    <w:rsid w:val="00AD072C"/>
    <w:rsid w:val="00AD0B00"/>
    <w:rsid w:val="00AD0DE2"/>
    <w:rsid w:val="00AD60E1"/>
    <w:rsid w:val="00AD6D81"/>
    <w:rsid w:val="00AE2457"/>
    <w:rsid w:val="00AF4FCD"/>
    <w:rsid w:val="00B1768A"/>
    <w:rsid w:val="00B232A9"/>
    <w:rsid w:val="00B30F74"/>
    <w:rsid w:val="00B50F3A"/>
    <w:rsid w:val="00B55C2D"/>
    <w:rsid w:val="00B6149C"/>
    <w:rsid w:val="00B74F0D"/>
    <w:rsid w:val="00B81671"/>
    <w:rsid w:val="00B83E74"/>
    <w:rsid w:val="00B93EB5"/>
    <w:rsid w:val="00BB7670"/>
    <w:rsid w:val="00BD3F03"/>
    <w:rsid w:val="00BE54A4"/>
    <w:rsid w:val="00C0080F"/>
    <w:rsid w:val="00C0704D"/>
    <w:rsid w:val="00C15D89"/>
    <w:rsid w:val="00C25722"/>
    <w:rsid w:val="00C32411"/>
    <w:rsid w:val="00C571EC"/>
    <w:rsid w:val="00C57654"/>
    <w:rsid w:val="00C618DB"/>
    <w:rsid w:val="00C706E4"/>
    <w:rsid w:val="00CA4F6E"/>
    <w:rsid w:val="00CB0859"/>
    <w:rsid w:val="00CB4390"/>
    <w:rsid w:val="00CC0ED4"/>
    <w:rsid w:val="00CD4874"/>
    <w:rsid w:val="00CE20C9"/>
    <w:rsid w:val="00CE5725"/>
    <w:rsid w:val="00CE5FDA"/>
    <w:rsid w:val="00CF0230"/>
    <w:rsid w:val="00CF03F8"/>
    <w:rsid w:val="00D003C9"/>
    <w:rsid w:val="00D11007"/>
    <w:rsid w:val="00D17EB1"/>
    <w:rsid w:val="00D2449B"/>
    <w:rsid w:val="00D30857"/>
    <w:rsid w:val="00D422FA"/>
    <w:rsid w:val="00D437BA"/>
    <w:rsid w:val="00D5061D"/>
    <w:rsid w:val="00D51CBF"/>
    <w:rsid w:val="00D54A8D"/>
    <w:rsid w:val="00D54E67"/>
    <w:rsid w:val="00D7793B"/>
    <w:rsid w:val="00D81FB8"/>
    <w:rsid w:val="00D97FC9"/>
    <w:rsid w:val="00DA1A1A"/>
    <w:rsid w:val="00DA3500"/>
    <w:rsid w:val="00DA3856"/>
    <w:rsid w:val="00DB0B57"/>
    <w:rsid w:val="00DB194D"/>
    <w:rsid w:val="00DB2935"/>
    <w:rsid w:val="00DC167B"/>
    <w:rsid w:val="00DD62F6"/>
    <w:rsid w:val="00DF3F24"/>
    <w:rsid w:val="00E03E88"/>
    <w:rsid w:val="00E179E9"/>
    <w:rsid w:val="00E25565"/>
    <w:rsid w:val="00E30B69"/>
    <w:rsid w:val="00E33586"/>
    <w:rsid w:val="00E43268"/>
    <w:rsid w:val="00E46243"/>
    <w:rsid w:val="00E509F6"/>
    <w:rsid w:val="00E621E6"/>
    <w:rsid w:val="00E66534"/>
    <w:rsid w:val="00E70ECF"/>
    <w:rsid w:val="00E72F6C"/>
    <w:rsid w:val="00E9515F"/>
    <w:rsid w:val="00EA09F9"/>
    <w:rsid w:val="00EC23C7"/>
    <w:rsid w:val="00EC4495"/>
    <w:rsid w:val="00EC4568"/>
    <w:rsid w:val="00EC6E97"/>
    <w:rsid w:val="00EC7A87"/>
    <w:rsid w:val="00ED00B7"/>
    <w:rsid w:val="00EE1A8C"/>
    <w:rsid w:val="00EE5E05"/>
    <w:rsid w:val="00EF2BAA"/>
    <w:rsid w:val="00EF44E6"/>
    <w:rsid w:val="00EF5CB1"/>
    <w:rsid w:val="00F021EF"/>
    <w:rsid w:val="00F066ED"/>
    <w:rsid w:val="00F11AB5"/>
    <w:rsid w:val="00F1219C"/>
    <w:rsid w:val="00F26010"/>
    <w:rsid w:val="00F40ADE"/>
    <w:rsid w:val="00F61CA0"/>
    <w:rsid w:val="00F65C9B"/>
    <w:rsid w:val="00F66A63"/>
    <w:rsid w:val="00F70ECD"/>
    <w:rsid w:val="00F86285"/>
    <w:rsid w:val="00F87051"/>
    <w:rsid w:val="00F90C0C"/>
    <w:rsid w:val="00F940FB"/>
    <w:rsid w:val="00F94414"/>
    <w:rsid w:val="00F9645B"/>
    <w:rsid w:val="00FA3F01"/>
    <w:rsid w:val="00FA58F7"/>
    <w:rsid w:val="00FB54EF"/>
    <w:rsid w:val="00FC1C55"/>
    <w:rsid w:val="00FC3150"/>
    <w:rsid w:val="00FC7027"/>
    <w:rsid w:val="00FD52B5"/>
    <w:rsid w:val="00FD6AE3"/>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Hyperlink">
    <w:name w:val="Hyperlink"/>
    <w:basedOn w:val="DefaultParagraphFont"/>
    <w:uiPriority w:val="99"/>
    <w:unhideWhenUsed/>
    <w:rsid w:val="00134FBA"/>
    <w:rPr>
      <w:color w:val="0000FF" w:themeColor="hyperlink"/>
      <w:u w:val="single"/>
    </w:rPr>
  </w:style>
  <w:style w:type="character" w:styleId="UnresolvedMention">
    <w:name w:val="Unresolved Mention"/>
    <w:basedOn w:val="DefaultParagraphFont"/>
    <w:uiPriority w:val="99"/>
    <w:semiHidden/>
    <w:unhideWhenUsed/>
    <w:rsid w:val="0013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8050">
      <w:bodyDiv w:val="1"/>
      <w:marLeft w:val="0"/>
      <w:marRight w:val="0"/>
      <w:marTop w:val="0"/>
      <w:marBottom w:val="0"/>
      <w:divBdr>
        <w:top w:val="none" w:sz="0" w:space="0" w:color="auto"/>
        <w:left w:val="none" w:sz="0" w:space="0" w:color="auto"/>
        <w:bottom w:val="none" w:sz="0" w:space="0" w:color="auto"/>
        <w:right w:val="none" w:sz="0" w:space="0" w:color="auto"/>
      </w:divBdr>
    </w:div>
    <w:div w:id="424303352">
      <w:bodyDiv w:val="1"/>
      <w:marLeft w:val="0"/>
      <w:marRight w:val="0"/>
      <w:marTop w:val="0"/>
      <w:marBottom w:val="0"/>
      <w:divBdr>
        <w:top w:val="none" w:sz="0" w:space="0" w:color="auto"/>
        <w:left w:val="none" w:sz="0" w:space="0" w:color="auto"/>
        <w:bottom w:val="none" w:sz="0" w:space="0" w:color="auto"/>
        <w:right w:val="none" w:sz="0" w:space="0" w:color="auto"/>
      </w:divBdr>
    </w:div>
    <w:div w:id="651449400">
      <w:bodyDiv w:val="1"/>
      <w:marLeft w:val="0"/>
      <w:marRight w:val="0"/>
      <w:marTop w:val="0"/>
      <w:marBottom w:val="0"/>
      <w:divBdr>
        <w:top w:val="none" w:sz="0" w:space="0" w:color="auto"/>
        <w:left w:val="none" w:sz="0" w:space="0" w:color="auto"/>
        <w:bottom w:val="none" w:sz="0" w:space="0" w:color="auto"/>
        <w:right w:val="none" w:sz="0" w:space="0" w:color="auto"/>
      </w:divBdr>
    </w:div>
    <w:div w:id="700399396">
      <w:bodyDiv w:val="1"/>
      <w:marLeft w:val="0"/>
      <w:marRight w:val="0"/>
      <w:marTop w:val="0"/>
      <w:marBottom w:val="0"/>
      <w:divBdr>
        <w:top w:val="none" w:sz="0" w:space="0" w:color="auto"/>
        <w:left w:val="none" w:sz="0" w:space="0" w:color="auto"/>
        <w:bottom w:val="none" w:sz="0" w:space="0" w:color="auto"/>
        <w:right w:val="none" w:sz="0" w:space="0" w:color="auto"/>
      </w:divBdr>
    </w:div>
    <w:div w:id="718626889">
      <w:bodyDiv w:val="1"/>
      <w:marLeft w:val="0"/>
      <w:marRight w:val="0"/>
      <w:marTop w:val="0"/>
      <w:marBottom w:val="0"/>
      <w:divBdr>
        <w:top w:val="none" w:sz="0" w:space="0" w:color="auto"/>
        <w:left w:val="none" w:sz="0" w:space="0" w:color="auto"/>
        <w:bottom w:val="none" w:sz="0" w:space="0" w:color="auto"/>
        <w:right w:val="none" w:sz="0" w:space="0" w:color="auto"/>
      </w:divBdr>
    </w:div>
    <w:div w:id="955791083">
      <w:bodyDiv w:val="1"/>
      <w:marLeft w:val="0"/>
      <w:marRight w:val="0"/>
      <w:marTop w:val="0"/>
      <w:marBottom w:val="0"/>
      <w:divBdr>
        <w:top w:val="none" w:sz="0" w:space="0" w:color="auto"/>
        <w:left w:val="none" w:sz="0" w:space="0" w:color="auto"/>
        <w:bottom w:val="none" w:sz="0" w:space="0" w:color="auto"/>
        <w:right w:val="none" w:sz="0" w:space="0" w:color="auto"/>
      </w:divBdr>
    </w:div>
    <w:div w:id="1025904089">
      <w:bodyDiv w:val="1"/>
      <w:marLeft w:val="0"/>
      <w:marRight w:val="0"/>
      <w:marTop w:val="0"/>
      <w:marBottom w:val="0"/>
      <w:divBdr>
        <w:top w:val="none" w:sz="0" w:space="0" w:color="auto"/>
        <w:left w:val="none" w:sz="0" w:space="0" w:color="auto"/>
        <w:bottom w:val="none" w:sz="0" w:space="0" w:color="auto"/>
        <w:right w:val="none" w:sz="0" w:space="0" w:color="auto"/>
      </w:divBdr>
    </w:div>
    <w:div w:id="1287156528">
      <w:bodyDiv w:val="1"/>
      <w:marLeft w:val="0"/>
      <w:marRight w:val="0"/>
      <w:marTop w:val="0"/>
      <w:marBottom w:val="0"/>
      <w:divBdr>
        <w:top w:val="none" w:sz="0" w:space="0" w:color="auto"/>
        <w:left w:val="none" w:sz="0" w:space="0" w:color="auto"/>
        <w:bottom w:val="none" w:sz="0" w:space="0" w:color="auto"/>
        <w:right w:val="none" w:sz="0" w:space="0" w:color="auto"/>
      </w:divBdr>
    </w:div>
    <w:div w:id="1330476638">
      <w:bodyDiv w:val="1"/>
      <w:marLeft w:val="0"/>
      <w:marRight w:val="0"/>
      <w:marTop w:val="0"/>
      <w:marBottom w:val="0"/>
      <w:divBdr>
        <w:top w:val="none" w:sz="0" w:space="0" w:color="auto"/>
        <w:left w:val="none" w:sz="0" w:space="0" w:color="auto"/>
        <w:bottom w:val="none" w:sz="0" w:space="0" w:color="auto"/>
        <w:right w:val="none" w:sz="0" w:space="0" w:color="auto"/>
      </w:divBdr>
    </w:div>
    <w:div w:id="1631400361">
      <w:bodyDiv w:val="1"/>
      <w:marLeft w:val="0"/>
      <w:marRight w:val="0"/>
      <w:marTop w:val="0"/>
      <w:marBottom w:val="0"/>
      <w:divBdr>
        <w:top w:val="none" w:sz="0" w:space="0" w:color="auto"/>
        <w:left w:val="none" w:sz="0" w:space="0" w:color="auto"/>
        <w:bottom w:val="none" w:sz="0" w:space="0" w:color="auto"/>
        <w:right w:val="none" w:sz="0" w:space="0" w:color="auto"/>
      </w:divBdr>
    </w:div>
    <w:div w:id="1652252191">
      <w:bodyDiv w:val="1"/>
      <w:marLeft w:val="0"/>
      <w:marRight w:val="0"/>
      <w:marTop w:val="0"/>
      <w:marBottom w:val="0"/>
      <w:divBdr>
        <w:top w:val="none" w:sz="0" w:space="0" w:color="auto"/>
        <w:left w:val="none" w:sz="0" w:space="0" w:color="auto"/>
        <w:bottom w:val="none" w:sz="0" w:space="0" w:color="auto"/>
        <w:right w:val="none" w:sz="0" w:space="0" w:color="auto"/>
      </w:divBdr>
    </w:div>
    <w:div w:id="1977180845">
      <w:bodyDiv w:val="1"/>
      <w:marLeft w:val="0"/>
      <w:marRight w:val="0"/>
      <w:marTop w:val="0"/>
      <w:marBottom w:val="0"/>
      <w:divBdr>
        <w:top w:val="none" w:sz="0" w:space="0" w:color="auto"/>
        <w:left w:val="none" w:sz="0" w:space="0" w:color="auto"/>
        <w:bottom w:val="none" w:sz="0" w:space="0" w:color="auto"/>
        <w:right w:val="none" w:sz="0" w:space="0" w:color="auto"/>
      </w:divBdr>
    </w:div>
    <w:div w:id="20862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2023-11-15T11:44:00Z</dcterms:created>
  <dcterms:modified xsi:type="dcterms:W3CDTF">2023-11-15T11:44:00Z</dcterms:modified>
</cp:coreProperties>
</file>