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2"/>
        <w:gridCol w:w="900"/>
        <w:gridCol w:w="289"/>
        <w:gridCol w:w="387"/>
        <w:gridCol w:w="228"/>
        <w:gridCol w:w="1385"/>
        <w:gridCol w:w="1318"/>
        <w:gridCol w:w="712"/>
        <w:gridCol w:w="782"/>
        <w:gridCol w:w="505"/>
        <w:gridCol w:w="427"/>
        <w:gridCol w:w="1091"/>
        <w:gridCol w:w="852"/>
      </w:tblGrid>
      <w:tr w:rsidR="008C75E4" w:rsidRPr="008C75E4" w14:paraId="479DFE8D" w14:textId="77777777" w:rsidTr="003257F0">
        <w:trPr>
          <w:jc w:val="center"/>
        </w:trPr>
        <w:tc>
          <w:tcPr>
            <w:tcW w:w="9968" w:type="dxa"/>
            <w:gridSpan w:val="13"/>
            <w:tcMar>
              <w:top w:w="57" w:type="dxa"/>
              <w:bottom w:w="57" w:type="dxa"/>
            </w:tcMar>
          </w:tcPr>
          <w:p w14:paraId="4A4802BE"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4D4BEB" w:rsidRPr="008C75E4" w14:paraId="323A1D9A" w14:textId="77777777" w:rsidTr="006D3AB5">
        <w:trPr>
          <w:trHeight w:val="535"/>
          <w:jc w:val="center"/>
        </w:trPr>
        <w:tc>
          <w:tcPr>
            <w:tcW w:w="1091" w:type="dxa"/>
            <w:tcMar>
              <w:top w:w="57" w:type="dxa"/>
              <w:bottom w:w="57" w:type="dxa"/>
            </w:tcMar>
          </w:tcPr>
          <w:p w14:paraId="133B44A9" w14:textId="77777777" w:rsidR="004936A6" w:rsidRDefault="004936A6" w:rsidP="00D2449B">
            <w:pPr>
              <w:jc w:val="center"/>
              <w:rPr>
                <w:rFonts w:ascii="Calibri" w:hAnsi="Calibri"/>
                <w:b/>
                <w:szCs w:val="22"/>
              </w:rPr>
            </w:pPr>
            <w:r w:rsidRPr="008C75E4">
              <w:rPr>
                <w:rFonts w:ascii="Calibri" w:hAnsi="Calibri"/>
                <w:b/>
                <w:szCs w:val="22"/>
              </w:rPr>
              <w:t>Signed:</w:t>
            </w:r>
          </w:p>
          <w:p w14:paraId="63C5CE46" w14:textId="77777777" w:rsidR="00454754" w:rsidRPr="008C75E4" w:rsidRDefault="00454754" w:rsidP="00D2449B">
            <w:pPr>
              <w:jc w:val="center"/>
              <w:rPr>
                <w:rFonts w:ascii="Calibri" w:hAnsi="Calibri"/>
                <w:b/>
                <w:szCs w:val="22"/>
              </w:rPr>
            </w:pPr>
          </w:p>
        </w:tc>
        <w:tc>
          <w:tcPr>
            <w:tcW w:w="900" w:type="dxa"/>
          </w:tcPr>
          <w:p w14:paraId="36874D30"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904" w:type="dxa"/>
            <w:gridSpan w:val="3"/>
          </w:tcPr>
          <w:p w14:paraId="7FA90AA4" w14:textId="4351899A" w:rsidR="004936A6" w:rsidRPr="008C75E4" w:rsidRDefault="004D4BEB" w:rsidP="00D2449B">
            <w:pPr>
              <w:jc w:val="center"/>
              <w:rPr>
                <w:rFonts w:ascii="Calibri" w:hAnsi="Calibri"/>
                <w:b/>
                <w:szCs w:val="22"/>
              </w:rPr>
            </w:pPr>
            <w:r>
              <w:rPr>
                <w:rFonts w:ascii="Calibri" w:hAnsi="Calibri"/>
                <w:b/>
                <w:szCs w:val="22"/>
              </w:rPr>
              <w:t>KH</w:t>
            </w:r>
          </w:p>
        </w:tc>
        <w:tc>
          <w:tcPr>
            <w:tcW w:w="1407" w:type="dxa"/>
          </w:tcPr>
          <w:p w14:paraId="130A3E7A"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335" w:type="dxa"/>
          </w:tcPr>
          <w:p w14:paraId="0B0B7C68" w14:textId="22DD3522" w:rsidR="004936A6" w:rsidRPr="008C75E4" w:rsidRDefault="00DF0319" w:rsidP="00D2449B">
            <w:pPr>
              <w:jc w:val="center"/>
              <w:rPr>
                <w:rFonts w:ascii="Calibri" w:hAnsi="Calibri"/>
                <w:b/>
                <w:szCs w:val="22"/>
              </w:rPr>
            </w:pPr>
            <w:r>
              <w:rPr>
                <w:rFonts w:ascii="Calibri" w:hAnsi="Calibri"/>
                <w:b/>
                <w:szCs w:val="22"/>
              </w:rPr>
              <w:t>2</w:t>
            </w:r>
            <w:r w:rsidR="006D3AB5">
              <w:rPr>
                <w:rFonts w:ascii="Calibri" w:hAnsi="Calibri"/>
                <w:b/>
                <w:szCs w:val="22"/>
              </w:rPr>
              <w:t>9</w:t>
            </w:r>
            <w:r w:rsidR="004D4BEB">
              <w:rPr>
                <w:rFonts w:ascii="Calibri" w:hAnsi="Calibri"/>
                <w:b/>
                <w:szCs w:val="22"/>
              </w:rPr>
              <w:t>/</w:t>
            </w:r>
            <w:r w:rsidR="00317EA8">
              <w:rPr>
                <w:rFonts w:ascii="Calibri" w:hAnsi="Calibri"/>
                <w:b/>
                <w:szCs w:val="22"/>
              </w:rPr>
              <w:t>0</w:t>
            </w:r>
            <w:r>
              <w:rPr>
                <w:rFonts w:ascii="Calibri" w:hAnsi="Calibri"/>
                <w:b/>
                <w:szCs w:val="22"/>
              </w:rPr>
              <w:t>4</w:t>
            </w:r>
            <w:r w:rsidR="004D4BEB">
              <w:rPr>
                <w:rFonts w:ascii="Calibri" w:hAnsi="Calibri"/>
                <w:b/>
                <w:szCs w:val="22"/>
              </w:rPr>
              <w:t>/</w:t>
            </w:r>
            <w:r w:rsidR="004B1D18">
              <w:rPr>
                <w:rFonts w:ascii="Calibri" w:hAnsi="Calibri"/>
                <w:b/>
                <w:szCs w:val="22"/>
              </w:rPr>
              <w:t>2</w:t>
            </w:r>
            <w:r>
              <w:rPr>
                <w:rFonts w:ascii="Calibri" w:hAnsi="Calibri"/>
                <w:b/>
                <w:szCs w:val="22"/>
              </w:rPr>
              <w:t>5</w:t>
            </w:r>
          </w:p>
        </w:tc>
        <w:tc>
          <w:tcPr>
            <w:tcW w:w="1509" w:type="dxa"/>
            <w:gridSpan w:val="2"/>
          </w:tcPr>
          <w:p w14:paraId="52B04A18"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961" w:type="dxa"/>
            <w:gridSpan w:val="2"/>
          </w:tcPr>
          <w:p w14:paraId="501749EB" w14:textId="366873BA" w:rsidR="004936A6" w:rsidRPr="008C75E4" w:rsidRDefault="006D3AB5" w:rsidP="00D2449B">
            <w:pPr>
              <w:jc w:val="center"/>
              <w:rPr>
                <w:rFonts w:ascii="Calibri" w:hAnsi="Calibri"/>
                <w:b/>
                <w:szCs w:val="22"/>
              </w:rPr>
            </w:pPr>
            <w:r>
              <w:rPr>
                <w:rFonts w:ascii="Calibri" w:hAnsi="Calibri"/>
                <w:b/>
                <w:szCs w:val="22"/>
              </w:rPr>
              <w:t>LH</w:t>
            </w:r>
          </w:p>
        </w:tc>
        <w:tc>
          <w:tcPr>
            <w:tcW w:w="1118" w:type="dxa"/>
          </w:tcPr>
          <w:p w14:paraId="287B95FD"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743" w:type="dxa"/>
          </w:tcPr>
          <w:p w14:paraId="2835C7AE" w14:textId="5C19C465" w:rsidR="004936A6" w:rsidRPr="008C75E4" w:rsidRDefault="006D3AB5" w:rsidP="00D2449B">
            <w:pPr>
              <w:jc w:val="center"/>
              <w:rPr>
                <w:rFonts w:ascii="Calibri" w:hAnsi="Calibri"/>
                <w:b/>
                <w:szCs w:val="22"/>
              </w:rPr>
            </w:pPr>
            <w:r>
              <w:rPr>
                <w:rFonts w:ascii="Calibri" w:hAnsi="Calibri"/>
                <w:b/>
                <w:szCs w:val="22"/>
              </w:rPr>
              <w:t>2/5/25</w:t>
            </w:r>
          </w:p>
        </w:tc>
      </w:tr>
      <w:tr w:rsidR="00E06DFC" w:rsidRPr="008C75E4" w14:paraId="24311AFE" w14:textId="77777777" w:rsidTr="006D3AB5">
        <w:trPr>
          <w:trHeight w:val="586"/>
          <w:jc w:val="center"/>
        </w:trPr>
        <w:tc>
          <w:tcPr>
            <w:tcW w:w="1091" w:type="dxa"/>
            <w:tcBorders>
              <w:bottom w:val="single" w:sz="4" w:space="0" w:color="BFBFBF" w:themeColor="background1" w:themeShade="BF"/>
            </w:tcBorders>
            <w:tcMar>
              <w:top w:w="57" w:type="dxa"/>
              <w:bottom w:w="57" w:type="dxa"/>
            </w:tcMar>
          </w:tcPr>
          <w:p w14:paraId="7A8E6A0B"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448724AD" w14:textId="77777777" w:rsidR="00E06DFC" w:rsidRPr="008C75E4" w:rsidRDefault="004B1D18" w:rsidP="00D2449B">
            <w:pPr>
              <w:jc w:val="center"/>
              <w:rPr>
                <w:rFonts w:ascii="Calibri" w:hAnsi="Calibri"/>
                <w:b/>
                <w:szCs w:val="22"/>
              </w:rPr>
            </w:pPr>
            <w:r>
              <w:rPr>
                <w:rFonts w:ascii="Calibri" w:hAnsi="Calibri"/>
                <w:b/>
                <w:szCs w:val="22"/>
              </w:rPr>
              <w:t>Y</w:t>
            </w:r>
          </w:p>
        </w:tc>
        <w:tc>
          <w:tcPr>
            <w:tcW w:w="904" w:type="dxa"/>
            <w:gridSpan w:val="3"/>
            <w:tcBorders>
              <w:bottom w:val="single" w:sz="4" w:space="0" w:color="BFBFBF" w:themeColor="background1" w:themeShade="BF"/>
            </w:tcBorders>
          </w:tcPr>
          <w:p w14:paraId="0F96E448" w14:textId="3A7CE1CD" w:rsidR="00E06DFC" w:rsidRPr="008C75E4" w:rsidRDefault="004D4BEB" w:rsidP="00D2449B">
            <w:pPr>
              <w:jc w:val="center"/>
              <w:rPr>
                <w:rFonts w:ascii="Calibri" w:hAnsi="Calibri"/>
                <w:b/>
                <w:szCs w:val="22"/>
              </w:rPr>
            </w:pPr>
            <w:r>
              <w:rPr>
                <w:rFonts w:ascii="Calibri" w:hAnsi="Calibri"/>
                <w:b/>
                <w:szCs w:val="22"/>
              </w:rPr>
              <w:t>Pub Expired</w:t>
            </w:r>
          </w:p>
        </w:tc>
        <w:tc>
          <w:tcPr>
            <w:tcW w:w="1407" w:type="dxa"/>
            <w:tcBorders>
              <w:bottom w:val="single" w:sz="4" w:space="0" w:color="BFBFBF" w:themeColor="background1" w:themeShade="BF"/>
            </w:tcBorders>
          </w:tcPr>
          <w:p w14:paraId="2AC0530F" w14:textId="4F767C37" w:rsidR="00E06DFC" w:rsidRPr="008C75E4" w:rsidRDefault="00932DCE" w:rsidP="00D2449B">
            <w:pPr>
              <w:jc w:val="center"/>
              <w:rPr>
                <w:rFonts w:ascii="Calibri" w:hAnsi="Calibri"/>
                <w:b/>
                <w:szCs w:val="22"/>
              </w:rPr>
            </w:pPr>
            <w:r>
              <w:rPr>
                <w:rFonts w:ascii="Calibri" w:hAnsi="Calibri"/>
                <w:b/>
                <w:szCs w:val="22"/>
              </w:rPr>
              <w:t>05/12</w:t>
            </w:r>
            <w:r w:rsidR="004D4BEB">
              <w:rPr>
                <w:rFonts w:ascii="Calibri" w:hAnsi="Calibri"/>
                <w:b/>
                <w:szCs w:val="22"/>
              </w:rPr>
              <w:t>/23</w:t>
            </w:r>
          </w:p>
        </w:tc>
        <w:tc>
          <w:tcPr>
            <w:tcW w:w="5666" w:type="dxa"/>
            <w:gridSpan w:val="7"/>
            <w:tcBorders>
              <w:bottom w:val="single" w:sz="4" w:space="0" w:color="BFBFBF" w:themeColor="background1" w:themeShade="BF"/>
            </w:tcBorders>
          </w:tcPr>
          <w:p w14:paraId="2F3F2311" w14:textId="77777777" w:rsidR="00E06DFC" w:rsidRPr="008C75E4" w:rsidRDefault="00E06DFC" w:rsidP="00D2449B">
            <w:pPr>
              <w:jc w:val="center"/>
              <w:rPr>
                <w:rFonts w:ascii="Calibri" w:hAnsi="Calibri"/>
                <w:b/>
                <w:szCs w:val="22"/>
              </w:rPr>
            </w:pPr>
          </w:p>
        </w:tc>
      </w:tr>
      <w:tr w:rsidR="008C75E4" w:rsidRPr="008C75E4" w14:paraId="1B5F1DF8" w14:textId="77777777" w:rsidTr="003257F0">
        <w:trPr>
          <w:jc w:val="center"/>
        </w:trPr>
        <w:tc>
          <w:tcPr>
            <w:tcW w:w="9968" w:type="dxa"/>
            <w:gridSpan w:val="13"/>
            <w:tcBorders>
              <w:left w:val="nil"/>
              <w:right w:val="nil"/>
            </w:tcBorders>
            <w:tcMar>
              <w:top w:w="57" w:type="dxa"/>
              <w:bottom w:w="57" w:type="dxa"/>
            </w:tcMar>
          </w:tcPr>
          <w:p w14:paraId="0AE5579F" w14:textId="77777777" w:rsidR="004A5EA9" w:rsidRPr="008C75E4" w:rsidRDefault="004A5EA9" w:rsidP="004A5EA9">
            <w:pPr>
              <w:jc w:val="center"/>
              <w:rPr>
                <w:rFonts w:ascii="Calibri" w:hAnsi="Calibri"/>
                <w:b/>
                <w:szCs w:val="22"/>
              </w:rPr>
            </w:pPr>
          </w:p>
        </w:tc>
      </w:tr>
      <w:tr w:rsidR="008C75E4" w:rsidRPr="008C75E4" w14:paraId="6415D977" w14:textId="77777777" w:rsidTr="006D3AB5">
        <w:trPr>
          <w:jc w:val="center"/>
        </w:trPr>
        <w:tc>
          <w:tcPr>
            <w:tcW w:w="2280" w:type="dxa"/>
            <w:gridSpan w:val="3"/>
            <w:tcMar>
              <w:top w:w="57" w:type="dxa"/>
              <w:bottom w:w="57" w:type="dxa"/>
            </w:tcMar>
          </w:tcPr>
          <w:p w14:paraId="2B0D7735" w14:textId="77777777" w:rsidR="004A5EA9" w:rsidRPr="008C75E4" w:rsidRDefault="004A5EA9">
            <w:pPr>
              <w:rPr>
                <w:rFonts w:ascii="Calibri" w:hAnsi="Calibri"/>
                <w:b/>
                <w:szCs w:val="22"/>
              </w:rPr>
            </w:pPr>
            <w:r w:rsidRPr="008C75E4">
              <w:rPr>
                <w:rFonts w:ascii="Calibri" w:hAnsi="Calibri"/>
                <w:b/>
                <w:szCs w:val="22"/>
              </w:rPr>
              <w:t>Application Ref:</w:t>
            </w:r>
          </w:p>
        </w:tc>
        <w:tc>
          <w:tcPr>
            <w:tcW w:w="4073" w:type="dxa"/>
            <w:gridSpan w:val="5"/>
          </w:tcPr>
          <w:p w14:paraId="3EA2E400" w14:textId="152ACA1E" w:rsidR="004A5EA9" w:rsidRPr="008C75E4" w:rsidRDefault="004B1D18" w:rsidP="008F6B58">
            <w:pPr>
              <w:rPr>
                <w:rFonts w:ascii="Calibri" w:hAnsi="Calibri"/>
                <w:szCs w:val="22"/>
              </w:rPr>
            </w:pPr>
            <w:r>
              <w:rPr>
                <w:rFonts w:ascii="Calibri" w:hAnsi="Calibri"/>
                <w:szCs w:val="22"/>
              </w:rPr>
              <w:t>3/202</w:t>
            </w:r>
            <w:r w:rsidR="004D4BEB">
              <w:rPr>
                <w:rFonts w:ascii="Calibri" w:hAnsi="Calibri"/>
                <w:szCs w:val="22"/>
              </w:rPr>
              <w:t>3</w:t>
            </w:r>
            <w:r>
              <w:rPr>
                <w:rFonts w:ascii="Calibri" w:hAnsi="Calibri"/>
                <w:szCs w:val="22"/>
              </w:rPr>
              <w:t>/0</w:t>
            </w:r>
            <w:r w:rsidR="00932DCE">
              <w:rPr>
                <w:rFonts w:ascii="Calibri" w:hAnsi="Calibri"/>
                <w:szCs w:val="22"/>
              </w:rPr>
              <w:t>754</w:t>
            </w:r>
          </w:p>
        </w:tc>
        <w:tc>
          <w:tcPr>
            <w:tcW w:w="3615" w:type="dxa"/>
            <w:gridSpan w:val="5"/>
            <w:vMerge w:val="restart"/>
            <w:tcMar>
              <w:top w:w="57" w:type="dxa"/>
              <w:bottom w:w="57" w:type="dxa"/>
            </w:tcMar>
          </w:tcPr>
          <w:p w14:paraId="0A11B33D"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B66350F" wp14:editId="3B0E33ED">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47489A50" w14:textId="77777777" w:rsidTr="006D3AB5">
        <w:trPr>
          <w:jc w:val="center"/>
        </w:trPr>
        <w:tc>
          <w:tcPr>
            <w:tcW w:w="2280" w:type="dxa"/>
            <w:gridSpan w:val="3"/>
            <w:tcMar>
              <w:top w:w="57" w:type="dxa"/>
              <w:bottom w:w="57" w:type="dxa"/>
            </w:tcMar>
          </w:tcPr>
          <w:p w14:paraId="35448DD0" w14:textId="77777777" w:rsidR="004A5EA9" w:rsidRPr="008C75E4" w:rsidRDefault="004A5EA9">
            <w:pPr>
              <w:rPr>
                <w:rFonts w:ascii="Calibri" w:hAnsi="Calibri"/>
                <w:b/>
                <w:szCs w:val="22"/>
              </w:rPr>
            </w:pPr>
            <w:r w:rsidRPr="008C75E4">
              <w:rPr>
                <w:rFonts w:ascii="Calibri" w:hAnsi="Calibri"/>
                <w:b/>
                <w:szCs w:val="22"/>
              </w:rPr>
              <w:t>Date Inspected:</w:t>
            </w:r>
          </w:p>
        </w:tc>
        <w:tc>
          <w:tcPr>
            <w:tcW w:w="4073" w:type="dxa"/>
            <w:gridSpan w:val="5"/>
          </w:tcPr>
          <w:p w14:paraId="22012767" w14:textId="2CB42683" w:rsidR="004A5EA9" w:rsidRPr="008C75E4" w:rsidRDefault="00932DCE" w:rsidP="002C6277">
            <w:pPr>
              <w:rPr>
                <w:rFonts w:ascii="Calibri" w:hAnsi="Calibri"/>
                <w:szCs w:val="22"/>
              </w:rPr>
            </w:pPr>
            <w:r>
              <w:rPr>
                <w:rFonts w:ascii="Calibri" w:hAnsi="Calibri"/>
                <w:szCs w:val="22"/>
              </w:rPr>
              <w:t>15</w:t>
            </w:r>
            <w:r w:rsidRPr="00932DCE">
              <w:rPr>
                <w:rFonts w:ascii="Calibri" w:hAnsi="Calibri"/>
                <w:szCs w:val="22"/>
                <w:vertAlign w:val="superscript"/>
              </w:rPr>
              <w:t>th</w:t>
            </w:r>
            <w:r>
              <w:rPr>
                <w:rFonts w:ascii="Calibri" w:hAnsi="Calibri"/>
                <w:szCs w:val="22"/>
              </w:rPr>
              <w:t xml:space="preserve"> November</w:t>
            </w:r>
            <w:r w:rsidR="004D4BEB">
              <w:rPr>
                <w:rFonts w:ascii="Calibri" w:hAnsi="Calibri"/>
                <w:szCs w:val="22"/>
              </w:rPr>
              <w:t>202</w:t>
            </w:r>
            <w:r>
              <w:rPr>
                <w:rFonts w:ascii="Calibri" w:hAnsi="Calibri"/>
                <w:szCs w:val="22"/>
              </w:rPr>
              <w:t>3</w:t>
            </w:r>
          </w:p>
        </w:tc>
        <w:tc>
          <w:tcPr>
            <w:tcW w:w="3615" w:type="dxa"/>
            <w:gridSpan w:val="5"/>
            <w:vMerge/>
            <w:tcMar>
              <w:top w:w="57" w:type="dxa"/>
              <w:bottom w:w="57" w:type="dxa"/>
            </w:tcMar>
          </w:tcPr>
          <w:p w14:paraId="21514ECC" w14:textId="77777777" w:rsidR="004A5EA9" w:rsidRPr="008C75E4" w:rsidRDefault="004A5EA9">
            <w:pPr>
              <w:rPr>
                <w:rFonts w:ascii="Calibri" w:hAnsi="Calibri"/>
                <w:szCs w:val="22"/>
              </w:rPr>
            </w:pPr>
          </w:p>
        </w:tc>
      </w:tr>
      <w:tr w:rsidR="008C75E4" w:rsidRPr="008C75E4" w14:paraId="664660E2" w14:textId="77777777" w:rsidTr="006D3AB5">
        <w:trPr>
          <w:jc w:val="center"/>
        </w:trPr>
        <w:tc>
          <w:tcPr>
            <w:tcW w:w="2280" w:type="dxa"/>
            <w:gridSpan w:val="3"/>
            <w:tcMar>
              <w:top w:w="57" w:type="dxa"/>
              <w:bottom w:w="57" w:type="dxa"/>
            </w:tcMar>
          </w:tcPr>
          <w:p w14:paraId="4754BD5D"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4073" w:type="dxa"/>
            <w:gridSpan w:val="5"/>
          </w:tcPr>
          <w:p w14:paraId="18F16B82" w14:textId="4CBE1B71" w:rsidR="004A5EA9" w:rsidRPr="00454754" w:rsidRDefault="004D4BEB" w:rsidP="00811771">
            <w:pPr>
              <w:rPr>
                <w:rFonts w:ascii="Calibri" w:hAnsi="Calibri"/>
                <w:b/>
                <w:szCs w:val="22"/>
              </w:rPr>
            </w:pPr>
            <w:r>
              <w:rPr>
                <w:rFonts w:ascii="Calibri" w:hAnsi="Calibri"/>
                <w:b/>
                <w:szCs w:val="22"/>
              </w:rPr>
              <w:t>KH</w:t>
            </w:r>
          </w:p>
        </w:tc>
        <w:tc>
          <w:tcPr>
            <w:tcW w:w="3615" w:type="dxa"/>
            <w:gridSpan w:val="5"/>
            <w:vMerge/>
            <w:tcMar>
              <w:top w:w="57" w:type="dxa"/>
              <w:bottom w:w="57" w:type="dxa"/>
            </w:tcMar>
          </w:tcPr>
          <w:p w14:paraId="00B62216" w14:textId="77777777" w:rsidR="004A5EA9" w:rsidRPr="008C75E4" w:rsidRDefault="004A5EA9">
            <w:pPr>
              <w:rPr>
                <w:rFonts w:ascii="Calibri" w:hAnsi="Calibri"/>
                <w:szCs w:val="22"/>
              </w:rPr>
            </w:pPr>
          </w:p>
        </w:tc>
      </w:tr>
      <w:tr w:rsidR="00FD334A" w:rsidRPr="008C75E4" w14:paraId="110B3479" w14:textId="77777777" w:rsidTr="006D3AB5">
        <w:trPr>
          <w:jc w:val="center"/>
        </w:trPr>
        <w:tc>
          <w:tcPr>
            <w:tcW w:w="6353" w:type="dxa"/>
            <w:gridSpan w:val="8"/>
            <w:tcBorders>
              <w:bottom w:val="single" w:sz="4" w:space="0" w:color="BFBFBF" w:themeColor="background1" w:themeShade="BF"/>
            </w:tcBorders>
            <w:tcMar>
              <w:top w:w="57" w:type="dxa"/>
              <w:bottom w:w="57" w:type="dxa"/>
            </w:tcMar>
          </w:tcPr>
          <w:p w14:paraId="34FFB577"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308" w:type="dxa"/>
            <w:gridSpan w:val="2"/>
            <w:tcBorders>
              <w:bottom w:val="single" w:sz="4" w:space="0" w:color="BFBFBF" w:themeColor="background1" w:themeShade="BF"/>
            </w:tcBorders>
          </w:tcPr>
          <w:p w14:paraId="50E162BB" w14:textId="77777777" w:rsidR="00FD334A" w:rsidRPr="008C75E4" w:rsidRDefault="00FD334A" w:rsidP="00FD334A">
            <w:pPr>
              <w:rPr>
                <w:rFonts w:ascii="Calibri" w:hAnsi="Calibri"/>
                <w:b/>
                <w:szCs w:val="22"/>
              </w:rPr>
            </w:pPr>
            <w:r>
              <w:rPr>
                <w:rFonts w:ascii="Calibri" w:hAnsi="Calibri"/>
                <w:b/>
                <w:szCs w:val="22"/>
              </w:rPr>
              <w:t>Decision</w:t>
            </w:r>
          </w:p>
        </w:tc>
        <w:tc>
          <w:tcPr>
            <w:tcW w:w="2307" w:type="dxa"/>
            <w:gridSpan w:val="3"/>
            <w:tcBorders>
              <w:bottom w:val="single" w:sz="4" w:space="0" w:color="BFBFBF" w:themeColor="background1" w:themeShade="BF"/>
            </w:tcBorders>
          </w:tcPr>
          <w:p w14:paraId="71958B3A" w14:textId="21C86BF5" w:rsidR="00FD334A" w:rsidRPr="008C75E4" w:rsidRDefault="004F2E7B" w:rsidP="00FD334A">
            <w:pPr>
              <w:rPr>
                <w:rFonts w:ascii="Calibri" w:hAnsi="Calibri"/>
                <w:b/>
                <w:szCs w:val="22"/>
              </w:rPr>
            </w:pPr>
            <w:r>
              <w:rPr>
                <w:rFonts w:ascii="Calibri" w:hAnsi="Calibri"/>
                <w:b/>
                <w:szCs w:val="22"/>
              </w:rPr>
              <w:t>APPROVAL</w:t>
            </w:r>
          </w:p>
        </w:tc>
      </w:tr>
      <w:tr w:rsidR="008C75E4" w:rsidRPr="008C75E4" w14:paraId="7BE52B94" w14:textId="77777777" w:rsidTr="003257F0">
        <w:trPr>
          <w:trHeight w:hRule="exact" w:val="144"/>
          <w:jc w:val="center"/>
        </w:trPr>
        <w:tc>
          <w:tcPr>
            <w:tcW w:w="9968" w:type="dxa"/>
            <w:gridSpan w:val="13"/>
            <w:tcBorders>
              <w:left w:val="nil"/>
              <w:right w:val="nil"/>
            </w:tcBorders>
            <w:tcMar>
              <w:top w:w="57" w:type="dxa"/>
              <w:bottom w:w="57" w:type="dxa"/>
            </w:tcMar>
          </w:tcPr>
          <w:p w14:paraId="75E8B7EE" w14:textId="77777777" w:rsidR="004A5EA9" w:rsidRPr="00504440" w:rsidRDefault="004A5EA9" w:rsidP="007E0D23">
            <w:pPr>
              <w:tabs>
                <w:tab w:val="left" w:pos="4007"/>
              </w:tabs>
              <w:rPr>
                <w:rFonts w:ascii="Calibri" w:hAnsi="Calibri"/>
                <w:b/>
                <w:sz w:val="4"/>
                <w:szCs w:val="4"/>
              </w:rPr>
            </w:pPr>
          </w:p>
        </w:tc>
      </w:tr>
      <w:tr w:rsidR="008C75E4" w:rsidRPr="008C75E4" w14:paraId="2B4E3B98" w14:textId="77777777" w:rsidTr="006D3AB5">
        <w:trPr>
          <w:jc w:val="center"/>
        </w:trPr>
        <w:tc>
          <w:tcPr>
            <w:tcW w:w="2895" w:type="dxa"/>
            <w:gridSpan w:val="5"/>
            <w:tcMar>
              <w:top w:w="57" w:type="dxa"/>
              <w:bottom w:w="57" w:type="dxa"/>
            </w:tcMar>
          </w:tcPr>
          <w:p w14:paraId="21C5D25D"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7073" w:type="dxa"/>
            <w:gridSpan w:val="8"/>
          </w:tcPr>
          <w:p w14:paraId="3D240E88" w14:textId="77204557" w:rsidR="004A5EA9" w:rsidRPr="008C75E4" w:rsidRDefault="004B1D18">
            <w:pPr>
              <w:rPr>
                <w:rFonts w:ascii="Calibri" w:hAnsi="Calibri"/>
                <w:szCs w:val="22"/>
              </w:rPr>
            </w:pPr>
            <w:r w:rsidRPr="004B1D18">
              <w:rPr>
                <w:rFonts w:ascii="Calibri" w:hAnsi="Calibri"/>
                <w:szCs w:val="22"/>
              </w:rPr>
              <w:t xml:space="preserve">Proposed </w:t>
            </w:r>
            <w:r w:rsidR="00932DCE">
              <w:rPr>
                <w:rFonts w:ascii="Calibri" w:hAnsi="Calibri"/>
                <w:szCs w:val="22"/>
              </w:rPr>
              <w:t>change of use of agricultural land to new car park and storage yard</w:t>
            </w:r>
            <w:r w:rsidR="004D4BEB">
              <w:rPr>
                <w:rFonts w:ascii="Calibri" w:hAnsi="Calibri"/>
                <w:szCs w:val="22"/>
              </w:rPr>
              <w:t>.</w:t>
            </w:r>
          </w:p>
        </w:tc>
      </w:tr>
      <w:tr w:rsidR="008C75E4" w:rsidRPr="008C75E4" w14:paraId="0FF47F3C" w14:textId="77777777" w:rsidTr="006D3AB5">
        <w:trPr>
          <w:jc w:val="center"/>
        </w:trPr>
        <w:tc>
          <w:tcPr>
            <w:tcW w:w="2895" w:type="dxa"/>
            <w:gridSpan w:val="5"/>
            <w:tcBorders>
              <w:bottom w:val="single" w:sz="4" w:space="0" w:color="BFBFBF" w:themeColor="background1" w:themeShade="BF"/>
            </w:tcBorders>
            <w:tcMar>
              <w:top w:w="57" w:type="dxa"/>
              <w:bottom w:w="57" w:type="dxa"/>
            </w:tcMar>
          </w:tcPr>
          <w:p w14:paraId="7350F4EE"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7073" w:type="dxa"/>
            <w:gridSpan w:val="8"/>
            <w:tcBorders>
              <w:bottom w:val="single" w:sz="4" w:space="0" w:color="BFBFBF" w:themeColor="background1" w:themeShade="BF"/>
            </w:tcBorders>
          </w:tcPr>
          <w:p w14:paraId="03D14FF1" w14:textId="59348CAF" w:rsidR="002A01CF" w:rsidRPr="008C75E4" w:rsidRDefault="00932DCE" w:rsidP="00A42E82">
            <w:pPr>
              <w:rPr>
                <w:rFonts w:ascii="Calibri" w:hAnsi="Calibri"/>
                <w:szCs w:val="22"/>
              </w:rPr>
            </w:pPr>
            <w:r>
              <w:rPr>
                <w:rFonts w:ascii="Calibri" w:hAnsi="Calibri"/>
                <w:szCs w:val="22"/>
              </w:rPr>
              <w:t xml:space="preserve">Judge Walmsley Mill Longworth Road Billington </w:t>
            </w:r>
            <w:r w:rsidR="00CC1B36" w:rsidRPr="00CC1B36">
              <w:rPr>
                <w:rFonts w:ascii="Calibri" w:hAnsi="Calibri"/>
                <w:szCs w:val="22"/>
              </w:rPr>
              <w:t>BB</w:t>
            </w:r>
            <w:r>
              <w:rPr>
                <w:rFonts w:ascii="Calibri" w:hAnsi="Calibri"/>
                <w:szCs w:val="22"/>
              </w:rPr>
              <w:t>7</w:t>
            </w:r>
            <w:r w:rsidR="00CC1B36" w:rsidRPr="00CC1B36">
              <w:rPr>
                <w:rFonts w:ascii="Calibri" w:hAnsi="Calibri"/>
                <w:szCs w:val="22"/>
              </w:rPr>
              <w:t xml:space="preserve"> </w:t>
            </w:r>
            <w:r>
              <w:rPr>
                <w:rFonts w:ascii="Calibri" w:hAnsi="Calibri"/>
                <w:szCs w:val="22"/>
              </w:rPr>
              <w:t>9TP</w:t>
            </w:r>
          </w:p>
        </w:tc>
      </w:tr>
      <w:tr w:rsidR="008C75E4" w:rsidRPr="008C75E4" w14:paraId="74E7E85D" w14:textId="77777777" w:rsidTr="003257F0">
        <w:trPr>
          <w:trHeight w:hRule="exact" w:val="144"/>
          <w:jc w:val="center"/>
        </w:trPr>
        <w:tc>
          <w:tcPr>
            <w:tcW w:w="9968" w:type="dxa"/>
            <w:gridSpan w:val="13"/>
            <w:tcBorders>
              <w:left w:val="nil"/>
              <w:right w:val="nil"/>
            </w:tcBorders>
            <w:tcMar>
              <w:top w:w="57" w:type="dxa"/>
              <w:bottom w:w="57" w:type="dxa"/>
            </w:tcMar>
          </w:tcPr>
          <w:p w14:paraId="31C1DA7E" w14:textId="77777777" w:rsidR="00A95D89" w:rsidRPr="00504440" w:rsidRDefault="00A95D89" w:rsidP="007E0D23">
            <w:pPr>
              <w:tabs>
                <w:tab w:val="left" w:pos="2667"/>
              </w:tabs>
              <w:rPr>
                <w:rFonts w:ascii="Calibri" w:hAnsi="Calibri"/>
                <w:b/>
                <w:sz w:val="4"/>
                <w:szCs w:val="4"/>
              </w:rPr>
            </w:pPr>
          </w:p>
        </w:tc>
      </w:tr>
      <w:tr w:rsidR="008C75E4" w:rsidRPr="008C75E4" w14:paraId="1DE0998D" w14:textId="77777777" w:rsidTr="006D3AB5">
        <w:trPr>
          <w:jc w:val="center"/>
        </w:trPr>
        <w:tc>
          <w:tcPr>
            <w:tcW w:w="2895" w:type="dxa"/>
            <w:gridSpan w:val="5"/>
            <w:tcMar>
              <w:top w:w="57" w:type="dxa"/>
              <w:bottom w:w="57" w:type="dxa"/>
            </w:tcMar>
          </w:tcPr>
          <w:p w14:paraId="7FCA3AC2"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7073" w:type="dxa"/>
            <w:gridSpan w:val="8"/>
          </w:tcPr>
          <w:p w14:paraId="0C3D11CD"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6A9859CA" w14:textId="77777777" w:rsidTr="003257F0">
        <w:trPr>
          <w:jc w:val="center"/>
        </w:trPr>
        <w:tc>
          <w:tcPr>
            <w:tcW w:w="9968" w:type="dxa"/>
            <w:gridSpan w:val="13"/>
            <w:tcBorders>
              <w:bottom w:val="single" w:sz="4" w:space="0" w:color="BFBFBF" w:themeColor="background1" w:themeShade="BF"/>
            </w:tcBorders>
            <w:tcMar>
              <w:top w:w="57" w:type="dxa"/>
              <w:bottom w:w="57" w:type="dxa"/>
            </w:tcMar>
          </w:tcPr>
          <w:p w14:paraId="4C6F72EA" w14:textId="77777777" w:rsidR="003A4376" w:rsidRPr="009825FF" w:rsidRDefault="00B47FA8" w:rsidP="009825FF">
            <w:pPr>
              <w:jc w:val="both"/>
              <w:rPr>
                <w:rFonts w:ascii="Calibri" w:hAnsi="Calibri"/>
                <w:szCs w:val="22"/>
              </w:rPr>
            </w:pPr>
            <w:r>
              <w:rPr>
                <w:rFonts w:ascii="Calibri" w:hAnsi="Calibri"/>
                <w:szCs w:val="22"/>
              </w:rPr>
              <w:t xml:space="preserve">No comments received. </w:t>
            </w:r>
          </w:p>
        </w:tc>
      </w:tr>
      <w:tr w:rsidR="008C75E4" w:rsidRPr="008C75E4" w14:paraId="7721AD09" w14:textId="77777777" w:rsidTr="003257F0">
        <w:trPr>
          <w:trHeight w:hRule="exact" w:val="144"/>
          <w:jc w:val="center"/>
        </w:trPr>
        <w:tc>
          <w:tcPr>
            <w:tcW w:w="9968" w:type="dxa"/>
            <w:gridSpan w:val="13"/>
            <w:tcBorders>
              <w:left w:val="nil"/>
              <w:right w:val="nil"/>
            </w:tcBorders>
            <w:tcMar>
              <w:top w:w="57" w:type="dxa"/>
              <w:bottom w:w="57" w:type="dxa"/>
            </w:tcMar>
          </w:tcPr>
          <w:p w14:paraId="71B991F7" w14:textId="77777777" w:rsidR="00C618DB" w:rsidRPr="00504440" w:rsidRDefault="00C618DB" w:rsidP="006126D1">
            <w:pPr>
              <w:jc w:val="both"/>
              <w:rPr>
                <w:rFonts w:ascii="Calibri" w:hAnsi="Calibri"/>
                <w:bCs/>
                <w:sz w:val="4"/>
                <w:szCs w:val="4"/>
              </w:rPr>
            </w:pPr>
          </w:p>
        </w:tc>
      </w:tr>
      <w:tr w:rsidR="008C75E4" w:rsidRPr="008C75E4" w14:paraId="47D6677C" w14:textId="77777777" w:rsidTr="006D3AB5">
        <w:trPr>
          <w:jc w:val="center"/>
        </w:trPr>
        <w:tc>
          <w:tcPr>
            <w:tcW w:w="2895" w:type="dxa"/>
            <w:gridSpan w:val="5"/>
            <w:tcMar>
              <w:top w:w="57" w:type="dxa"/>
              <w:bottom w:w="57" w:type="dxa"/>
            </w:tcMar>
          </w:tcPr>
          <w:p w14:paraId="61F8194B"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7073" w:type="dxa"/>
            <w:gridSpan w:val="8"/>
          </w:tcPr>
          <w:p w14:paraId="05EF4929"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5CDA91D4" w14:textId="77777777" w:rsidTr="006D3AB5">
        <w:trPr>
          <w:jc w:val="center"/>
        </w:trPr>
        <w:tc>
          <w:tcPr>
            <w:tcW w:w="2895" w:type="dxa"/>
            <w:gridSpan w:val="5"/>
            <w:tcMar>
              <w:top w:w="57" w:type="dxa"/>
              <w:bottom w:w="57" w:type="dxa"/>
            </w:tcMar>
          </w:tcPr>
          <w:p w14:paraId="074CE5BA"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7073" w:type="dxa"/>
            <w:gridSpan w:val="8"/>
          </w:tcPr>
          <w:p w14:paraId="0FEC905B" w14:textId="091043D6" w:rsidR="00EF7796" w:rsidRDefault="00EF7796" w:rsidP="006126D1">
            <w:pPr>
              <w:jc w:val="both"/>
              <w:rPr>
                <w:rFonts w:ascii="Calibri" w:hAnsi="Calibri"/>
                <w:szCs w:val="22"/>
              </w:rPr>
            </w:pPr>
            <w:r>
              <w:rPr>
                <w:rFonts w:ascii="Calibri" w:hAnsi="Calibri"/>
                <w:szCs w:val="22"/>
              </w:rPr>
              <w:t>The site has been used for manufacturing since circa 1890.</w:t>
            </w:r>
          </w:p>
          <w:p w14:paraId="614C124A" w14:textId="77777777" w:rsidR="00EF7796" w:rsidRDefault="00EF7796" w:rsidP="006126D1">
            <w:pPr>
              <w:jc w:val="both"/>
              <w:rPr>
                <w:rFonts w:ascii="Calibri" w:hAnsi="Calibri"/>
                <w:szCs w:val="22"/>
              </w:rPr>
            </w:pPr>
          </w:p>
          <w:p w14:paraId="3C3CBD3B" w14:textId="2ABC0112" w:rsidR="00EF7796" w:rsidRPr="00EF7796" w:rsidRDefault="00EF7796" w:rsidP="006126D1">
            <w:pPr>
              <w:jc w:val="both"/>
              <w:rPr>
                <w:rFonts w:asciiTheme="minorHAnsi" w:hAnsiTheme="minorHAnsi" w:cstheme="minorHAnsi"/>
                <w:szCs w:val="22"/>
              </w:rPr>
            </w:pPr>
            <w:r w:rsidRPr="00EF7796">
              <w:rPr>
                <w:rFonts w:asciiTheme="minorHAnsi" w:hAnsiTheme="minorHAnsi" w:cstheme="minorHAnsi"/>
              </w:rPr>
              <w:t>Judge Walmsley Mill is the headquarters for Harrisons Engineering, employing approximately 100 people, there are additional sites in Great Harwood (Rishton Welding), Barnoldswick (Harrison’s Engineering) and Burnley (AMR Laser Cutters).</w:t>
            </w:r>
          </w:p>
          <w:p w14:paraId="7F339DB5" w14:textId="77777777" w:rsidR="00EF7796" w:rsidRPr="00EF7796" w:rsidRDefault="00EF7796" w:rsidP="006126D1">
            <w:pPr>
              <w:jc w:val="both"/>
              <w:rPr>
                <w:rFonts w:asciiTheme="minorHAnsi" w:hAnsiTheme="minorHAnsi" w:cstheme="minorHAnsi"/>
                <w:szCs w:val="22"/>
              </w:rPr>
            </w:pPr>
          </w:p>
          <w:p w14:paraId="49FD3F00" w14:textId="77777777" w:rsidR="00EF7796" w:rsidRPr="00EF7796" w:rsidRDefault="00EF7796" w:rsidP="00EF7796">
            <w:pPr>
              <w:ind w:left="-5" w:right="2"/>
              <w:rPr>
                <w:rFonts w:asciiTheme="minorHAnsi" w:hAnsiTheme="minorHAnsi" w:cstheme="minorHAnsi"/>
              </w:rPr>
            </w:pPr>
            <w:r w:rsidRPr="00EF7796">
              <w:rPr>
                <w:rFonts w:asciiTheme="minorHAnsi" w:hAnsiTheme="minorHAnsi" w:cstheme="minorHAnsi"/>
              </w:rPr>
              <w:t xml:space="preserve">Harrison Engineering specialises in metal fabrication and welding and produces large scale structures.  The company has a fleet of approximately 15 No. vans; 6 No. other company vehicles and 3 No. wagons.   </w:t>
            </w:r>
          </w:p>
          <w:p w14:paraId="7507B5FB" w14:textId="77777777" w:rsidR="00EF7796" w:rsidRPr="00EF7796" w:rsidRDefault="00EF7796" w:rsidP="006126D1">
            <w:pPr>
              <w:jc w:val="both"/>
              <w:rPr>
                <w:rFonts w:asciiTheme="minorHAnsi" w:hAnsiTheme="minorHAnsi" w:cstheme="minorHAnsi"/>
                <w:szCs w:val="22"/>
              </w:rPr>
            </w:pPr>
          </w:p>
          <w:p w14:paraId="3F3D6685" w14:textId="3D9A7085" w:rsidR="00EF7796" w:rsidRDefault="00EF7796" w:rsidP="006126D1">
            <w:pPr>
              <w:jc w:val="both"/>
              <w:rPr>
                <w:rFonts w:asciiTheme="minorHAnsi" w:hAnsiTheme="minorHAnsi" w:cstheme="minorHAnsi"/>
              </w:rPr>
            </w:pPr>
            <w:r w:rsidRPr="00EF7796">
              <w:rPr>
                <w:rFonts w:asciiTheme="minorHAnsi" w:hAnsiTheme="minorHAnsi" w:cstheme="minorHAnsi"/>
              </w:rPr>
              <w:t>Access to the Mill site is via Longworth Road, which is unclassified, adopted highway subject to a 20mph speed limit.  Public footpath 3-6-FP-43 runs between Longworth Road, along the eastern boundary of the site and across the River Calder, connecting to Broad Lane/The Sands, Whalley.</w:t>
            </w:r>
          </w:p>
          <w:p w14:paraId="03C292A8" w14:textId="77777777" w:rsidR="00EF7796" w:rsidRDefault="00EF7796" w:rsidP="006126D1">
            <w:pPr>
              <w:jc w:val="both"/>
              <w:rPr>
                <w:rFonts w:asciiTheme="minorHAnsi" w:hAnsiTheme="minorHAnsi" w:cstheme="minorHAnsi"/>
              </w:rPr>
            </w:pPr>
          </w:p>
          <w:p w14:paraId="1551C53A" w14:textId="77777777" w:rsidR="00EF7796" w:rsidRPr="00EF7796" w:rsidRDefault="00EF7796" w:rsidP="00EF7796">
            <w:pPr>
              <w:ind w:left="-5" w:right="2"/>
              <w:rPr>
                <w:rFonts w:asciiTheme="minorHAnsi" w:hAnsiTheme="minorHAnsi" w:cstheme="minorHAnsi"/>
              </w:rPr>
            </w:pPr>
            <w:r w:rsidRPr="00EF7796">
              <w:rPr>
                <w:rFonts w:asciiTheme="minorHAnsi" w:hAnsiTheme="minorHAnsi" w:cstheme="minorHAnsi"/>
              </w:rPr>
              <w:t xml:space="preserve">There is a single point of access from Longworth Road into the site.  </w:t>
            </w:r>
            <w:proofErr w:type="gramStart"/>
            <w:r w:rsidRPr="00EF7796">
              <w:rPr>
                <w:rFonts w:asciiTheme="minorHAnsi" w:hAnsiTheme="minorHAnsi" w:cstheme="minorHAnsi"/>
              </w:rPr>
              <w:t>HGV's</w:t>
            </w:r>
            <w:proofErr w:type="gramEnd"/>
            <w:r w:rsidRPr="00EF7796">
              <w:rPr>
                <w:rFonts w:asciiTheme="minorHAnsi" w:hAnsiTheme="minorHAnsi" w:cstheme="minorHAnsi"/>
              </w:rPr>
              <w:t xml:space="preserve"> enter the site to load/unload and travel </w:t>
            </w:r>
            <w:proofErr w:type="gramStart"/>
            <w:r w:rsidRPr="00EF7796">
              <w:rPr>
                <w:rFonts w:asciiTheme="minorHAnsi" w:hAnsiTheme="minorHAnsi" w:cstheme="minorHAnsi"/>
              </w:rPr>
              <w:t>anti-clockwise</w:t>
            </w:r>
            <w:proofErr w:type="gramEnd"/>
            <w:r w:rsidRPr="00EF7796">
              <w:rPr>
                <w:rFonts w:asciiTheme="minorHAnsi" w:hAnsiTheme="minorHAnsi" w:cstheme="minorHAnsi"/>
              </w:rPr>
              <w:t xml:space="preserve"> around the perimeter road, east to west. </w:t>
            </w:r>
          </w:p>
          <w:p w14:paraId="7D07ED13" w14:textId="77777777" w:rsidR="00EF7796" w:rsidRPr="00EF7796" w:rsidRDefault="00EF7796" w:rsidP="00EF7796">
            <w:pPr>
              <w:spacing w:line="259" w:lineRule="auto"/>
              <w:rPr>
                <w:rFonts w:asciiTheme="minorHAnsi" w:hAnsiTheme="minorHAnsi" w:cstheme="minorHAnsi"/>
              </w:rPr>
            </w:pPr>
            <w:r w:rsidRPr="00EF7796">
              <w:rPr>
                <w:rFonts w:asciiTheme="minorHAnsi" w:hAnsiTheme="minorHAnsi" w:cstheme="minorHAnsi"/>
              </w:rPr>
              <w:t xml:space="preserve"> </w:t>
            </w:r>
          </w:p>
          <w:p w14:paraId="341EFC25" w14:textId="77777777" w:rsidR="00EF7796" w:rsidRPr="00EF7796" w:rsidRDefault="00EF7796" w:rsidP="00EF7796">
            <w:pPr>
              <w:ind w:left="-5" w:right="2"/>
              <w:rPr>
                <w:rFonts w:asciiTheme="minorHAnsi" w:hAnsiTheme="minorHAnsi" w:cstheme="minorHAnsi"/>
              </w:rPr>
            </w:pPr>
            <w:r w:rsidRPr="00EF7796">
              <w:rPr>
                <w:rFonts w:asciiTheme="minorHAnsi" w:hAnsiTheme="minorHAnsi" w:cstheme="minorHAnsi"/>
              </w:rPr>
              <w:t xml:space="preserve">The applicant states that a lack of space for HGV goods loading/unloading is causing congestion which disrupts the operation and safety of the site. The proposed changes are intended to address this. </w:t>
            </w:r>
          </w:p>
          <w:p w14:paraId="23BBF63A" w14:textId="77777777" w:rsidR="00EF7796" w:rsidRPr="00EF7796" w:rsidRDefault="00EF7796" w:rsidP="00EF7796">
            <w:pPr>
              <w:spacing w:line="259" w:lineRule="auto"/>
              <w:rPr>
                <w:rFonts w:asciiTheme="minorHAnsi" w:hAnsiTheme="minorHAnsi" w:cstheme="minorHAnsi"/>
              </w:rPr>
            </w:pPr>
            <w:r w:rsidRPr="00EF7796">
              <w:rPr>
                <w:rFonts w:asciiTheme="minorHAnsi" w:hAnsiTheme="minorHAnsi" w:cstheme="minorHAnsi"/>
              </w:rPr>
              <w:t xml:space="preserve"> </w:t>
            </w:r>
          </w:p>
          <w:p w14:paraId="7CE1E04A" w14:textId="0FBB9F68" w:rsidR="00EF7796" w:rsidRPr="00693B06" w:rsidRDefault="00EF7796" w:rsidP="00EF7796">
            <w:pPr>
              <w:spacing w:after="26"/>
              <w:ind w:left="-5" w:right="2"/>
              <w:rPr>
                <w:rFonts w:asciiTheme="minorHAnsi" w:hAnsiTheme="minorHAnsi" w:cstheme="minorHAnsi"/>
                <w:szCs w:val="22"/>
              </w:rPr>
            </w:pPr>
            <w:r w:rsidRPr="00EF7796">
              <w:rPr>
                <w:rFonts w:asciiTheme="minorHAnsi" w:hAnsiTheme="minorHAnsi" w:cstheme="minorHAnsi"/>
              </w:rPr>
              <w:t xml:space="preserve">The applicant </w:t>
            </w:r>
            <w:r w:rsidR="00693B06">
              <w:rPr>
                <w:rFonts w:asciiTheme="minorHAnsi" w:hAnsiTheme="minorHAnsi" w:cstheme="minorHAnsi"/>
              </w:rPr>
              <w:t>s</w:t>
            </w:r>
            <w:r w:rsidRPr="00EF7796">
              <w:rPr>
                <w:rFonts w:asciiTheme="minorHAnsi" w:hAnsiTheme="minorHAnsi" w:cstheme="minorHAnsi"/>
              </w:rPr>
              <w:t>tates that it is not anticipated that the development will lead to greater numbers of vehicles visiting the site. The improvements to site circulation and parking should ensure</w:t>
            </w:r>
            <w:r w:rsidRPr="00693B06">
              <w:rPr>
                <w:rFonts w:asciiTheme="minorHAnsi" w:hAnsiTheme="minorHAnsi" w:cstheme="minorHAnsi"/>
              </w:rPr>
              <w:t xml:space="preserve"> that</w:t>
            </w:r>
            <w:r>
              <w:t xml:space="preserve"> </w:t>
            </w:r>
            <w:r w:rsidRPr="00693B06">
              <w:rPr>
                <w:rFonts w:asciiTheme="minorHAnsi" w:hAnsiTheme="minorHAnsi" w:cstheme="minorHAnsi"/>
                <w:szCs w:val="22"/>
              </w:rPr>
              <w:t xml:space="preserve">all visitors to the site, including cycles, cars, vans and HGV's can be accommodated within the site and manoeuvre safely. </w:t>
            </w:r>
          </w:p>
          <w:p w14:paraId="00667331" w14:textId="77777777" w:rsidR="00EF7796" w:rsidRPr="00693B06" w:rsidRDefault="00EF7796" w:rsidP="00EF7796">
            <w:pPr>
              <w:spacing w:line="259" w:lineRule="auto"/>
              <w:rPr>
                <w:rFonts w:asciiTheme="minorHAnsi" w:hAnsiTheme="minorHAnsi" w:cstheme="minorHAnsi"/>
                <w:szCs w:val="22"/>
              </w:rPr>
            </w:pPr>
            <w:r w:rsidRPr="00693B06">
              <w:rPr>
                <w:rFonts w:asciiTheme="minorHAnsi" w:hAnsiTheme="minorHAnsi" w:cstheme="minorHAnsi"/>
                <w:szCs w:val="22"/>
              </w:rPr>
              <w:lastRenderedPageBreak/>
              <w:t xml:space="preserve"> </w:t>
            </w:r>
          </w:p>
          <w:p w14:paraId="755DDF76" w14:textId="77777777" w:rsidR="00EF7796" w:rsidRPr="00693B06" w:rsidRDefault="00EF7796" w:rsidP="00EF7796">
            <w:pPr>
              <w:ind w:left="-5" w:right="2"/>
              <w:rPr>
                <w:rFonts w:asciiTheme="minorHAnsi" w:hAnsiTheme="minorHAnsi" w:cstheme="minorHAnsi"/>
                <w:szCs w:val="22"/>
              </w:rPr>
            </w:pPr>
            <w:r w:rsidRPr="00693B06">
              <w:rPr>
                <w:rFonts w:asciiTheme="minorHAnsi" w:hAnsiTheme="minorHAnsi" w:cstheme="minorHAnsi"/>
                <w:szCs w:val="22"/>
              </w:rPr>
              <w:t xml:space="preserve">There is no increase in the number of employees </w:t>
            </w:r>
            <w:proofErr w:type="gramStart"/>
            <w:r w:rsidRPr="00693B06">
              <w:rPr>
                <w:rFonts w:asciiTheme="minorHAnsi" w:hAnsiTheme="minorHAnsi" w:cstheme="minorHAnsi"/>
                <w:szCs w:val="22"/>
              </w:rPr>
              <w:t>as a result of</w:t>
            </w:r>
            <w:proofErr w:type="gramEnd"/>
            <w:r w:rsidRPr="00693B06">
              <w:rPr>
                <w:rFonts w:asciiTheme="minorHAnsi" w:hAnsiTheme="minorHAnsi" w:cstheme="minorHAnsi"/>
                <w:szCs w:val="22"/>
              </w:rPr>
              <w:t xml:space="preserve"> the proposal. </w:t>
            </w:r>
          </w:p>
          <w:p w14:paraId="2D52A8B5" w14:textId="77777777" w:rsidR="00EF7796" w:rsidRPr="00693B06" w:rsidRDefault="00EF7796" w:rsidP="00EF7796">
            <w:pPr>
              <w:spacing w:line="259" w:lineRule="auto"/>
              <w:rPr>
                <w:rFonts w:asciiTheme="minorHAnsi" w:hAnsiTheme="minorHAnsi" w:cstheme="minorHAnsi"/>
                <w:szCs w:val="22"/>
              </w:rPr>
            </w:pPr>
            <w:r w:rsidRPr="00693B06">
              <w:rPr>
                <w:rFonts w:asciiTheme="minorHAnsi" w:hAnsiTheme="minorHAnsi" w:cstheme="minorHAnsi"/>
                <w:szCs w:val="22"/>
              </w:rPr>
              <w:t xml:space="preserve"> </w:t>
            </w:r>
          </w:p>
          <w:p w14:paraId="571EECC3" w14:textId="7CFA9E41" w:rsidR="00EF7796" w:rsidRPr="00693B06" w:rsidRDefault="00693B06" w:rsidP="00EF7796">
            <w:pPr>
              <w:ind w:left="-5" w:right="128"/>
              <w:rPr>
                <w:rFonts w:asciiTheme="minorHAnsi" w:hAnsiTheme="minorHAnsi" w:cstheme="minorHAnsi"/>
                <w:szCs w:val="22"/>
              </w:rPr>
            </w:pPr>
            <w:r>
              <w:rPr>
                <w:rFonts w:asciiTheme="minorHAnsi" w:hAnsiTheme="minorHAnsi" w:cstheme="minorHAnsi"/>
                <w:szCs w:val="22"/>
              </w:rPr>
              <w:t>T</w:t>
            </w:r>
            <w:r w:rsidR="00EF7796" w:rsidRPr="00693B06">
              <w:rPr>
                <w:rFonts w:asciiTheme="minorHAnsi" w:hAnsiTheme="minorHAnsi" w:cstheme="minorHAnsi"/>
                <w:szCs w:val="22"/>
              </w:rPr>
              <w:t xml:space="preserve">he junction of Longworth Road and Whalley Road has limited manoeuvring space within the carriageway and visibility due to the acute angle of the junction.  There are no footways on the first section of Longworth Road where it joins Whalley Road which increases the conflict with pedestrians. In the previous 5 years, there is a single collision recorded at this junction which resulted in one serious and one slight adult injury, both vehicle occupants.   </w:t>
            </w:r>
          </w:p>
          <w:p w14:paraId="1DA31B0F" w14:textId="77777777" w:rsidR="00EF7796" w:rsidRPr="00693B06" w:rsidRDefault="00EF7796" w:rsidP="006126D1">
            <w:pPr>
              <w:jc w:val="both"/>
              <w:rPr>
                <w:rFonts w:asciiTheme="minorHAnsi" w:hAnsiTheme="minorHAnsi" w:cstheme="minorHAnsi"/>
                <w:szCs w:val="22"/>
              </w:rPr>
            </w:pPr>
          </w:p>
          <w:p w14:paraId="39A35FB7" w14:textId="1F29D9FD" w:rsidR="00EF7796" w:rsidRPr="00693B06" w:rsidRDefault="00EF7796" w:rsidP="00EF7796">
            <w:pPr>
              <w:ind w:left="-5" w:right="2"/>
              <w:rPr>
                <w:rFonts w:asciiTheme="minorHAnsi" w:hAnsiTheme="minorHAnsi" w:cstheme="minorHAnsi"/>
                <w:szCs w:val="22"/>
              </w:rPr>
            </w:pPr>
            <w:r w:rsidRPr="00693B06">
              <w:rPr>
                <w:rFonts w:asciiTheme="minorHAnsi" w:hAnsiTheme="minorHAnsi" w:cstheme="minorHAnsi"/>
                <w:szCs w:val="22"/>
              </w:rPr>
              <w:t>The geometry of this junction caters poorly for HGV movements and a significant increase in HGV movements is not likely to be suppor</w:t>
            </w:r>
            <w:r w:rsidR="00693B06">
              <w:rPr>
                <w:rFonts w:asciiTheme="minorHAnsi" w:hAnsiTheme="minorHAnsi" w:cstheme="minorHAnsi"/>
                <w:szCs w:val="22"/>
              </w:rPr>
              <w:t>ted.</w:t>
            </w:r>
          </w:p>
          <w:p w14:paraId="4B9BD0E3" w14:textId="77777777" w:rsidR="00EF7796" w:rsidRPr="00693B06" w:rsidRDefault="00EF7796" w:rsidP="00EF7796">
            <w:pPr>
              <w:spacing w:line="259" w:lineRule="auto"/>
              <w:rPr>
                <w:rFonts w:asciiTheme="minorHAnsi" w:hAnsiTheme="minorHAnsi" w:cstheme="minorHAnsi"/>
                <w:szCs w:val="22"/>
              </w:rPr>
            </w:pPr>
            <w:r w:rsidRPr="00693B06">
              <w:rPr>
                <w:rFonts w:asciiTheme="minorHAnsi" w:hAnsiTheme="minorHAnsi" w:cstheme="minorHAnsi"/>
                <w:szCs w:val="22"/>
              </w:rPr>
              <w:t xml:space="preserve"> </w:t>
            </w:r>
          </w:p>
          <w:p w14:paraId="33A97366" w14:textId="77777777" w:rsidR="00EF7796" w:rsidRPr="00693B06" w:rsidRDefault="00EF7796" w:rsidP="00EF7796">
            <w:pPr>
              <w:ind w:left="-5" w:right="2"/>
              <w:rPr>
                <w:rFonts w:asciiTheme="minorHAnsi" w:hAnsiTheme="minorHAnsi" w:cstheme="minorHAnsi"/>
                <w:szCs w:val="22"/>
              </w:rPr>
            </w:pPr>
            <w:r w:rsidRPr="00693B06">
              <w:rPr>
                <w:rFonts w:asciiTheme="minorHAnsi" w:hAnsiTheme="minorHAnsi" w:cstheme="minorHAnsi"/>
                <w:szCs w:val="22"/>
              </w:rPr>
              <w:t xml:space="preserve">Notwithstanding this, the proposal is not anticipated to generate a significant increase in the number of </w:t>
            </w:r>
            <w:proofErr w:type="gramStart"/>
            <w:r w:rsidRPr="00693B06">
              <w:rPr>
                <w:rFonts w:asciiTheme="minorHAnsi" w:hAnsiTheme="minorHAnsi" w:cstheme="minorHAnsi"/>
                <w:szCs w:val="22"/>
              </w:rPr>
              <w:t>HGV's</w:t>
            </w:r>
            <w:proofErr w:type="gramEnd"/>
            <w:r w:rsidRPr="00693B06">
              <w:rPr>
                <w:rFonts w:asciiTheme="minorHAnsi" w:hAnsiTheme="minorHAnsi" w:cstheme="minorHAnsi"/>
                <w:szCs w:val="22"/>
              </w:rPr>
              <w:t xml:space="preserve"> to site and is intended to formalise circulation and parking space to improve safety within the site. </w:t>
            </w:r>
          </w:p>
          <w:p w14:paraId="06BCEF38" w14:textId="77777777" w:rsidR="00EF7796" w:rsidRPr="00693B06" w:rsidRDefault="00EF7796" w:rsidP="00EF7796">
            <w:pPr>
              <w:spacing w:line="259" w:lineRule="auto"/>
              <w:rPr>
                <w:rFonts w:asciiTheme="minorHAnsi" w:hAnsiTheme="minorHAnsi" w:cstheme="minorHAnsi"/>
                <w:szCs w:val="22"/>
              </w:rPr>
            </w:pPr>
            <w:r w:rsidRPr="00693B06">
              <w:rPr>
                <w:rFonts w:asciiTheme="minorHAnsi" w:hAnsiTheme="minorHAnsi" w:cstheme="minorHAnsi"/>
                <w:szCs w:val="22"/>
              </w:rPr>
              <w:t xml:space="preserve"> </w:t>
            </w:r>
          </w:p>
          <w:p w14:paraId="1931DEAF" w14:textId="77777777" w:rsidR="00EF7796" w:rsidRPr="00693B06" w:rsidRDefault="00EF7796" w:rsidP="00EF7796">
            <w:pPr>
              <w:pStyle w:val="Heading1"/>
              <w:ind w:left="-5"/>
              <w:rPr>
                <w:rFonts w:asciiTheme="minorHAnsi" w:hAnsiTheme="minorHAnsi" w:cstheme="minorHAnsi"/>
                <w:sz w:val="22"/>
                <w:szCs w:val="22"/>
              </w:rPr>
            </w:pPr>
            <w:r w:rsidRPr="00693B06">
              <w:rPr>
                <w:rFonts w:asciiTheme="minorHAnsi" w:hAnsiTheme="minorHAnsi" w:cstheme="minorHAnsi"/>
                <w:sz w:val="22"/>
                <w:szCs w:val="22"/>
              </w:rPr>
              <w:t xml:space="preserve">Parking </w:t>
            </w:r>
          </w:p>
          <w:p w14:paraId="0A959AD3" w14:textId="239C821F" w:rsidR="00EF7796" w:rsidRPr="00693B06" w:rsidRDefault="00EF7796" w:rsidP="00693B06">
            <w:pPr>
              <w:spacing w:line="259" w:lineRule="auto"/>
              <w:rPr>
                <w:rFonts w:asciiTheme="minorHAnsi" w:hAnsiTheme="minorHAnsi" w:cstheme="minorHAnsi"/>
                <w:szCs w:val="22"/>
              </w:rPr>
            </w:pPr>
            <w:r w:rsidRPr="00693B06">
              <w:rPr>
                <w:rFonts w:asciiTheme="minorHAnsi" w:hAnsiTheme="minorHAnsi" w:cstheme="minorHAnsi"/>
                <w:szCs w:val="22"/>
              </w:rPr>
              <w:t>There are 101 spaces plus 4 visitor spaces and 9 van spaces proposed, totalling 114 spaces.  This is a small increase on the existing 99 spaces.</w:t>
            </w:r>
          </w:p>
          <w:p w14:paraId="42B87EA2" w14:textId="77777777" w:rsidR="00EF7796" w:rsidRPr="00693B06" w:rsidRDefault="00EF7796" w:rsidP="00EF7796">
            <w:pPr>
              <w:jc w:val="both"/>
              <w:rPr>
                <w:rFonts w:asciiTheme="minorHAnsi" w:hAnsiTheme="minorHAnsi" w:cstheme="minorHAnsi"/>
                <w:szCs w:val="22"/>
              </w:rPr>
            </w:pPr>
          </w:p>
          <w:p w14:paraId="2853E603" w14:textId="77777777" w:rsidR="00EF7796" w:rsidRPr="00693B06" w:rsidRDefault="00EF7796" w:rsidP="00EF7796">
            <w:pPr>
              <w:ind w:left="-5" w:right="2"/>
              <w:rPr>
                <w:rFonts w:asciiTheme="minorHAnsi" w:hAnsiTheme="minorHAnsi" w:cstheme="minorHAnsi"/>
                <w:szCs w:val="22"/>
              </w:rPr>
            </w:pPr>
            <w:r w:rsidRPr="00693B06">
              <w:rPr>
                <w:rFonts w:asciiTheme="minorHAnsi" w:hAnsiTheme="minorHAnsi" w:cstheme="minorHAnsi"/>
                <w:szCs w:val="22"/>
              </w:rPr>
              <w:t xml:space="preserve">Secure, covered cycle parking and electric vehicle charging points should be provided to support sustainable travel at a rate of 10% of the parking provision which equates to 11 cycle spaces and 11 electric charging points. </w:t>
            </w:r>
          </w:p>
          <w:p w14:paraId="35ABCE31" w14:textId="77777777" w:rsidR="00EF7796" w:rsidRPr="00693B06" w:rsidRDefault="00EF7796" w:rsidP="00EF7796">
            <w:pPr>
              <w:spacing w:line="259" w:lineRule="auto"/>
              <w:rPr>
                <w:rFonts w:asciiTheme="minorHAnsi" w:hAnsiTheme="minorHAnsi" w:cstheme="minorHAnsi"/>
                <w:szCs w:val="22"/>
              </w:rPr>
            </w:pPr>
            <w:r w:rsidRPr="00693B06">
              <w:rPr>
                <w:rFonts w:asciiTheme="minorHAnsi" w:hAnsiTheme="minorHAnsi" w:cstheme="minorHAnsi"/>
                <w:szCs w:val="22"/>
              </w:rPr>
              <w:t xml:space="preserve"> </w:t>
            </w:r>
          </w:p>
          <w:p w14:paraId="1B12041F" w14:textId="77777777" w:rsidR="00EF7796" w:rsidRPr="00693B06" w:rsidRDefault="00EF7796" w:rsidP="00EF7796">
            <w:pPr>
              <w:ind w:left="-5" w:right="2"/>
              <w:rPr>
                <w:rFonts w:asciiTheme="minorHAnsi" w:hAnsiTheme="minorHAnsi" w:cstheme="minorHAnsi"/>
                <w:szCs w:val="22"/>
              </w:rPr>
            </w:pPr>
            <w:r w:rsidRPr="00693B06">
              <w:rPr>
                <w:rFonts w:asciiTheme="minorHAnsi" w:hAnsiTheme="minorHAnsi" w:cstheme="minorHAnsi"/>
                <w:szCs w:val="22"/>
              </w:rPr>
              <w:t xml:space="preserve">Supporting sustainable travel is essential to ensure that employees are travelling to site using sustainable modes.   </w:t>
            </w:r>
          </w:p>
          <w:p w14:paraId="1D34D655" w14:textId="77777777" w:rsidR="00EF7796" w:rsidRPr="00693B06" w:rsidRDefault="00EF7796" w:rsidP="00EF7796">
            <w:pPr>
              <w:spacing w:line="259" w:lineRule="auto"/>
              <w:rPr>
                <w:rFonts w:asciiTheme="minorHAnsi" w:hAnsiTheme="minorHAnsi" w:cstheme="minorHAnsi"/>
                <w:szCs w:val="22"/>
              </w:rPr>
            </w:pPr>
            <w:r w:rsidRPr="00693B06">
              <w:rPr>
                <w:rFonts w:asciiTheme="minorHAnsi" w:hAnsiTheme="minorHAnsi" w:cstheme="minorHAnsi"/>
                <w:szCs w:val="22"/>
              </w:rPr>
              <w:t xml:space="preserve"> </w:t>
            </w:r>
          </w:p>
          <w:p w14:paraId="0F0F2FC8" w14:textId="77777777" w:rsidR="00EF7796" w:rsidRPr="00693B06" w:rsidRDefault="00EF7796" w:rsidP="00EF7796">
            <w:pPr>
              <w:ind w:left="-5" w:right="2"/>
              <w:rPr>
                <w:rFonts w:asciiTheme="minorHAnsi" w:hAnsiTheme="minorHAnsi" w:cstheme="minorHAnsi"/>
                <w:szCs w:val="22"/>
              </w:rPr>
            </w:pPr>
            <w:r w:rsidRPr="00693B06">
              <w:rPr>
                <w:rFonts w:asciiTheme="minorHAnsi" w:hAnsiTheme="minorHAnsi" w:cstheme="minorHAnsi"/>
                <w:szCs w:val="22"/>
              </w:rPr>
              <w:t xml:space="preserve">Employees can travel to site by bus with services through Billington and Whalley numbered 22, 25 and 280 which connect to Clitheroe, Blackburn, Preston and Skipton. Whalley Train Station and Town Centre are within walking distance of the site.   </w:t>
            </w:r>
          </w:p>
          <w:p w14:paraId="54A8C846" w14:textId="77777777" w:rsidR="00EF7796" w:rsidRPr="00693B06" w:rsidRDefault="00EF7796" w:rsidP="00EF7796">
            <w:pPr>
              <w:spacing w:line="259" w:lineRule="auto"/>
              <w:rPr>
                <w:rFonts w:asciiTheme="minorHAnsi" w:hAnsiTheme="minorHAnsi" w:cstheme="minorHAnsi"/>
                <w:szCs w:val="22"/>
              </w:rPr>
            </w:pPr>
            <w:r w:rsidRPr="00693B06">
              <w:rPr>
                <w:rFonts w:asciiTheme="minorHAnsi" w:hAnsiTheme="minorHAnsi" w:cstheme="minorHAnsi"/>
                <w:szCs w:val="22"/>
              </w:rPr>
              <w:t xml:space="preserve"> </w:t>
            </w:r>
          </w:p>
          <w:p w14:paraId="6A17FD3E" w14:textId="77777777" w:rsidR="00EF7796" w:rsidRPr="00693B06" w:rsidRDefault="00EF7796" w:rsidP="00EF7796">
            <w:pPr>
              <w:pStyle w:val="Heading1"/>
              <w:ind w:left="-5"/>
              <w:rPr>
                <w:rFonts w:asciiTheme="minorHAnsi" w:hAnsiTheme="minorHAnsi" w:cstheme="minorHAnsi"/>
                <w:sz w:val="22"/>
                <w:szCs w:val="22"/>
              </w:rPr>
            </w:pPr>
            <w:r w:rsidRPr="00693B06">
              <w:rPr>
                <w:rFonts w:asciiTheme="minorHAnsi" w:hAnsiTheme="minorHAnsi" w:cstheme="minorHAnsi"/>
                <w:sz w:val="22"/>
                <w:szCs w:val="22"/>
              </w:rPr>
              <w:t xml:space="preserve">Conclusion </w:t>
            </w:r>
          </w:p>
          <w:p w14:paraId="4C5FE305" w14:textId="42BA69F5" w:rsidR="00EF7796" w:rsidRPr="00693B06" w:rsidRDefault="00EF7796" w:rsidP="00EF7796">
            <w:pPr>
              <w:ind w:left="-5" w:right="2"/>
              <w:rPr>
                <w:rFonts w:asciiTheme="minorHAnsi" w:hAnsiTheme="minorHAnsi" w:cstheme="minorHAnsi"/>
              </w:rPr>
            </w:pPr>
            <w:r w:rsidRPr="00693B06">
              <w:rPr>
                <w:rFonts w:asciiTheme="minorHAnsi" w:hAnsiTheme="minorHAnsi" w:cstheme="minorHAnsi"/>
              </w:rPr>
              <w:t>L</w:t>
            </w:r>
            <w:r w:rsidR="00693B06">
              <w:rPr>
                <w:rFonts w:asciiTheme="minorHAnsi" w:hAnsiTheme="minorHAnsi" w:cstheme="minorHAnsi"/>
              </w:rPr>
              <w:t>C</w:t>
            </w:r>
            <w:r w:rsidRPr="00693B06">
              <w:rPr>
                <w:rFonts w:asciiTheme="minorHAnsi" w:hAnsiTheme="minorHAnsi" w:cstheme="minorHAnsi"/>
              </w:rPr>
              <w:t xml:space="preserve">C acting as the Highway Authority does not raise an objection regarding the proposed development and are of the opinion that the proposed development will not have a significant impact on highway safety, capacity or amenity in the immediate vicinity of the site.  </w:t>
            </w:r>
          </w:p>
          <w:p w14:paraId="15951741" w14:textId="77777777" w:rsidR="00EF7796" w:rsidRPr="00693B06" w:rsidRDefault="00EF7796" w:rsidP="00EF7796">
            <w:pPr>
              <w:spacing w:line="259" w:lineRule="auto"/>
              <w:rPr>
                <w:rFonts w:asciiTheme="minorHAnsi" w:hAnsiTheme="minorHAnsi" w:cstheme="minorHAnsi"/>
              </w:rPr>
            </w:pPr>
            <w:r w:rsidRPr="00693B06">
              <w:rPr>
                <w:rFonts w:asciiTheme="minorHAnsi" w:hAnsiTheme="minorHAnsi" w:cstheme="minorHAnsi"/>
              </w:rPr>
              <w:t xml:space="preserve"> </w:t>
            </w:r>
          </w:p>
          <w:p w14:paraId="13A9C353" w14:textId="305918D7" w:rsidR="00EF7796" w:rsidRPr="00693B06" w:rsidRDefault="00EF7796" w:rsidP="00EF7796">
            <w:pPr>
              <w:ind w:left="-5" w:right="2"/>
              <w:rPr>
                <w:rFonts w:asciiTheme="minorHAnsi" w:hAnsiTheme="minorHAnsi" w:cstheme="minorHAnsi"/>
              </w:rPr>
            </w:pPr>
            <w:r w:rsidRPr="00693B06">
              <w:rPr>
                <w:rFonts w:asciiTheme="minorHAnsi" w:hAnsiTheme="minorHAnsi" w:cstheme="minorHAnsi"/>
              </w:rPr>
              <w:t xml:space="preserve">Should the application be approved </w:t>
            </w:r>
            <w:r w:rsidR="00693B06">
              <w:rPr>
                <w:rFonts w:asciiTheme="minorHAnsi" w:hAnsiTheme="minorHAnsi" w:cstheme="minorHAnsi"/>
              </w:rPr>
              <w:t xml:space="preserve">appropriate </w:t>
            </w:r>
            <w:r w:rsidRPr="00693B06">
              <w:rPr>
                <w:rFonts w:asciiTheme="minorHAnsi" w:hAnsiTheme="minorHAnsi" w:cstheme="minorHAnsi"/>
              </w:rPr>
              <w:t xml:space="preserve">conditions are requested. </w:t>
            </w:r>
          </w:p>
          <w:p w14:paraId="2C15D6B4" w14:textId="4E2AF79F" w:rsidR="00EF7796" w:rsidRPr="00FA48EB" w:rsidRDefault="00EF7796" w:rsidP="00EF7796">
            <w:pPr>
              <w:spacing w:line="259" w:lineRule="auto"/>
              <w:rPr>
                <w:rFonts w:ascii="Calibri" w:hAnsi="Calibri"/>
                <w:szCs w:val="22"/>
              </w:rPr>
            </w:pPr>
            <w:r w:rsidRPr="00693B06">
              <w:rPr>
                <w:rFonts w:asciiTheme="minorHAnsi" w:hAnsiTheme="minorHAnsi" w:cstheme="minorHAnsi"/>
              </w:rPr>
              <w:t xml:space="preserve"> </w:t>
            </w:r>
          </w:p>
        </w:tc>
      </w:tr>
      <w:tr w:rsidR="00FA48EB" w:rsidRPr="008C75E4" w14:paraId="237B081E" w14:textId="77777777" w:rsidTr="006D3AB5">
        <w:trPr>
          <w:jc w:val="center"/>
        </w:trPr>
        <w:tc>
          <w:tcPr>
            <w:tcW w:w="2895" w:type="dxa"/>
            <w:gridSpan w:val="5"/>
            <w:tcMar>
              <w:top w:w="57" w:type="dxa"/>
              <w:bottom w:w="57" w:type="dxa"/>
            </w:tcMar>
          </w:tcPr>
          <w:p w14:paraId="611A57D1" w14:textId="20DA95C3" w:rsidR="00FA48EB" w:rsidRPr="008C75E4" w:rsidRDefault="00FA48EB" w:rsidP="006126D1">
            <w:pPr>
              <w:jc w:val="both"/>
              <w:rPr>
                <w:rFonts w:ascii="Calibri" w:hAnsi="Calibri"/>
                <w:b/>
                <w:szCs w:val="22"/>
              </w:rPr>
            </w:pPr>
            <w:r>
              <w:rPr>
                <w:rFonts w:ascii="Calibri" w:hAnsi="Calibri"/>
                <w:b/>
                <w:szCs w:val="22"/>
              </w:rPr>
              <w:lastRenderedPageBreak/>
              <w:t>Environment</w:t>
            </w:r>
            <w:r w:rsidR="004D4BEB">
              <w:rPr>
                <w:rFonts w:ascii="Calibri" w:hAnsi="Calibri"/>
                <w:b/>
                <w:szCs w:val="22"/>
              </w:rPr>
              <w:t xml:space="preserve"> Agency:</w:t>
            </w:r>
          </w:p>
        </w:tc>
        <w:tc>
          <w:tcPr>
            <w:tcW w:w="7073" w:type="dxa"/>
            <w:gridSpan w:val="8"/>
          </w:tcPr>
          <w:p w14:paraId="61A1ABED" w14:textId="658D7C8F" w:rsidR="002570A4" w:rsidRPr="00F564C4" w:rsidRDefault="00DF0319" w:rsidP="002570A4">
            <w:pPr>
              <w:spacing w:line="259" w:lineRule="auto"/>
              <w:rPr>
                <w:rFonts w:asciiTheme="minorHAnsi" w:hAnsiTheme="minorHAnsi" w:cstheme="minorHAnsi"/>
                <w:u w:val="single"/>
              </w:rPr>
            </w:pPr>
            <w:r w:rsidRPr="00F564C4">
              <w:rPr>
                <w:rFonts w:asciiTheme="minorHAnsi" w:hAnsiTheme="minorHAnsi" w:cstheme="minorHAnsi"/>
                <w:u w:val="single"/>
              </w:rPr>
              <w:t>Updated Response dated 26 July 2024</w:t>
            </w:r>
          </w:p>
          <w:p w14:paraId="5D03E44B" w14:textId="77777777" w:rsidR="00DF0319" w:rsidRPr="00F564C4" w:rsidRDefault="00DF0319" w:rsidP="002570A4">
            <w:pPr>
              <w:spacing w:line="259" w:lineRule="auto"/>
              <w:rPr>
                <w:rFonts w:asciiTheme="minorHAnsi" w:hAnsiTheme="minorHAnsi" w:cstheme="minorHAnsi"/>
              </w:rPr>
            </w:pPr>
          </w:p>
          <w:p w14:paraId="4EA70E33" w14:textId="77777777" w:rsidR="00DF0319" w:rsidRPr="00F564C4" w:rsidRDefault="00DF0319" w:rsidP="00DF0319">
            <w:pPr>
              <w:ind w:left="-5"/>
              <w:rPr>
                <w:rFonts w:asciiTheme="minorHAnsi" w:hAnsiTheme="minorHAnsi" w:cstheme="minorHAnsi"/>
              </w:rPr>
            </w:pPr>
            <w:r w:rsidRPr="00F564C4">
              <w:rPr>
                <w:rFonts w:asciiTheme="minorHAnsi" w:hAnsiTheme="minorHAnsi" w:cstheme="minorHAnsi"/>
              </w:rPr>
              <w:t>The planning application is now accompanied by a further revised Flood Risk Assessment (FRA) prepared by PSA Design Ltd., document reference: T3947-FRA-01-Rev B and dated 21 June 2024.</w:t>
            </w:r>
          </w:p>
          <w:p w14:paraId="0758ADF3" w14:textId="77777777" w:rsidR="00DF0319" w:rsidRPr="00F564C4" w:rsidRDefault="00DF0319" w:rsidP="00DF0319">
            <w:pPr>
              <w:ind w:left="-5"/>
              <w:rPr>
                <w:rFonts w:asciiTheme="minorHAnsi" w:hAnsiTheme="minorHAnsi" w:cstheme="minorHAnsi"/>
              </w:rPr>
            </w:pPr>
          </w:p>
          <w:p w14:paraId="03E2835A" w14:textId="06CB983A" w:rsidR="00DF0319" w:rsidRPr="00F564C4" w:rsidRDefault="00DF0319" w:rsidP="00DF0319">
            <w:pPr>
              <w:ind w:left="-5"/>
              <w:rPr>
                <w:rFonts w:asciiTheme="minorHAnsi" w:hAnsiTheme="minorHAnsi" w:cstheme="minorHAnsi"/>
              </w:rPr>
            </w:pPr>
            <w:r w:rsidRPr="00F564C4">
              <w:rPr>
                <w:rFonts w:asciiTheme="minorHAnsi" w:hAnsiTheme="minorHAnsi" w:cstheme="minorHAnsi"/>
              </w:rPr>
              <w:t>The FRA and appendixes have been updated to address our</w:t>
            </w:r>
            <w:r w:rsidR="00F564C4" w:rsidRPr="00F564C4">
              <w:rPr>
                <w:rFonts w:asciiTheme="minorHAnsi" w:hAnsiTheme="minorHAnsi" w:cstheme="minorHAnsi"/>
              </w:rPr>
              <w:t xml:space="preserve"> [</w:t>
            </w:r>
            <w:proofErr w:type="gramStart"/>
            <w:r w:rsidR="00F564C4" w:rsidRPr="00F564C4">
              <w:rPr>
                <w:rFonts w:asciiTheme="minorHAnsi" w:hAnsiTheme="minorHAnsi" w:cstheme="minorHAnsi"/>
              </w:rPr>
              <w:t xml:space="preserve">previous] </w:t>
            </w:r>
            <w:r w:rsidRPr="00F564C4">
              <w:rPr>
                <w:rFonts w:asciiTheme="minorHAnsi" w:hAnsiTheme="minorHAnsi" w:cstheme="minorHAnsi"/>
              </w:rPr>
              <w:t xml:space="preserve"> concerns</w:t>
            </w:r>
            <w:proofErr w:type="gramEnd"/>
            <w:r w:rsidRPr="00F564C4">
              <w:rPr>
                <w:rFonts w:asciiTheme="minorHAnsi" w:hAnsiTheme="minorHAnsi" w:cstheme="minorHAnsi"/>
              </w:rPr>
              <w:t xml:space="preserve">. </w:t>
            </w:r>
          </w:p>
          <w:p w14:paraId="1D2FA487" w14:textId="77777777" w:rsidR="00DF0319" w:rsidRDefault="00DF0319" w:rsidP="002570A4">
            <w:pPr>
              <w:spacing w:line="259" w:lineRule="auto"/>
            </w:pPr>
          </w:p>
          <w:p w14:paraId="5E064BED" w14:textId="4345C542" w:rsidR="00DF0319" w:rsidRPr="00B7673D" w:rsidRDefault="00DF0319" w:rsidP="00DF0319">
            <w:pPr>
              <w:spacing w:line="259" w:lineRule="auto"/>
              <w:rPr>
                <w:rFonts w:asciiTheme="minorHAnsi" w:hAnsiTheme="minorHAnsi" w:cstheme="minorHAnsi"/>
              </w:rPr>
            </w:pPr>
            <w:r>
              <w:rPr>
                <w:rFonts w:asciiTheme="minorHAnsi" w:hAnsiTheme="minorHAnsi" w:cstheme="minorHAnsi"/>
              </w:rPr>
              <w:t>We have reviewed t</w:t>
            </w:r>
            <w:r w:rsidRPr="00B7673D">
              <w:rPr>
                <w:rFonts w:asciiTheme="minorHAnsi" w:hAnsiTheme="minorHAnsi" w:cstheme="minorHAnsi"/>
              </w:rPr>
              <w:t xml:space="preserve">he </w:t>
            </w:r>
            <w:r>
              <w:rPr>
                <w:rFonts w:asciiTheme="minorHAnsi" w:hAnsiTheme="minorHAnsi" w:cstheme="minorHAnsi"/>
              </w:rPr>
              <w:t xml:space="preserve">supporting </w:t>
            </w:r>
            <w:r w:rsidRPr="00B7673D">
              <w:rPr>
                <w:rFonts w:asciiTheme="minorHAnsi" w:hAnsiTheme="minorHAnsi" w:cstheme="minorHAnsi"/>
              </w:rPr>
              <w:t>document</w:t>
            </w:r>
            <w:r>
              <w:rPr>
                <w:rFonts w:asciiTheme="minorHAnsi" w:hAnsiTheme="minorHAnsi" w:cstheme="minorHAnsi"/>
              </w:rPr>
              <w:t xml:space="preserve">s in so far as they relate to our remit, and we are satisfied that the points raised in our objection have now </w:t>
            </w:r>
            <w:r>
              <w:rPr>
                <w:rFonts w:asciiTheme="minorHAnsi" w:hAnsiTheme="minorHAnsi" w:cstheme="minorHAnsi"/>
              </w:rPr>
              <w:lastRenderedPageBreak/>
              <w:t xml:space="preserve">been addressed. </w:t>
            </w:r>
            <w:r w:rsidRPr="00B7673D">
              <w:rPr>
                <w:rFonts w:asciiTheme="minorHAnsi" w:hAnsiTheme="minorHAnsi" w:cstheme="minorHAnsi"/>
              </w:rPr>
              <w:t xml:space="preserve"> </w:t>
            </w:r>
            <w:r w:rsidR="0076591E">
              <w:rPr>
                <w:rFonts w:asciiTheme="minorHAnsi" w:hAnsiTheme="minorHAnsi" w:cstheme="minorHAnsi"/>
              </w:rPr>
              <w:t>We are satisfied that the development would be safe without exacerbating flood risk elsewhere if the proposed flood risk mitigation measures are implemented.</w:t>
            </w:r>
          </w:p>
          <w:p w14:paraId="23FCFF59" w14:textId="77777777" w:rsidR="0076591E" w:rsidRDefault="0076591E" w:rsidP="002570A4">
            <w:pPr>
              <w:spacing w:line="259" w:lineRule="auto"/>
            </w:pPr>
          </w:p>
          <w:p w14:paraId="73630FE2" w14:textId="238C89DE" w:rsidR="002570A4" w:rsidRPr="0076591E" w:rsidRDefault="0076591E" w:rsidP="002570A4">
            <w:pPr>
              <w:spacing w:line="259" w:lineRule="auto"/>
              <w:rPr>
                <w:rFonts w:asciiTheme="minorHAnsi" w:hAnsiTheme="minorHAnsi" w:cstheme="minorHAnsi"/>
              </w:rPr>
            </w:pPr>
            <w:r w:rsidRPr="0076591E">
              <w:rPr>
                <w:rFonts w:asciiTheme="minorHAnsi" w:hAnsiTheme="minorHAnsi" w:cstheme="minorHAnsi"/>
              </w:rPr>
              <w:t>We can therefore remove our objection to the development as proposed.</w:t>
            </w:r>
            <w:r w:rsidR="002570A4" w:rsidRPr="0076591E">
              <w:rPr>
                <w:rFonts w:asciiTheme="minorHAnsi" w:hAnsiTheme="minorHAnsi" w:cstheme="minorHAnsi"/>
              </w:rPr>
              <w:t xml:space="preserve"> </w:t>
            </w:r>
          </w:p>
          <w:p w14:paraId="4AA7D3F4" w14:textId="589DCD76" w:rsidR="00932DCE" w:rsidRPr="00FA48EB" w:rsidRDefault="00932DCE" w:rsidP="00DF0319">
            <w:pPr>
              <w:ind w:left="-5"/>
              <w:rPr>
                <w:rFonts w:ascii="Calibri" w:hAnsi="Calibri"/>
                <w:szCs w:val="22"/>
              </w:rPr>
            </w:pPr>
          </w:p>
        </w:tc>
      </w:tr>
      <w:tr w:rsidR="00FA48EB" w:rsidRPr="008C75E4" w14:paraId="20D0D9F4" w14:textId="77777777" w:rsidTr="006D3AB5">
        <w:trPr>
          <w:jc w:val="center"/>
        </w:trPr>
        <w:tc>
          <w:tcPr>
            <w:tcW w:w="2895" w:type="dxa"/>
            <w:gridSpan w:val="5"/>
            <w:tcMar>
              <w:top w:w="57" w:type="dxa"/>
              <w:bottom w:w="57" w:type="dxa"/>
            </w:tcMar>
          </w:tcPr>
          <w:p w14:paraId="542CE7FE" w14:textId="77777777" w:rsidR="00FA48EB" w:rsidRDefault="00FA48EB" w:rsidP="006126D1">
            <w:pPr>
              <w:jc w:val="both"/>
              <w:rPr>
                <w:rFonts w:ascii="Calibri" w:hAnsi="Calibri"/>
                <w:b/>
                <w:szCs w:val="22"/>
              </w:rPr>
            </w:pPr>
            <w:r>
              <w:rPr>
                <w:rFonts w:ascii="Calibri" w:hAnsi="Calibri"/>
                <w:b/>
                <w:szCs w:val="22"/>
              </w:rPr>
              <w:lastRenderedPageBreak/>
              <w:t>LLFA:</w:t>
            </w:r>
          </w:p>
        </w:tc>
        <w:tc>
          <w:tcPr>
            <w:tcW w:w="7073" w:type="dxa"/>
            <w:gridSpan w:val="8"/>
          </w:tcPr>
          <w:p w14:paraId="12F416B1" w14:textId="3DBE5CC1" w:rsidR="00197D7A" w:rsidRPr="0076591E" w:rsidRDefault="00F564C4" w:rsidP="00197D7A">
            <w:pPr>
              <w:ind w:left="-5"/>
              <w:rPr>
                <w:rFonts w:asciiTheme="minorHAnsi" w:hAnsiTheme="minorHAnsi" w:cstheme="minorHAnsi"/>
              </w:rPr>
            </w:pPr>
            <w:r>
              <w:rPr>
                <w:rFonts w:asciiTheme="minorHAnsi" w:hAnsiTheme="minorHAnsi" w:cstheme="minorHAnsi"/>
              </w:rPr>
              <w:t>O</w:t>
            </w:r>
            <w:r w:rsidR="00197D7A" w:rsidRPr="0076591E">
              <w:rPr>
                <w:rFonts w:asciiTheme="minorHAnsi" w:hAnsiTheme="minorHAnsi" w:cstheme="minorHAnsi"/>
              </w:rPr>
              <w:t xml:space="preserve">bjects to the above application </w:t>
            </w:r>
            <w:proofErr w:type="gramStart"/>
            <w:r w:rsidR="00197D7A" w:rsidRPr="0076591E">
              <w:rPr>
                <w:rFonts w:asciiTheme="minorHAnsi" w:hAnsiTheme="minorHAnsi" w:cstheme="minorHAnsi"/>
              </w:rPr>
              <w:t>on the basis of</w:t>
            </w:r>
            <w:proofErr w:type="gramEnd"/>
            <w:r w:rsidR="00197D7A" w:rsidRPr="0076591E">
              <w:rPr>
                <w:rFonts w:asciiTheme="minorHAnsi" w:hAnsiTheme="minorHAnsi" w:cstheme="minorHAnsi"/>
              </w:rPr>
              <w:t xml:space="preserve">: </w:t>
            </w:r>
          </w:p>
          <w:p w14:paraId="7317C5BA" w14:textId="77777777" w:rsidR="003257F0" w:rsidRDefault="003257F0" w:rsidP="00197D7A">
            <w:pPr>
              <w:ind w:left="-5"/>
            </w:pPr>
          </w:p>
          <w:p w14:paraId="4E75546B" w14:textId="4AF93480" w:rsidR="00197D7A" w:rsidRPr="00197D7A" w:rsidRDefault="00197D7A" w:rsidP="00197D7A">
            <w:pPr>
              <w:pStyle w:val="Heading1"/>
              <w:spacing w:after="8"/>
              <w:ind w:left="-5"/>
              <w:rPr>
                <w:rFonts w:asciiTheme="minorHAnsi" w:hAnsiTheme="minorHAnsi" w:cstheme="minorHAnsi"/>
                <w:sz w:val="22"/>
                <w:szCs w:val="22"/>
              </w:rPr>
            </w:pPr>
            <w:r w:rsidRPr="00197D7A">
              <w:rPr>
                <w:rFonts w:asciiTheme="minorHAnsi" w:hAnsiTheme="minorHAnsi" w:cstheme="minorHAnsi"/>
                <w:sz w:val="22"/>
                <w:szCs w:val="22"/>
              </w:rPr>
              <w:t xml:space="preserve">No Surface Water Sustainable Drainage Strategy </w:t>
            </w:r>
          </w:p>
          <w:p w14:paraId="59B5849B" w14:textId="77777777" w:rsidR="00197D7A" w:rsidRDefault="00197D7A" w:rsidP="00197D7A">
            <w:pPr>
              <w:jc w:val="both"/>
              <w:rPr>
                <w:rFonts w:asciiTheme="minorHAnsi" w:hAnsiTheme="minorHAnsi" w:cstheme="minorHAnsi"/>
              </w:rPr>
            </w:pPr>
            <w:r w:rsidRPr="00197D7A">
              <w:rPr>
                <w:rFonts w:asciiTheme="minorHAnsi" w:hAnsiTheme="minorHAnsi" w:cstheme="minorHAnsi"/>
              </w:rPr>
              <w:t>In the absence of an acceptable surface water sustainable drainage strategy to assess the principle of surface water sustainable drainage associated with the proposed development, we object to this application and recommend refusal of planning permission until further information has been</w:t>
            </w:r>
            <w:r>
              <w:rPr>
                <w:rFonts w:asciiTheme="minorHAnsi" w:hAnsiTheme="minorHAnsi" w:cstheme="minorHAnsi"/>
              </w:rPr>
              <w:t xml:space="preserve"> submitted to the Local Planning Authority.  </w:t>
            </w:r>
          </w:p>
          <w:p w14:paraId="5C9BBE20" w14:textId="77777777" w:rsidR="00197D7A" w:rsidRDefault="00197D7A" w:rsidP="00197D7A">
            <w:pPr>
              <w:jc w:val="both"/>
              <w:rPr>
                <w:rFonts w:asciiTheme="minorHAnsi" w:hAnsiTheme="minorHAnsi" w:cstheme="minorHAnsi"/>
              </w:rPr>
            </w:pPr>
            <w:r>
              <w:rPr>
                <w:rFonts w:asciiTheme="minorHAnsi" w:hAnsiTheme="minorHAnsi" w:cstheme="minorHAnsi"/>
              </w:rPr>
              <w:t>Reason</w:t>
            </w:r>
            <w:r w:rsidRPr="00197D7A">
              <w:rPr>
                <w:rFonts w:asciiTheme="minorHAnsi" w:eastAsia="Calibri" w:hAnsiTheme="minorHAnsi" w:cstheme="minorHAnsi"/>
                <w:noProof/>
              </w:rPr>
              <mc:AlternateContent>
                <mc:Choice Requires="wpg">
                  <w:drawing>
                    <wp:anchor distT="0" distB="0" distL="114300" distR="114300" simplePos="0" relativeHeight="251663872" behindDoc="0" locked="0" layoutInCell="1" allowOverlap="1" wp14:anchorId="7AF87B11" wp14:editId="29963AC8">
                      <wp:simplePos x="0" y="0"/>
                      <wp:positionH relativeFrom="column">
                        <wp:posOffset>236192</wp:posOffset>
                      </wp:positionH>
                      <wp:positionV relativeFrom="paragraph">
                        <wp:posOffset>476726</wp:posOffset>
                      </wp:positionV>
                      <wp:extent cx="54864" cy="576072"/>
                      <wp:effectExtent l="0" t="0" r="0" b="0"/>
                      <wp:wrapSquare wrapText="bothSides"/>
                      <wp:docPr id="2096" name="Group 2096"/>
                      <wp:cNvGraphicFramePr/>
                      <a:graphic xmlns:a="http://schemas.openxmlformats.org/drawingml/2006/main">
                        <a:graphicData uri="http://schemas.microsoft.com/office/word/2010/wordprocessingGroup">
                          <wpg:wgp>
                            <wpg:cNvGrpSpPr/>
                            <wpg:grpSpPr>
                              <a:xfrm>
                                <a:off x="0" y="0"/>
                                <a:ext cx="54864" cy="576072"/>
                                <a:chOff x="0" y="0"/>
                                <a:chExt cx="54864" cy="576072"/>
                              </a:xfrm>
                            </wpg:grpSpPr>
                            <wps:wsp>
                              <wps:cNvPr id="135" name="Shape 135"/>
                              <wps:cNvSpPr/>
                              <wps:spPr>
                                <a:xfrm>
                                  <a:off x="0" y="0"/>
                                  <a:ext cx="54864" cy="54864"/>
                                </a:xfrm>
                                <a:custGeom>
                                  <a:avLst/>
                                  <a:gdLst/>
                                  <a:ahLst/>
                                  <a:cxnLst/>
                                  <a:rect l="0" t="0" r="0" b="0"/>
                                  <a:pathLst>
                                    <a:path w="54864" h="54864">
                                      <a:moveTo>
                                        <a:pt x="27432" y="0"/>
                                      </a:moveTo>
                                      <a:cubicBezTo>
                                        <a:pt x="35052" y="0"/>
                                        <a:pt x="41148" y="1524"/>
                                        <a:pt x="47244" y="7620"/>
                                      </a:cubicBezTo>
                                      <a:cubicBezTo>
                                        <a:pt x="51816" y="12192"/>
                                        <a:pt x="54864" y="19812"/>
                                        <a:pt x="54864" y="27432"/>
                                      </a:cubicBezTo>
                                      <a:cubicBezTo>
                                        <a:pt x="54864" y="35052"/>
                                        <a:pt x="51816" y="41148"/>
                                        <a:pt x="47244" y="45720"/>
                                      </a:cubicBezTo>
                                      <a:cubicBezTo>
                                        <a:pt x="41148" y="51816"/>
                                        <a:pt x="35052" y="54864"/>
                                        <a:pt x="27432" y="54864"/>
                                      </a:cubicBezTo>
                                      <a:cubicBezTo>
                                        <a:pt x="19812" y="54864"/>
                                        <a:pt x="13716" y="51816"/>
                                        <a:pt x="7620" y="45720"/>
                                      </a:cubicBezTo>
                                      <a:cubicBezTo>
                                        <a:pt x="3048" y="41148"/>
                                        <a:pt x="0" y="35052"/>
                                        <a:pt x="0" y="27432"/>
                                      </a:cubicBezTo>
                                      <a:cubicBezTo>
                                        <a:pt x="0" y="19812"/>
                                        <a:pt x="3048" y="12192"/>
                                        <a:pt x="7620" y="7620"/>
                                      </a:cubicBezTo>
                                      <a:cubicBezTo>
                                        <a:pt x="13716" y="1524"/>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0" y="262128"/>
                                  <a:ext cx="54864" cy="54864"/>
                                </a:xfrm>
                                <a:custGeom>
                                  <a:avLst/>
                                  <a:gdLst/>
                                  <a:ahLst/>
                                  <a:cxnLst/>
                                  <a:rect l="0" t="0" r="0" b="0"/>
                                  <a:pathLst>
                                    <a:path w="54864" h="54864">
                                      <a:moveTo>
                                        <a:pt x="27432" y="0"/>
                                      </a:moveTo>
                                      <a:cubicBezTo>
                                        <a:pt x="35052" y="0"/>
                                        <a:pt x="41148" y="3048"/>
                                        <a:pt x="47244" y="7620"/>
                                      </a:cubicBezTo>
                                      <a:cubicBezTo>
                                        <a:pt x="51816" y="13716"/>
                                        <a:pt x="54864" y="19812"/>
                                        <a:pt x="54864" y="27432"/>
                                      </a:cubicBezTo>
                                      <a:cubicBezTo>
                                        <a:pt x="54864" y="35052"/>
                                        <a:pt x="51816" y="41148"/>
                                        <a:pt x="47244" y="47244"/>
                                      </a:cubicBezTo>
                                      <a:cubicBezTo>
                                        <a:pt x="41148" y="51816"/>
                                        <a:pt x="35052" y="54864"/>
                                        <a:pt x="27432" y="54864"/>
                                      </a:cubicBezTo>
                                      <a:cubicBezTo>
                                        <a:pt x="19812" y="54864"/>
                                        <a:pt x="13716" y="51816"/>
                                        <a:pt x="7620" y="47244"/>
                                      </a:cubicBezTo>
                                      <a:cubicBezTo>
                                        <a:pt x="3048" y="41148"/>
                                        <a:pt x="0" y="35052"/>
                                        <a:pt x="0" y="27432"/>
                                      </a:cubicBezTo>
                                      <a:cubicBezTo>
                                        <a:pt x="0" y="19812"/>
                                        <a:pt x="3048" y="13716"/>
                                        <a:pt x="7620" y="7620"/>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0" y="521208"/>
                                  <a:ext cx="54864" cy="54864"/>
                                </a:xfrm>
                                <a:custGeom>
                                  <a:avLst/>
                                  <a:gdLst/>
                                  <a:ahLst/>
                                  <a:cxnLst/>
                                  <a:rect l="0" t="0" r="0" b="0"/>
                                  <a:pathLst>
                                    <a:path w="54864" h="54864">
                                      <a:moveTo>
                                        <a:pt x="27432" y="0"/>
                                      </a:moveTo>
                                      <a:cubicBezTo>
                                        <a:pt x="35052" y="0"/>
                                        <a:pt x="41148" y="3048"/>
                                        <a:pt x="47244" y="7620"/>
                                      </a:cubicBezTo>
                                      <a:cubicBezTo>
                                        <a:pt x="51816" y="13716"/>
                                        <a:pt x="54864" y="19812"/>
                                        <a:pt x="54864" y="27432"/>
                                      </a:cubicBezTo>
                                      <a:cubicBezTo>
                                        <a:pt x="54864" y="35052"/>
                                        <a:pt x="51816" y="41148"/>
                                        <a:pt x="47244" y="47244"/>
                                      </a:cubicBezTo>
                                      <a:cubicBezTo>
                                        <a:pt x="41148" y="51816"/>
                                        <a:pt x="35052" y="54864"/>
                                        <a:pt x="27432" y="54864"/>
                                      </a:cubicBezTo>
                                      <a:cubicBezTo>
                                        <a:pt x="19812" y="54864"/>
                                        <a:pt x="13716" y="51816"/>
                                        <a:pt x="7620" y="47244"/>
                                      </a:cubicBezTo>
                                      <a:cubicBezTo>
                                        <a:pt x="3048" y="41148"/>
                                        <a:pt x="0" y="35052"/>
                                        <a:pt x="0" y="27432"/>
                                      </a:cubicBezTo>
                                      <a:cubicBezTo>
                                        <a:pt x="0" y="19812"/>
                                        <a:pt x="3048" y="13716"/>
                                        <a:pt x="7620" y="7620"/>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077725" id="Group 2096" o:spid="_x0000_s1026" style="position:absolute;margin-left:18.6pt;margin-top:37.55pt;width:4.3pt;height:45.35pt;z-index:251663872" coordsize="548,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">
                      <v:shape id="Shape 135" o:spid="_x0000_s1027" style="position:absolute;width:548;height:548;visibility:visible;mso-wrap-style:square;v-text-anchor:top" coordsize="5486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" path="m27432,v7620,,13716,1524,19812,7620c51816,12192,54864,19812,54864,27432v,7620,-3048,13716,-7620,18288c41148,51816,35052,54864,27432,54864v-7620,,-13716,-3048,-19812,-9144c3048,41148,,35052,,27432,,19812,3048,12192,7620,7620,13716,1524,19812,,27432,xe" fillcolor="black" stroked="f" strokeweight="0">
                        <v:stroke miterlimit="83231f" joinstyle="miter"/>
                        <v:path arrowok="t" textboxrect="0,0,54864,54864"/>
                      </v:shape>
                      <v:shape id="Shape 137" o:spid="_x0000_s1028" style="position:absolute;top:2621;width:548;height:548;visibility:visible;mso-wrap-style:square;v-text-anchor:top" coordsize="5486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" path="m27432,v7620,,13716,3048,19812,7620c51816,13716,54864,19812,54864,27432v,7620,-3048,13716,-7620,19812c41148,51816,35052,54864,27432,54864v-7620,,-13716,-3048,-19812,-7620c3048,41148,,35052,,27432,,19812,3048,13716,7620,7620,13716,3048,19812,,27432,xe" fillcolor="black" stroked="f" strokeweight="0">
                        <v:stroke miterlimit="83231f" joinstyle="miter"/>
                        <v:path arrowok="t" textboxrect="0,0,54864,54864"/>
                      </v:shape>
                      <v:shape id="Shape 139" o:spid="_x0000_s1029" style="position:absolute;top:5212;width:548;height:548;visibility:visible;mso-wrap-style:square;v-text-anchor:top" coordsize="5486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" path="m27432,v7620,,13716,3048,19812,7620c51816,13716,54864,19812,54864,27432v,7620,-3048,13716,-7620,19812c41148,51816,35052,54864,27432,54864v-7620,,-13716,-3048,-19812,-7620c3048,41148,,35052,,27432,,19812,3048,13716,7620,7620,13716,3048,19812,,27432,xe" fillcolor="black" stroked="f" strokeweight="0">
                        <v:stroke miterlimit="83231f" joinstyle="miter"/>
                        <v:path arrowok="t" textboxrect="0,0,54864,54864"/>
                      </v:shape>
                      <w10:wrap type="square"/>
                    </v:group>
                  </w:pict>
                </mc:Fallback>
              </mc:AlternateContent>
            </w:r>
            <w:r>
              <w:rPr>
                <w:rFonts w:asciiTheme="minorHAnsi" w:hAnsiTheme="minorHAnsi" w:cstheme="minorHAnsi"/>
              </w:rPr>
              <w:t xml:space="preserve"> </w:t>
            </w:r>
            <w:r w:rsidRPr="00197D7A">
              <w:rPr>
                <w:rFonts w:asciiTheme="minorHAnsi" w:hAnsiTheme="minorHAnsi" w:cstheme="minorHAnsi"/>
              </w:rPr>
              <w:t xml:space="preserve">Paragraphs 167 and 169 of the National Planning Policy Framework require major developments to incorporate sustainable drainage systems that:  </w:t>
            </w:r>
          </w:p>
          <w:p w14:paraId="076141DD" w14:textId="39285D9A" w:rsidR="00197D7A" w:rsidRDefault="00197D7A" w:rsidP="00197D7A">
            <w:pPr>
              <w:jc w:val="both"/>
              <w:rPr>
                <w:rFonts w:asciiTheme="minorHAnsi" w:hAnsiTheme="minorHAnsi" w:cstheme="minorHAnsi"/>
              </w:rPr>
            </w:pPr>
            <w:r w:rsidRPr="00197D7A">
              <w:rPr>
                <w:rFonts w:asciiTheme="minorHAnsi" w:hAnsiTheme="minorHAnsi" w:cstheme="minorHAnsi"/>
              </w:rPr>
              <w:t xml:space="preserve">take account of advice from the Lead Local Flood </w:t>
            </w:r>
            <w:proofErr w:type="gramStart"/>
            <w:r w:rsidRPr="00197D7A">
              <w:rPr>
                <w:rFonts w:asciiTheme="minorHAnsi" w:hAnsiTheme="minorHAnsi" w:cstheme="minorHAnsi"/>
              </w:rPr>
              <w:t>Authority;</w:t>
            </w:r>
            <w:proofErr w:type="gramEnd"/>
            <w:r w:rsidRPr="00197D7A">
              <w:rPr>
                <w:rFonts w:asciiTheme="minorHAnsi" w:hAnsiTheme="minorHAnsi" w:cstheme="minorHAnsi"/>
              </w:rPr>
              <w:t xml:space="preserve">  </w:t>
            </w:r>
          </w:p>
          <w:p w14:paraId="60444517" w14:textId="1A4FEDC4" w:rsidR="00197D7A" w:rsidRPr="00197D7A" w:rsidRDefault="00197D7A" w:rsidP="00197D7A">
            <w:pPr>
              <w:jc w:val="both"/>
              <w:rPr>
                <w:rFonts w:asciiTheme="minorHAnsi" w:hAnsiTheme="minorHAnsi" w:cstheme="minorHAnsi"/>
              </w:rPr>
            </w:pPr>
            <w:r w:rsidRPr="00197D7A">
              <w:rPr>
                <w:rFonts w:asciiTheme="minorHAnsi" w:hAnsiTheme="minorHAnsi" w:cstheme="minorHAnsi"/>
              </w:rPr>
              <w:t xml:space="preserve">have appropriate proposed minimum operational </w:t>
            </w:r>
            <w:proofErr w:type="gramStart"/>
            <w:r w:rsidRPr="00197D7A">
              <w:rPr>
                <w:rFonts w:asciiTheme="minorHAnsi" w:hAnsiTheme="minorHAnsi" w:cstheme="minorHAnsi"/>
              </w:rPr>
              <w:t>standards;</w:t>
            </w:r>
            <w:proofErr w:type="gramEnd"/>
            <w:r w:rsidRPr="00197D7A">
              <w:rPr>
                <w:rFonts w:asciiTheme="minorHAnsi" w:hAnsiTheme="minorHAnsi" w:cstheme="minorHAnsi"/>
              </w:rPr>
              <w:t xml:space="preserve"> </w:t>
            </w:r>
          </w:p>
          <w:p w14:paraId="361B5C85" w14:textId="77777777" w:rsidR="00197D7A" w:rsidRPr="00197D7A" w:rsidRDefault="00197D7A" w:rsidP="00197D7A">
            <w:pPr>
              <w:spacing w:after="127"/>
              <w:ind w:left="622" w:hanging="250"/>
              <w:rPr>
                <w:rFonts w:asciiTheme="minorHAnsi" w:hAnsiTheme="minorHAnsi" w:cstheme="minorHAnsi"/>
              </w:rPr>
            </w:pPr>
            <w:r w:rsidRPr="00197D7A">
              <w:rPr>
                <w:rFonts w:asciiTheme="minorHAnsi" w:hAnsiTheme="minorHAnsi" w:cstheme="minorHAnsi"/>
              </w:rPr>
              <w:t xml:space="preserve"> have maintenance arrangements in place to ensure an acceptable standard of operation for the lifetime of the development; and </w:t>
            </w:r>
          </w:p>
          <w:p w14:paraId="52B93A00" w14:textId="77777777" w:rsidR="00197D7A" w:rsidRDefault="00197D7A" w:rsidP="00197D7A">
            <w:pPr>
              <w:spacing w:after="110"/>
              <w:ind w:left="382"/>
              <w:rPr>
                <w:rFonts w:asciiTheme="minorHAnsi" w:hAnsiTheme="minorHAnsi" w:cstheme="minorHAnsi"/>
              </w:rPr>
            </w:pPr>
            <w:r w:rsidRPr="00197D7A">
              <w:rPr>
                <w:rFonts w:asciiTheme="minorHAnsi" w:eastAsia="Calibri" w:hAnsiTheme="minorHAnsi" w:cstheme="minorHAnsi"/>
                <w:noProof/>
              </w:rPr>
              <mc:AlternateContent>
                <mc:Choice Requires="wpg">
                  <w:drawing>
                    <wp:inline distT="0" distB="0" distL="0" distR="0" wp14:anchorId="0359CB06" wp14:editId="26CE59C8">
                      <wp:extent cx="54864" cy="54864"/>
                      <wp:effectExtent l="0" t="0" r="0" b="0"/>
                      <wp:docPr id="2097" name="Group 2097"/>
                      <wp:cNvGraphicFramePr/>
                      <a:graphic xmlns:a="http://schemas.openxmlformats.org/drawingml/2006/main">
                        <a:graphicData uri="http://schemas.microsoft.com/office/word/2010/wordprocessingGroup">
                          <wpg:wgp>
                            <wpg:cNvGrpSpPr/>
                            <wpg:grpSpPr>
                              <a:xfrm>
                                <a:off x="0" y="0"/>
                                <a:ext cx="54864" cy="54864"/>
                                <a:chOff x="0" y="0"/>
                                <a:chExt cx="54864" cy="54864"/>
                              </a:xfrm>
                            </wpg:grpSpPr>
                            <wps:wsp>
                              <wps:cNvPr id="142" name="Shape 142"/>
                              <wps:cNvSpPr/>
                              <wps:spPr>
                                <a:xfrm>
                                  <a:off x="0" y="0"/>
                                  <a:ext cx="54864" cy="54864"/>
                                </a:xfrm>
                                <a:custGeom>
                                  <a:avLst/>
                                  <a:gdLst/>
                                  <a:ahLst/>
                                  <a:cxnLst/>
                                  <a:rect l="0" t="0" r="0" b="0"/>
                                  <a:pathLst>
                                    <a:path w="54864" h="54864">
                                      <a:moveTo>
                                        <a:pt x="27432" y="0"/>
                                      </a:moveTo>
                                      <a:cubicBezTo>
                                        <a:pt x="35052" y="0"/>
                                        <a:pt x="41148" y="3048"/>
                                        <a:pt x="47244" y="7620"/>
                                      </a:cubicBezTo>
                                      <a:cubicBezTo>
                                        <a:pt x="51816" y="13716"/>
                                        <a:pt x="54864" y="19812"/>
                                        <a:pt x="54864" y="27432"/>
                                      </a:cubicBezTo>
                                      <a:cubicBezTo>
                                        <a:pt x="54864" y="35052"/>
                                        <a:pt x="51816" y="41148"/>
                                        <a:pt x="47244" y="47244"/>
                                      </a:cubicBezTo>
                                      <a:cubicBezTo>
                                        <a:pt x="41148" y="51816"/>
                                        <a:pt x="35052" y="54864"/>
                                        <a:pt x="27432" y="54864"/>
                                      </a:cubicBezTo>
                                      <a:cubicBezTo>
                                        <a:pt x="19812" y="54864"/>
                                        <a:pt x="13716" y="51816"/>
                                        <a:pt x="7620" y="47244"/>
                                      </a:cubicBezTo>
                                      <a:cubicBezTo>
                                        <a:pt x="3048" y="41148"/>
                                        <a:pt x="0" y="35052"/>
                                        <a:pt x="0" y="27432"/>
                                      </a:cubicBezTo>
                                      <a:cubicBezTo>
                                        <a:pt x="0" y="19812"/>
                                        <a:pt x="3048" y="13716"/>
                                        <a:pt x="7620" y="7620"/>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A0ED0D" id="Group 2097" o:spid="_x0000_s1026" style="width:4.3pt;height:4.3pt;mso-position-horizontal-relative:char;mso-position-vertical-relative:line" coordsize="54864,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">
                      <v:shape id="Shape 142" o:spid="_x0000_s1027" style="position:absolute;width:54864;height:54864;visibility:visible;mso-wrap-style:square;v-text-anchor:top" coordsize="5486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" path="m27432,v7620,,13716,3048,19812,7620c51816,13716,54864,19812,54864,27432v,7620,-3048,13716,-7620,19812c41148,51816,35052,54864,27432,54864v-7620,,-13716,-3048,-19812,-7620c3048,41148,,35052,,27432,,19812,3048,13716,7620,7620,13716,3048,19812,,27432,xe" fillcolor="black" stroked="f" strokeweight="0">
                        <v:stroke miterlimit="83231f" joinstyle="miter"/>
                        <v:path arrowok="t" textboxrect="0,0,54864,54864"/>
                      </v:shape>
                      <w10:anchorlock/>
                    </v:group>
                  </w:pict>
                </mc:Fallback>
              </mc:AlternateContent>
            </w:r>
            <w:r w:rsidRPr="00197D7A">
              <w:rPr>
                <w:rFonts w:asciiTheme="minorHAnsi" w:hAnsiTheme="minorHAnsi" w:cstheme="minorHAnsi"/>
              </w:rPr>
              <w:t xml:space="preserve"> where possible, provide multifunctional benefits. </w:t>
            </w:r>
          </w:p>
          <w:p w14:paraId="5F9E7066" w14:textId="77777777" w:rsidR="000E0EB9" w:rsidRPr="00197D7A" w:rsidRDefault="000E0EB9" w:rsidP="000E0EB9">
            <w:pPr>
              <w:spacing w:after="108"/>
              <w:ind w:left="-5"/>
              <w:rPr>
                <w:rFonts w:asciiTheme="minorHAnsi" w:hAnsiTheme="minorHAnsi" w:cstheme="minorHAnsi"/>
              </w:rPr>
            </w:pPr>
            <w:r w:rsidRPr="00197D7A">
              <w:rPr>
                <w:rFonts w:asciiTheme="minorHAnsi" w:hAnsiTheme="minorHAnsi" w:cstheme="minorHAnsi"/>
              </w:rPr>
              <w:t xml:space="preserve">The submission of basic information on how surface water is intended to be managed is vital if the Local Planning Authority is to make informed planning decisions. In the absence of acceptable information regarding surface water sustainable drainage, the Lead Local Flood Authority cannot assess whether the development proposed meets the requirements of Paragraph 169 of the National Planning Policy Framework or the Planning Practice Guidance in principle. This is sufficient reason </w:t>
            </w:r>
            <w:proofErr w:type="gramStart"/>
            <w:r w:rsidRPr="00197D7A">
              <w:rPr>
                <w:rFonts w:asciiTheme="minorHAnsi" w:hAnsiTheme="minorHAnsi" w:cstheme="minorHAnsi"/>
              </w:rPr>
              <w:t>in itself for</w:t>
            </w:r>
            <w:proofErr w:type="gramEnd"/>
            <w:r w:rsidRPr="00197D7A">
              <w:rPr>
                <w:rFonts w:asciiTheme="minorHAnsi" w:hAnsiTheme="minorHAnsi" w:cstheme="minorHAnsi"/>
              </w:rPr>
              <w:t xml:space="preserve"> a refusal of planning permission. </w:t>
            </w:r>
          </w:p>
          <w:p w14:paraId="5C4ADFC8" w14:textId="77777777" w:rsidR="000E0EB9" w:rsidRPr="00197D7A" w:rsidRDefault="000E0EB9" w:rsidP="000E0EB9">
            <w:pPr>
              <w:spacing w:line="259" w:lineRule="auto"/>
              <w:rPr>
                <w:rFonts w:asciiTheme="minorHAnsi" w:hAnsiTheme="minorHAnsi" w:cstheme="minorHAnsi"/>
                <w:b/>
                <w:bCs/>
              </w:rPr>
            </w:pPr>
            <w:r w:rsidRPr="00197D7A">
              <w:rPr>
                <w:rFonts w:asciiTheme="minorHAnsi" w:hAnsiTheme="minorHAnsi" w:cstheme="minorHAnsi"/>
                <w:b/>
                <w:bCs/>
              </w:rPr>
              <w:t xml:space="preserve">Overcoming our Objection </w:t>
            </w:r>
          </w:p>
          <w:p w14:paraId="64ADA3B1" w14:textId="3F77D69F" w:rsidR="003257F0" w:rsidRDefault="000E0EB9" w:rsidP="000E0EB9">
            <w:pPr>
              <w:spacing w:after="110"/>
              <w:rPr>
                <w:rFonts w:asciiTheme="minorHAnsi" w:hAnsiTheme="minorHAnsi" w:cstheme="minorHAnsi"/>
              </w:rPr>
            </w:pPr>
            <w:r w:rsidRPr="00197D7A">
              <w:rPr>
                <w:rFonts w:asciiTheme="minorHAnsi" w:hAnsiTheme="minorHAnsi" w:cstheme="minorHAnsi"/>
              </w:rPr>
              <w:t>You can overcome our objection by submitting information that covers the deficiencies highlighted above and demonstrates how surface water will be</w:t>
            </w:r>
          </w:p>
          <w:p w14:paraId="1D4E9768" w14:textId="74DD0F3C" w:rsidR="003257F0" w:rsidRDefault="003257F0" w:rsidP="003257F0">
            <w:pPr>
              <w:ind w:left="-5"/>
            </w:pPr>
          </w:p>
          <w:p w14:paraId="6B1338EF" w14:textId="77777777" w:rsidR="003257F0" w:rsidRPr="000E0EB9" w:rsidRDefault="003257F0" w:rsidP="003257F0">
            <w:pPr>
              <w:spacing w:after="108"/>
              <w:ind w:left="-5"/>
              <w:rPr>
                <w:rFonts w:asciiTheme="minorHAnsi" w:hAnsiTheme="minorHAnsi" w:cstheme="minorHAnsi"/>
              </w:rPr>
            </w:pPr>
            <w:r w:rsidRPr="000E0EB9">
              <w:rPr>
                <w:rFonts w:asciiTheme="minorHAnsi" w:hAnsiTheme="minorHAnsi" w:cstheme="minorHAnsi"/>
              </w:rPr>
              <w:t xml:space="preserve">If this cannot be </w:t>
            </w:r>
            <w:proofErr w:type="gramStart"/>
            <w:r w:rsidRPr="000E0EB9">
              <w:rPr>
                <w:rFonts w:asciiTheme="minorHAnsi" w:hAnsiTheme="minorHAnsi" w:cstheme="minorHAnsi"/>
              </w:rPr>
              <w:t>achieved</w:t>
            </w:r>
            <w:proofErr w:type="gramEnd"/>
            <w:r w:rsidRPr="000E0EB9">
              <w:rPr>
                <w:rFonts w:asciiTheme="minorHAnsi" w:hAnsiTheme="minorHAnsi" w:cstheme="minorHAnsi"/>
              </w:rPr>
              <w:t xml:space="preserve"> we are likely to maintain our objection to the application. Production of this information will not in itself result in the removal of an objection. </w:t>
            </w:r>
          </w:p>
          <w:p w14:paraId="5B7C25F4" w14:textId="77777777" w:rsidR="003257F0" w:rsidRPr="000E0EB9" w:rsidRDefault="003257F0" w:rsidP="003257F0">
            <w:pPr>
              <w:spacing w:after="108"/>
              <w:ind w:left="-5"/>
              <w:rPr>
                <w:rFonts w:asciiTheme="minorHAnsi" w:hAnsiTheme="minorHAnsi" w:cstheme="minorHAnsi"/>
              </w:rPr>
            </w:pPr>
            <w:r w:rsidRPr="000E0EB9">
              <w:rPr>
                <w:rFonts w:asciiTheme="minorHAnsi" w:hAnsiTheme="minorHAnsi" w:cstheme="minorHAnsi"/>
              </w:rPr>
              <w:t xml:space="preserve">The Lead Local Flood Authority asks to be re-consulted with the results of the amended site-specific flood risk assessment and/or amended sustainable drainage strategy and/or </w:t>
            </w:r>
            <w:proofErr w:type="spellStart"/>
            <w:r w:rsidRPr="000E0EB9">
              <w:rPr>
                <w:rFonts w:asciiTheme="minorHAnsi" w:hAnsiTheme="minorHAnsi" w:cstheme="minorHAnsi"/>
              </w:rPr>
              <w:t>SuDS</w:t>
            </w:r>
            <w:proofErr w:type="spellEnd"/>
            <w:r w:rsidRPr="000E0EB9">
              <w:rPr>
                <w:rFonts w:asciiTheme="minorHAnsi" w:hAnsiTheme="minorHAnsi" w:cstheme="minorHAnsi"/>
              </w:rPr>
              <w:t xml:space="preserve"> Pro-forma. We will provide you with further comments within 21 days of receiving formal re-consultation. Re-consultations should be sent to our identified mailbox.   </w:t>
            </w:r>
          </w:p>
          <w:p w14:paraId="44C8E8AB" w14:textId="77777777" w:rsidR="003257F0" w:rsidRPr="000E0EB9" w:rsidRDefault="003257F0" w:rsidP="003257F0">
            <w:pPr>
              <w:spacing w:after="113"/>
              <w:ind w:left="-5"/>
              <w:rPr>
                <w:rFonts w:asciiTheme="minorHAnsi" w:hAnsiTheme="minorHAnsi" w:cstheme="minorHAnsi"/>
              </w:rPr>
            </w:pPr>
            <w:r w:rsidRPr="000E0EB9">
              <w:rPr>
                <w:rFonts w:asciiTheme="minorHAnsi" w:hAnsiTheme="minorHAnsi" w:cstheme="minorHAnsi"/>
              </w:rPr>
              <w:t xml:space="preserve">Our objection will be maintained until the amended documents, as outlined above, have been received. Production of the amended documents will not in itself result in the removal of an objection. </w:t>
            </w:r>
          </w:p>
          <w:p w14:paraId="6A92B898" w14:textId="77777777" w:rsidR="003257F0" w:rsidRPr="000E0EB9" w:rsidRDefault="003257F0" w:rsidP="003257F0">
            <w:pPr>
              <w:ind w:left="-5"/>
              <w:rPr>
                <w:rFonts w:asciiTheme="minorHAnsi" w:hAnsiTheme="minorHAnsi" w:cstheme="minorHAnsi"/>
              </w:rPr>
            </w:pPr>
            <w:r w:rsidRPr="000E0EB9">
              <w:rPr>
                <w:rFonts w:asciiTheme="minorHAnsi" w:hAnsiTheme="minorHAnsi" w:cstheme="minorHAnsi"/>
              </w:rPr>
              <w:t xml:space="preserve">If the applicant wishes to discuss our objection with the Lead Local Flood Authority, they can do so through our </w:t>
            </w:r>
            <w:r w:rsidRPr="000E0EB9">
              <w:rPr>
                <w:rFonts w:asciiTheme="minorHAnsi" w:hAnsiTheme="minorHAnsi" w:cstheme="minorHAnsi"/>
                <w:color w:val="336633"/>
                <w:u w:val="single" w:color="336633"/>
              </w:rPr>
              <w:t>planning advice service</w:t>
            </w:r>
            <w:r w:rsidRPr="000E0EB9">
              <w:rPr>
                <w:rFonts w:asciiTheme="minorHAnsi" w:hAnsiTheme="minorHAnsi" w:cstheme="minorHAnsi"/>
              </w:rPr>
              <w:t>.</w:t>
            </w:r>
            <w:r w:rsidRPr="000E0EB9">
              <w:rPr>
                <w:rFonts w:asciiTheme="minorHAnsi" w:hAnsiTheme="minorHAnsi" w:cstheme="minorHAnsi"/>
                <w:color w:val="0000FF"/>
              </w:rPr>
              <w:t xml:space="preserve"> </w:t>
            </w:r>
          </w:p>
          <w:p w14:paraId="59CCCC92" w14:textId="38E00A8C" w:rsidR="00932DCE" w:rsidRPr="00E77B96" w:rsidRDefault="00932DCE" w:rsidP="006126D1">
            <w:pPr>
              <w:jc w:val="both"/>
              <w:rPr>
                <w:rFonts w:ascii="Calibri" w:hAnsi="Calibri"/>
                <w:szCs w:val="22"/>
              </w:rPr>
            </w:pPr>
          </w:p>
        </w:tc>
      </w:tr>
      <w:tr w:rsidR="00FA48EB" w:rsidRPr="008C75E4" w14:paraId="50CD0E4F" w14:textId="77777777" w:rsidTr="006D3AB5">
        <w:trPr>
          <w:jc w:val="center"/>
        </w:trPr>
        <w:tc>
          <w:tcPr>
            <w:tcW w:w="2895" w:type="dxa"/>
            <w:gridSpan w:val="5"/>
            <w:tcMar>
              <w:top w:w="57" w:type="dxa"/>
              <w:bottom w:w="57" w:type="dxa"/>
            </w:tcMar>
          </w:tcPr>
          <w:p w14:paraId="0746221D" w14:textId="77777777" w:rsidR="00FA48EB" w:rsidRDefault="00DB61F7" w:rsidP="006126D1">
            <w:pPr>
              <w:jc w:val="both"/>
              <w:rPr>
                <w:rFonts w:ascii="Calibri" w:hAnsi="Calibri"/>
                <w:b/>
                <w:szCs w:val="22"/>
              </w:rPr>
            </w:pPr>
            <w:r>
              <w:rPr>
                <w:rFonts w:ascii="Calibri" w:hAnsi="Calibri"/>
                <w:b/>
                <w:szCs w:val="22"/>
              </w:rPr>
              <w:t>United Utilities:</w:t>
            </w:r>
          </w:p>
        </w:tc>
        <w:tc>
          <w:tcPr>
            <w:tcW w:w="7073" w:type="dxa"/>
            <w:gridSpan w:val="8"/>
          </w:tcPr>
          <w:p w14:paraId="6DD8062E" w14:textId="77777777" w:rsidR="00EA33B0" w:rsidRPr="00EA33B0" w:rsidRDefault="00EA33B0" w:rsidP="00EA33B0">
            <w:pPr>
              <w:spacing w:after="288"/>
              <w:rPr>
                <w:rFonts w:asciiTheme="minorHAnsi" w:hAnsiTheme="minorHAnsi" w:cstheme="minorHAnsi"/>
              </w:rPr>
            </w:pPr>
            <w:r w:rsidRPr="00EA33B0">
              <w:rPr>
                <w:rFonts w:asciiTheme="minorHAnsi" w:hAnsiTheme="minorHAnsi" w:cstheme="minorHAnsi"/>
              </w:rPr>
              <w:t xml:space="preserve">United Utilities provides the following comments to support the Local Planning Authority in their determination of the planning application </w:t>
            </w:r>
            <w:r w:rsidRPr="00EA33B0">
              <w:rPr>
                <w:rFonts w:asciiTheme="minorHAnsi" w:hAnsiTheme="minorHAnsi" w:cstheme="minorHAnsi"/>
              </w:rPr>
              <w:lastRenderedPageBreak/>
              <w:t>detailed above, and to direct the applicant to further sources of support and guidance on matters that might impact their proposal.</w:t>
            </w:r>
          </w:p>
          <w:p w14:paraId="1372116B" w14:textId="77777777" w:rsidR="00EA33B0" w:rsidRPr="00EA33B0" w:rsidRDefault="00EA33B0" w:rsidP="00EA33B0">
            <w:pPr>
              <w:spacing w:after="286"/>
              <w:rPr>
                <w:rFonts w:asciiTheme="minorHAnsi" w:hAnsiTheme="minorHAnsi" w:cstheme="minorHAnsi"/>
              </w:rPr>
            </w:pPr>
            <w:r w:rsidRPr="00EA33B0">
              <w:rPr>
                <w:rFonts w:asciiTheme="minorHAnsi" w:hAnsiTheme="minorHAnsi" w:cstheme="minorHAnsi"/>
              </w:rPr>
              <w:t xml:space="preserve">The letter and Appendix should be read in their entirety to support the determination, the design, and should the scheme be approved, the subsequent delivery of the proposal.   </w:t>
            </w:r>
          </w:p>
          <w:p w14:paraId="6374C2A8" w14:textId="1FE13266" w:rsidR="00EA33B0" w:rsidRDefault="00EA33B0" w:rsidP="00EA33B0">
            <w:pPr>
              <w:spacing w:after="285" w:line="259" w:lineRule="auto"/>
            </w:pPr>
            <w:r w:rsidRPr="00EA33B0">
              <w:rPr>
                <w:rFonts w:asciiTheme="minorHAnsi" w:hAnsiTheme="minorHAnsi" w:cstheme="minorHAnsi"/>
              </w:rPr>
              <w:t xml:space="preserve">Noting this is a Full application, we request that the applicant provides a detailed drainage plan, and that United Utilities </w:t>
            </w:r>
            <w:proofErr w:type="gramStart"/>
            <w:r w:rsidRPr="00EA33B0">
              <w:rPr>
                <w:rFonts w:asciiTheme="minorHAnsi" w:hAnsiTheme="minorHAnsi" w:cstheme="minorHAnsi"/>
              </w:rPr>
              <w:t>has the opportunity to</w:t>
            </w:r>
            <w:proofErr w:type="gramEnd"/>
            <w:r w:rsidRPr="00EA33B0">
              <w:rPr>
                <w:rFonts w:asciiTheme="minorHAnsi" w:hAnsiTheme="minorHAnsi" w:cstheme="minorHAnsi"/>
              </w:rPr>
              <w:t xml:space="preserve"> review and comment on this plan</w:t>
            </w:r>
            <w:r>
              <w:rPr>
                <w:rFonts w:asciiTheme="minorHAnsi" w:hAnsiTheme="minorHAnsi" w:cstheme="minorHAnsi"/>
              </w:rPr>
              <w:t xml:space="preserve"> prior to determination </w:t>
            </w:r>
            <w:r w:rsidRPr="00EA33B0">
              <w:rPr>
                <w:rFonts w:asciiTheme="minorHAnsi" w:hAnsiTheme="minorHAnsi" w:cstheme="minorHAnsi"/>
              </w:rPr>
              <w:t>of this application.</w:t>
            </w:r>
            <w:r>
              <w:t xml:space="preserve"> </w:t>
            </w:r>
          </w:p>
          <w:p w14:paraId="2897560E" w14:textId="74DB45E0" w:rsidR="00932DCE" w:rsidRPr="00EA33B0" w:rsidRDefault="00EA33B0" w:rsidP="00EA33B0">
            <w:pPr>
              <w:spacing w:after="286"/>
              <w:rPr>
                <w:rFonts w:asciiTheme="minorHAnsi" w:hAnsiTheme="minorHAnsi" w:cstheme="minorHAnsi"/>
              </w:rPr>
            </w:pPr>
            <w:r w:rsidRPr="00EA33B0">
              <w:rPr>
                <w:rFonts w:asciiTheme="minorHAnsi" w:hAnsiTheme="minorHAnsi" w:cstheme="minorHAnsi"/>
              </w:rPr>
              <w:t>Should planning permission be granted without th</w:t>
            </w:r>
            <w:r w:rsidR="00197D7A">
              <w:rPr>
                <w:rFonts w:asciiTheme="minorHAnsi" w:hAnsiTheme="minorHAnsi" w:cstheme="minorHAnsi"/>
              </w:rPr>
              <w:t>e</w:t>
            </w:r>
            <w:r w:rsidRPr="00EA33B0">
              <w:rPr>
                <w:rFonts w:asciiTheme="minorHAnsi" w:hAnsiTheme="minorHAnsi" w:cstheme="minorHAnsi"/>
              </w:rPr>
              <w:t xml:space="preserve"> provision of this information we request </w:t>
            </w:r>
            <w:r>
              <w:rPr>
                <w:rFonts w:asciiTheme="minorHAnsi" w:hAnsiTheme="minorHAnsi" w:cstheme="minorHAnsi"/>
              </w:rPr>
              <w:t xml:space="preserve">a </w:t>
            </w:r>
            <w:r w:rsidRPr="00EA33B0">
              <w:rPr>
                <w:rFonts w:asciiTheme="minorHAnsi" w:hAnsiTheme="minorHAnsi" w:cstheme="minorHAnsi"/>
              </w:rPr>
              <w:t xml:space="preserve">condition is attached to </w:t>
            </w:r>
            <w:r>
              <w:rPr>
                <w:rFonts w:asciiTheme="minorHAnsi" w:hAnsiTheme="minorHAnsi" w:cstheme="minorHAnsi"/>
              </w:rPr>
              <w:t xml:space="preserve">the </w:t>
            </w:r>
            <w:r w:rsidRPr="00EA33B0">
              <w:rPr>
                <w:rFonts w:asciiTheme="minorHAnsi" w:hAnsiTheme="minorHAnsi" w:cstheme="minorHAnsi"/>
              </w:rPr>
              <w:t>Decision Notice</w:t>
            </w:r>
            <w:r>
              <w:rPr>
                <w:rFonts w:asciiTheme="minorHAnsi" w:hAnsiTheme="minorHAnsi" w:cstheme="minorHAnsi"/>
              </w:rPr>
              <w:t>.</w:t>
            </w:r>
          </w:p>
        </w:tc>
      </w:tr>
      <w:tr w:rsidR="008C75E4" w:rsidRPr="008C75E4" w14:paraId="62CED678" w14:textId="77777777" w:rsidTr="003257F0">
        <w:trPr>
          <w:jc w:val="center"/>
        </w:trPr>
        <w:tc>
          <w:tcPr>
            <w:tcW w:w="9968" w:type="dxa"/>
            <w:gridSpan w:val="13"/>
            <w:tcMar>
              <w:top w:w="57" w:type="dxa"/>
              <w:bottom w:w="57" w:type="dxa"/>
            </w:tcMar>
          </w:tcPr>
          <w:p w14:paraId="65AAC184" w14:textId="77777777" w:rsidR="00C0704D" w:rsidRPr="008C75E4" w:rsidRDefault="00C0704D" w:rsidP="00FC046F">
            <w:pPr>
              <w:jc w:val="both"/>
              <w:rPr>
                <w:rFonts w:ascii="Calibri" w:hAnsi="Calibri"/>
                <w:szCs w:val="22"/>
              </w:rPr>
            </w:pPr>
          </w:p>
        </w:tc>
      </w:tr>
      <w:tr w:rsidR="008C75E4" w:rsidRPr="008C75E4" w14:paraId="20C98DA4" w14:textId="77777777" w:rsidTr="006D3AB5">
        <w:trPr>
          <w:jc w:val="center"/>
        </w:trPr>
        <w:tc>
          <w:tcPr>
            <w:tcW w:w="2895" w:type="dxa"/>
            <w:gridSpan w:val="5"/>
            <w:tcMar>
              <w:top w:w="57" w:type="dxa"/>
              <w:bottom w:w="57" w:type="dxa"/>
            </w:tcMar>
          </w:tcPr>
          <w:p w14:paraId="34069A8D"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7073" w:type="dxa"/>
            <w:gridSpan w:val="8"/>
          </w:tcPr>
          <w:p w14:paraId="7C63EEB5"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5BD785FC" w14:textId="77777777" w:rsidTr="003257F0">
        <w:trPr>
          <w:jc w:val="center"/>
        </w:trPr>
        <w:tc>
          <w:tcPr>
            <w:tcW w:w="9968" w:type="dxa"/>
            <w:gridSpan w:val="13"/>
            <w:tcBorders>
              <w:bottom w:val="single" w:sz="4" w:space="0" w:color="BFBFBF" w:themeColor="background1" w:themeShade="BF"/>
            </w:tcBorders>
            <w:tcMar>
              <w:top w:w="57" w:type="dxa"/>
              <w:bottom w:w="57" w:type="dxa"/>
            </w:tcMar>
          </w:tcPr>
          <w:p w14:paraId="6F4B9807" w14:textId="2018BE86" w:rsidR="005878FE" w:rsidRDefault="00A60797" w:rsidP="00435FC9">
            <w:pPr>
              <w:jc w:val="both"/>
              <w:rPr>
                <w:rFonts w:ascii="Calibri" w:hAnsi="Calibri"/>
                <w:szCs w:val="22"/>
              </w:rPr>
            </w:pPr>
            <w:r>
              <w:rPr>
                <w:rFonts w:ascii="Calibri" w:hAnsi="Calibri"/>
                <w:szCs w:val="22"/>
              </w:rPr>
              <w:t>No responses</w:t>
            </w:r>
            <w:r w:rsidR="00DD31D7">
              <w:rPr>
                <w:rFonts w:ascii="Calibri" w:hAnsi="Calibri"/>
                <w:szCs w:val="22"/>
              </w:rPr>
              <w:t xml:space="preserve"> received</w:t>
            </w:r>
            <w:r>
              <w:rPr>
                <w:rFonts w:ascii="Calibri" w:hAnsi="Calibri"/>
                <w:szCs w:val="22"/>
              </w:rPr>
              <w:t>.</w:t>
            </w:r>
          </w:p>
          <w:p w14:paraId="51A5AC80" w14:textId="77777777" w:rsidR="004A2E05" w:rsidRPr="00435FC9" w:rsidRDefault="004A2E05" w:rsidP="00A60797">
            <w:pPr>
              <w:jc w:val="both"/>
              <w:rPr>
                <w:rFonts w:ascii="Calibri" w:hAnsi="Calibri"/>
                <w:szCs w:val="22"/>
              </w:rPr>
            </w:pPr>
          </w:p>
        </w:tc>
      </w:tr>
      <w:tr w:rsidR="008C75E4" w:rsidRPr="008C75E4" w14:paraId="78B5C9C6" w14:textId="77777777" w:rsidTr="003257F0">
        <w:trPr>
          <w:trHeight w:hRule="exact" w:val="144"/>
          <w:jc w:val="center"/>
        </w:trPr>
        <w:tc>
          <w:tcPr>
            <w:tcW w:w="9968" w:type="dxa"/>
            <w:gridSpan w:val="13"/>
            <w:tcBorders>
              <w:left w:val="nil"/>
              <w:right w:val="nil"/>
            </w:tcBorders>
            <w:tcMar>
              <w:top w:w="57" w:type="dxa"/>
              <w:bottom w:w="57" w:type="dxa"/>
            </w:tcMar>
          </w:tcPr>
          <w:p w14:paraId="763C0C6E" w14:textId="77777777" w:rsidR="00C0704D" w:rsidRPr="00504440" w:rsidRDefault="00C0704D" w:rsidP="006126D1">
            <w:pPr>
              <w:jc w:val="both"/>
              <w:rPr>
                <w:rFonts w:ascii="Calibri" w:hAnsi="Calibri"/>
                <w:sz w:val="4"/>
                <w:szCs w:val="4"/>
              </w:rPr>
            </w:pPr>
          </w:p>
        </w:tc>
      </w:tr>
      <w:tr w:rsidR="008C75E4" w:rsidRPr="008C75E4" w14:paraId="41BBBCCA" w14:textId="77777777" w:rsidTr="003257F0">
        <w:trPr>
          <w:jc w:val="center"/>
        </w:trPr>
        <w:tc>
          <w:tcPr>
            <w:tcW w:w="9968" w:type="dxa"/>
            <w:gridSpan w:val="13"/>
            <w:tcMar>
              <w:top w:w="57" w:type="dxa"/>
              <w:bottom w:w="57" w:type="dxa"/>
            </w:tcMar>
          </w:tcPr>
          <w:p w14:paraId="710AADD5"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409F393F" w14:textId="77777777" w:rsidTr="003257F0">
        <w:trPr>
          <w:trHeight w:val="864"/>
          <w:jc w:val="center"/>
        </w:trPr>
        <w:tc>
          <w:tcPr>
            <w:tcW w:w="9968" w:type="dxa"/>
            <w:gridSpan w:val="13"/>
            <w:tcMar>
              <w:top w:w="57" w:type="dxa"/>
              <w:bottom w:w="57" w:type="dxa"/>
            </w:tcMar>
          </w:tcPr>
          <w:p w14:paraId="5A466753" w14:textId="77777777" w:rsidR="008542DE" w:rsidRDefault="00C0704D" w:rsidP="00504440">
            <w:pPr>
              <w:pStyle w:val="PLANNING"/>
              <w:rPr>
                <w:rFonts w:ascii="Calibri" w:hAnsi="Calibri"/>
                <w:b/>
                <w:bCs/>
                <w:szCs w:val="22"/>
              </w:rPr>
            </w:pPr>
            <w:r w:rsidRPr="008C75E4">
              <w:rPr>
                <w:rFonts w:ascii="Calibri" w:hAnsi="Calibri"/>
                <w:b/>
                <w:bCs/>
                <w:szCs w:val="22"/>
              </w:rPr>
              <w:t>Ribble Valley Core Strategy:</w:t>
            </w:r>
          </w:p>
          <w:p w14:paraId="6EE9E44B" w14:textId="77777777" w:rsidR="000D6BE8" w:rsidRPr="00504440" w:rsidRDefault="000D6BE8" w:rsidP="00504440">
            <w:pPr>
              <w:pStyle w:val="PLANNING"/>
              <w:rPr>
                <w:rFonts w:ascii="Calibri" w:hAnsi="Calibri"/>
                <w:b/>
                <w:bCs/>
                <w:szCs w:val="22"/>
              </w:rPr>
            </w:pPr>
          </w:p>
          <w:p w14:paraId="59F6C21A" w14:textId="075AD869" w:rsidR="00560A22" w:rsidRPr="00752742" w:rsidRDefault="000D6BE8" w:rsidP="00560A22">
            <w:pPr>
              <w:jc w:val="both"/>
              <w:rPr>
                <w:rFonts w:ascii="Calibri" w:hAnsi="Calibri"/>
                <w:szCs w:val="22"/>
              </w:rPr>
            </w:pPr>
            <w:r>
              <w:rPr>
                <w:rFonts w:ascii="Calibri" w:hAnsi="Calibri"/>
                <w:szCs w:val="22"/>
              </w:rPr>
              <w:t>Key Statement</w:t>
            </w:r>
            <w:r w:rsidR="000F1290">
              <w:rPr>
                <w:rFonts w:ascii="Calibri" w:hAnsi="Calibri"/>
                <w:szCs w:val="22"/>
              </w:rPr>
              <w:t xml:space="preserve"> DS1</w:t>
            </w:r>
            <w:r w:rsidR="00560A22" w:rsidRPr="00752742">
              <w:rPr>
                <w:rFonts w:ascii="Calibri" w:hAnsi="Calibri"/>
                <w:szCs w:val="22"/>
              </w:rPr>
              <w:t>:</w:t>
            </w:r>
            <w:r w:rsidR="000F1290">
              <w:rPr>
                <w:rFonts w:ascii="Calibri" w:hAnsi="Calibri"/>
                <w:szCs w:val="22"/>
              </w:rPr>
              <w:t xml:space="preserve"> </w:t>
            </w:r>
            <w:r w:rsidR="00560A22" w:rsidRPr="00752742">
              <w:rPr>
                <w:rFonts w:ascii="Calibri" w:hAnsi="Calibri"/>
                <w:szCs w:val="22"/>
              </w:rPr>
              <w:t xml:space="preserve">Development Strategy </w:t>
            </w:r>
          </w:p>
          <w:p w14:paraId="6A814F50" w14:textId="429FCBD1" w:rsidR="00560A22" w:rsidRPr="00752742" w:rsidRDefault="000F1290" w:rsidP="00560A22">
            <w:pPr>
              <w:jc w:val="both"/>
              <w:rPr>
                <w:rFonts w:ascii="Calibri" w:hAnsi="Calibri"/>
                <w:szCs w:val="22"/>
              </w:rPr>
            </w:pPr>
            <w:r>
              <w:rPr>
                <w:rFonts w:ascii="Calibri" w:hAnsi="Calibri"/>
                <w:szCs w:val="22"/>
              </w:rPr>
              <w:t xml:space="preserve">Key Statement </w:t>
            </w:r>
            <w:r w:rsidR="00560A22" w:rsidRPr="00752742">
              <w:rPr>
                <w:rFonts w:ascii="Calibri" w:hAnsi="Calibri"/>
                <w:szCs w:val="22"/>
              </w:rPr>
              <w:t xml:space="preserve">DS2: Sustainable Development </w:t>
            </w:r>
          </w:p>
          <w:p w14:paraId="7DCC912B" w14:textId="3EAD7CC3" w:rsidR="00560A22" w:rsidRPr="00752742" w:rsidRDefault="000F1290" w:rsidP="00560A22">
            <w:pPr>
              <w:jc w:val="both"/>
              <w:rPr>
                <w:rFonts w:ascii="Calibri" w:hAnsi="Calibri"/>
                <w:szCs w:val="22"/>
              </w:rPr>
            </w:pPr>
            <w:r>
              <w:rPr>
                <w:rFonts w:ascii="Calibri" w:hAnsi="Calibri"/>
                <w:szCs w:val="22"/>
              </w:rPr>
              <w:t xml:space="preserve">Key Statement </w:t>
            </w:r>
            <w:r w:rsidR="00560A22" w:rsidRPr="00752742">
              <w:rPr>
                <w:rFonts w:ascii="Calibri" w:hAnsi="Calibri"/>
                <w:szCs w:val="22"/>
              </w:rPr>
              <w:t xml:space="preserve">EC1: Business and Employment Development </w:t>
            </w:r>
          </w:p>
          <w:p w14:paraId="4C437DB7" w14:textId="06DA7B64" w:rsidR="00560A22" w:rsidRPr="00752742" w:rsidRDefault="000F1290" w:rsidP="00560A22">
            <w:pPr>
              <w:jc w:val="both"/>
              <w:rPr>
                <w:rFonts w:ascii="Calibri" w:hAnsi="Calibri"/>
                <w:szCs w:val="22"/>
              </w:rPr>
            </w:pPr>
            <w:r>
              <w:rPr>
                <w:rFonts w:ascii="Calibri" w:hAnsi="Calibri"/>
                <w:szCs w:val="22"/>
              </w:rPr>
              <w:t xml:space="preserve">Key Statement </w:t>
            </w:r>
            <w:r w:rsidR="00560A22" w:rsidRPr="00752742">
              <w:rPr>
                <w:rFonts w:ascii="Calibri" w:hAnsi="Calibri"/>
                <w:szCs w:val="22"/>
              </w:rPr>
              <w:t xml:space="preserve">DMI2: Transport Considerations </w:t>
            </w:r>
          </w:p>
          <w:p w14:paraId="6A6B2086" w14:textId="77777777" w:rsidR="000D6BE8" w:rsidRDefault="000D6BE8" w:rsidP="00560A22">
            <w:pPr>
              <w:jc w:val="both"/>
              <w:rPr>
                <w:rFonts w:ascii="Calibri" w:hAnsi="Calibri"/>
                <w:szCs w:val="22"/>
              </w:rPr>
            </w:pPr>
          </w:p>
          <w:p w14:paraId="543AA8A6" w14:textId="1DE80DEE" w:rsidR="00560A22" w:rsidRPr="00752742" w:rsidRDefault="00560A22" w:rsidP="00560A22">
            <w:pPr>
              <w:jc w:val="both"/>
              <w:rPr>
                <w:rFonts w:ascii="Calibri" w:hAnsi="Calibri"/>
                <w:szCs w:val="22"/>
              </w:rPr>
            </w:pPr>
            <w:r w:rsidRPr="00752742">
              <w:rPr>
                <w:rFonts w:ascii="Calibri" w:hAnsi="Calibri"/>
                <w:szCs w:val="22"/>
              </w:rPr>
              <w:t xml:space="preserve">Policy DMG1: General Considerations </w:t>
            </w:r>
          </w:p>
          <w:p w14:paraId="6964D9F8" w14:textId="77777777" w:rsidR="00560A22" w:rsidRPr="00752742" w:rsidRDefault="00560A22" w:rsidP="00560A22">
            <w:pPr>
              <w:jc w:val="both"/>
              <w:rPr>
                <w:rFonts w:ascii="Calibri" w:hAnsi="Calibri"/>
                <w:szCs w:val="22"/>
              </w:rPr>
            </w:pPr>
            <w:r w:rsidRPr="00752742">
              <w:rPr>
                <w:rFonts w:ascii="Calibri" w:hAnsi="Calibri"/>
                <w:szCs w:val="22"/>
              </w:rPr>
              <w:t xml:space="preserve">Policy DMG2: Strategic Considerations </w:t>
            </w:r>
          </w:p>
          <w:p w14:paraId="62DDE997" w14:textId="138D0FD8" w:rsidR="003759DD" w:rsidRDefault="00560A22" w:rsidP="00560A22">
            <w:pPr>
              <w:jc w:val="both"/>
              <w:rPr>
                <w:rFonts w:ascii="Calibri" w:hAnsi="Calibri"/>
                <w:b/>
                <w:szCs w:val="22"/>
              </w:rPr>
            </w:pPr>
            <w:r w:rsidRPr="00752742">
              <w:rPr>
                <w:rFonts w:ascii="Calibri" w:hAnsi="Calibri"/>
                <w:szCs w:val="22"/>
              </w:rPr>
              <w:t>Policy DMG3: Transport and Mobility</w:t>
            </w:r>
            <w:r w:rsidRPr="00560A22">
              <w:rPr>
                <w:rFonts w:ascii="Calibri" w:hAnsi="Calibri"/>
                <w:b/>
                <w:szCs w:val="22"/>
              </w:rPr>
              <w:t xml:space="preserve"> </w:t>
            </w:r>
          </w:p>
          <w:p w14:paraId="594BF0B3" w14:textId="204E90C1" w:rsidR="003759DD" w:rsidRDefault="003759DD" w:rsidP="00560A22">
            <w:pPr>
              <w:jc w:val="both"/>
              <w:rPr>
                <w:rFonts w:ascii="Calibri" w:hAnsi="Calibri"/>
                <w:bCs/>
                <w:szCs w:val="22"/>
              </w:rPr>
            </w:pPr>
            <w:r w:rsidRPr="003759DD">
              <w:rPr>
                <w:rFonts w:ascii="Calibri" w:hAnsi="Calibri"/>
                <w:bCs/>
                <w:szCs w:val="22"/>
              </w:rPr>
              <w:t>Policy DME3: Site and Species Protection and Conservation</w:t>
            </w:r>
          </w:p>
          <w:p w14:paraId="771FEB67" w14:textId="4751DF5C" w:rsidR="003759DD" w:rsidRPr="003759DD" w:rsidRDefault="003759DD" w:rsidP="00560A22">
            <w:pPr>
              <w:jc w:val="both"/>
              <w:rPr>
                <w:rFonts w:ascii="Calibri" w:hAnsi="Calibri"/>
                <w:bCs/>
                <w:szCs w:val="22"/>
              </w:rPr>
            </w:pPr>
            <w:r>
              <w:rPr>
                <w:rFonts w:ascii="Calibri" w:hAnsi="Calibri"/>
                <w:bCs/>
                <w:szCs w:val="22"/>
              </w:rPr>
              <w:t>Policy DME6: Water Management</w:t>
            </w:r>
          </w:p>
          <w:p w14:paraId="0758D629" w14:textId="77777777" w:rsidR="00560A22" w:rsidRPr="00752742" w:rsidRDefault="00560A22" w:rsidP="00560A22">
            <w:pPr>
              <w:jc w:val="both"/>
              <w:rPr>
                <w:rFonts w:ascii="Calibri" w:hAnsi="Calibri"/>
                <w:szCs w:val="22"/>
              </w:rPr>
            </w:pPr>
            <w:r w:rsidRPr="00752742">
              <w:rPr>
                <w:rFonts w:ascii="Calibri" w:hAnsi="Calibri"/>
                <w:szCs w:val="22"/>
              </w:rPr>
              <w:t xml:space="preserve">Policy DMB1: Supporting Business Growth and The Local Economy </w:t>
            </w:r>
          </w:p>
          <w:p w14:paraId="761C8ECD" w14:textId="77777777" w:rsidR="001946E0" w:rsidRPr="008C75E4" w:rsidRDefault="001946E0" w:rsidP="00752742">
            <w:pPr>
              <w:jc w:val="both"/>
              <w:rPr>
                <w:rFonts w:ascii="Calibri" w:hAnsi="Calibri"/>
                <w:b/>
                <w:szCs w:val="22"/>
              </w:rPr>
            </w:pPr>
          </w:p>
        </w:tc>
      </w:tr>
      <w:tr w:rsidR="008C75E4" w:rsidRPr="008C75E4" w14:paraId="1B8963EC" w14:textId="77777777" w:rsidTr="003257F0">
        <w:trPr>
          <w:trHeight w:val="864"/>
          <w:jc w:val="center"/>
        </w:trPr>
        <w:tc>
          <w:tcPr>
            <w:tcW w:w="9968" w:type="dxa"/>
            <w:gridSpan w:val="13"/>
            <w:tcBorders>
              <w:bottom w:val="single" w:sz="4" w:space="0" w:color="BFBFBF" w:themeColor="background1" w:themeShade="BF"/>
            </w:tcBorders>
            <w:tcMar>
              <w:top w:w="57" w:type="dxa"/>
              <w:bottom w:w="57" w:type="dxa"/>
            </w:tcMar>
          </w:tcPr>
          <w:p w14:paraId="3763F995" w14:textId="77777777" w:rsidR="00C0704D" w:rsidRDefault="00C0704D" w:rsidP="006126D1">
            <w:pPr>
              <w:pStyle w:val="PLANNING"/>
              <w:rPr>
                <w:rFonts w:ascii="Calibri" w:hAnsi="Calibri"/>
                <w:b/>
                <w:bCs/>
                <w:szCs w:val="22"/>
              </w:rPr>
            </w:pPr>
            <w:r w:rsidRPr="008C75E4">
              <w:rPr>
                <w:rFonts w:ascii="Calibri" w:hAnsi="Calibri"/>
                <w:b/>
                <w:bCs/>
                <w:szCs w:val="22"/>
              </w:rPr>
              <w:t>Relevant Planning History:</w:t>
            </w:r>
          </w:p>
          <w:p w14:paraId="4FE2A147" w14:textId="77777777" w:rsidR="004A2E05" w:rsidRDefault="004A2E05" w:rsidP="006126D1">
            <w:pPr>
              <w:pStyle w:val="PLANNING"/>
              <w:rPr>
                <w:rFonts w:ascii="Calibri" w:hAnsi="Calibri"/>
                <w:b/>
                <w:bCs/>
                <w:szCs w:val="22"/>
              </w:rPr>
            </w:pPr>
          </w:p>
          <w:p w14:paraId="3C11B0CB" w14:textId="2C889906" w:rsidR="004A2E05" w:rsidRDefault="003759DD" w:rsidP="00454754">
            <w:pPr>
              <w:pStyle w:val="PLANNING"/>
              <w:rPr>
                <w:rFonts w:ascii="Calibri" w:hAnsi="Calibri"/>
                <w:bCs/>
                <w:szCs w:val="22"/>
              </w:rPr>
            </w:pPr>
            <w:r>
              <w:rPr>
                <w:rFonts w:ascii="Calibri" w:hAnsi="Calibri"/>
                <w:bCs/>
                <w:szCs w:val="22"/>
              </w:rPr>
              <w:t>3/2022/0792 – Proposed acoustic fence to replace damaged and overgrown leylandii to boundary – Pending.</w:t>
            </w:r>
          </w:p>
          <w:p w14:paraId="42539509" w14:textId="4F2E03E7" w:rsidR="003759DD" w:rsidRPr="001946E0" w:rsidRDefault="003759DD" w:rsidP="00454754">
            <w:pPr>
              <w:pStyle w:val="PLANNING"/>
              <w:rPr>
                <w:rFonts w:ascii="Calibri" w:hAnsi="Calibri"/>
                <w:bCs/>
                <w:szCs w:val="22"/>
              </w:rPr>
            </w:pPr>
          </w:p>
        </w:tc>
      </w:tr>
      <w:tr w:rsidR="008C75E4" w:rsidRPr="008C75E4" w14:paraId="08AD89CB" w14:textId="77777777" w:rsidTr="003257F0">
        <w:trPr>
          <w:trHeight w:hRule="exact" w:val="144"/>
          <w:jc w:val="center"/>
        </w:trPr>
        <w:tc>
          <w:tcPr>
            <w:tcW w:w="9968" w:type="dxa"/>
            <w:gridSpan w:val="13"/>
            <w:tcBorders>
              <w:left w:val="nil"/>
              <w:right w:val="nil"/>
            </w:tcBorders>
            <w:tcMar>
              <w:top w:w="57" w:type="dxa"/>
              <w:bottom w:w="57" w:type="dxa"/>
            </w:tcMar>
          </w:tcPr>
          <w:p w14:paraId="00CB0C8F" w14:textId="77777777" w:rsidR="003F16AA" w:rsidRPr="00504440" w:rsidRDefault="003F16AA" w:rsidP="00504440">
            <w:pPr>
              <w:rPr>
                <w:sz w:val="4"/>
                <w:szCs w:val="4"/>
              </w:rPr>
            </w:pPr>
          </w:p>
        </w:tc>
      </w:tr>
      <w:tr w:rsidR="008C75E4" w:rsidRPr="008C75E4" w14:paraId="045ACBEC" w14:textId="77777777" w:rsidTr="003257F0">
        <w:trPr>
          <w:jc w:val="center"/>
        </w:trPr>
        <w:tc>
          <w:tcPr>
            <w:tcW w:w="9968" w:type="dxa"/>
            <w:gridSpan w:val="13"/>
            <w:tcMar>
              <w:top w:w="57" w:type="dxa"/>
              <w:bottom w:w="57" w:type="dxa"/>
            </w:tcMar>
          </w:tcPr>
          <w:p w14:paraId="048BDAF0"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0FCBACCD" w14:textId="77777777" w:rsidTr="003257F0">
        <w:trPr>
          <w:trHeight w:val="1152"/>
          <w:jc w:val="center"/>
        </w:trPr>
        <w:tc>
          <w:tcPr>
            <w:tcW w:w="9968" w:type="dxa"/>
            <w:gridSpan w:val="13"/>
            <w:tcMar>
              <w:top w:w="57" w:type="dxa"/>
              <w:bottom w:w="57" w:type="dxa"/>
            </w:tcMar>
          </w:tcPr>
          <w:p w14:paraId="2A4DC456"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4A8ABEC" w14:textId="77777777" w:rsidR="004A2E05" w:rsidRDefault="004A2E05" w:rsidP="00454754">
            <w:pPr>
              <w:pStyle w:val="Header"/>
              <w:tabs>
                <w:tab w:val="clear" w:pos="4153"/>
                <w:tab w:val="clear" w:pos="8306"/>
              </w:tabs>
              <w:contextualSpacing/>
              <w:jc w:val="both"/>
              <w:rPr>
                <w:rFonts w:ascii="Calibri" w:hAnsi="Calibri"/>
                <w:b/>
                <w:szCs w:val="22"/>
              </w:rPr>
            </w:pPr>
          </w:p>
          <w:p w14:paraId="0471DDCB" w14:textId="229C31CE" w:rsidR="002C0C20" w:rsidRPr="002C0C20" w:rsidRDefault="002C0C20" w:rsidP="002C0C20">
            <w:pPr>
              <w:pStyle w:val="Header"/>
              <w:contextualSpacing/>
              <w:jc w:val="both"/>
              <w:rPr>
                <w:rFonts w:ascii="Calibri" w:hAnsi="Calibri"/>
                <w:szCs w:val="22"/>
              </w:rPr>
            </w:pPr>
            <w:r w:rsidRPr="002C0C20">
              <w:rPr>
                <w:rFonts w:ascii="Calibri" w:hAnsi="Calibri"/>
                <w:szCs w:val="22"/>
              </w:rPr>
              <w:t xml:space="preserve">The site </w:t>
            </w:r>
            <w:r w:rsidR="0076591E">
              <w:rPr>
                <w:rFonts w:ascii="Calibri" w:hAnsi="Calibri"/>
                <w:szCs w:val="22"/>
              </w:rPr>
              <w:t xml:space="preserve">is located off Longworth Road Billington and is a long-established </w:t>
            </w:r>
            <w:r w:rsidRPr="002C0C20">
              <w:rPr>
                <w:rFonts w:ascii="Calibri" w:hAnsi="Calibri"/>
                <w:szCs w:val="22"/>
              </w:rPr>
              <w:t xml:space="preserve">industrial </w:t>
            </w:r>
            <w:r w:rsidR="0076591E">
              <w:rPr>
                <w:rFonts w:ascii="Calibri" w:hAnsi="Calibri"/>
                <w:szCs w:val="22"/>
              </w:rPr>
              <w:t>site</w:t>
            </w:r>
            <w:r w:rsidRPr="002C0C20">
              <w:rPr>
                <w:rFonts w:ascii="Calibri" w:hAnsi="Calibri"/>
                <w:szCs w:val="22"/>
              </w:rPr>
              <w:t xml:space="preserve"> </w:t>
            </w:r>
            <w:r w:rsidR="00B85F63">
              <w:rPr>
                <w:rFonts w:ascii="Calibri" w:hAnsi="Calibri"/>
                <w:szCs w:val="22"/>
              </w:rPr>
              <w:t xml:space="preserve">which has been </w:t>
            </w:r>
            <w:r w:rsidRPr="002C0C20">
              <w:rPr>
                <w:rFonts w:ascii="Calibri" w:hAnsi="Calibri"/>
                <w:szCs w:val="22"/>
              </w:rPr>
              <w:t xml:space="preserve">occupied by </w:t>
            </w:r>
            <w:r w:rsidR="0076591E">
              <w:rPr>
                <w:rFonts w:ascii="Calibri" w:hAnsi="Calibri"/>
                <w:szCs w:val="22"/>
              </w:rPr>
              <w:t xml:space="preserve">Harrison Engineering </w:t>
            </w:r>
            <w:r w:rsidR="00B85F63">
              <w:rPr>
                <w:rFonts w:ascii="Calibri" w:hAnsi="Calibri"/>
                <w:szCs w:val="22"/>
              </w:rPr>
              <w:t xml:space="preserve">since 1980.  The firm specialises in metal fabrication and welding and produce large scale structures for </w:t>
            </w:r>
            <w:r w:rsidR="0076591E">
              <w:rPr>
                <w:rFonts w:ascii="Calibri" w:hAnsi="Calibri"/>
                <w:szCs w:val="22"/>
              </w:rPr>
              <w:t xml:space="preserve">steel frame buildings, fire escapes, access platforms, </w:t>
            </w:r>
            <w:r w:rsidR="00B85F63">
              <w:rPr>
                <w:rFonts w:ascii="Calibri" w:hAnsi="Calibri"/>
                <w:szCs w:val="22"/>
              </w:rPr>
              <w:t>pedestrian/bridleway/</w:t>
            </w:r>
            <w:r w:rsidR="0076591E">
              <w:rPr>
                <w:rFonts w:ascii="Calibri" w:hAnsi="Calibri"/>
                <w:szCs w:val="22"/>
              </w:rPr>
              <w:t xml:space="preserve">road and rail bridges and </w:t>
            </w:r>
            <w:r w:rsidR="008F6B59">
              <w:rPr>
                <w:rFonts w:ascii="Calibri" w:hAnsi="Calibri"/>
                <w:szCs w:val="22"/>
              </w:rPr>
              <w:t>industrial chimneys</w:t>
            </w:r>
            <w:r w:rsidR="0076591E">
              <w:rPr>
                <w:rFonts w:ascii="Calibri" w:hAnsi="Calibri"/>
                <w:szCs w:val="22"/>
              </w:rPr>
              <w:t xml:space="preserve">. </w:t>
            </w:r>
            <w:r w:rsidR="008F6B59">
              <w:rPr>
                <w:rFonts w:ascii="Calibri" w:hAnsi="Calibri"/>
                <w:szCs w:val="22"/>
              </w:rPr>
              <w:t xml:space="preserve">The structures which are manufactured on site need to be stored on site before dispatch to the customer. </w:t>
            </w:r>
          </w:p>
          <w:p w14:paraId="1F56559B" w14:textId="77777777" w:rsidR="002C0C20" w:rsidRPr="002C0C20" w:rsidRDefault="002C0C20" w:rsidP="00454754">
            <w:pPr>
              <w:pStyle w:val="Header"/>
              <w:tabs>
                <w:tab w:val="clear" w:pos="4153"/>
                <w:tab w:val="clear" w:pos="8306"/>
              </w:tabs>
              <w:contextualSpacing/>
              <w:jc w:val="both"/>
              <w:rPr>
                <w:rFonts w:ascii="Calibri" w:hAnsi="Calibri"/>
                <w:szCs w:val="22"/>
              </w:rPr>
            </w:pPr>
          </w:p>
          <w:p w14:paraId="3FEA986D" w14:textId="1B558EE3" w:rsidR="005F7A80" w:rsidRDefault="002C0C20" w:rsidP="0076591E">
            <w:pPr>
              <w:pStyle w:val="Header"/>
              <w:contextualSpacing/>
              <w:jc w:val="both"/>
              <w:rPr>
                <w:rFonts w:ascii="Calibri" w:hAnsi="Calibri"/>
                <w:szCs w:val="22"/>
              </w:rPr>
            </w:pPr>
            <w:r w:rsidRPr="002C0C20">
              <w:rPr>
                <w:rFonts w:ascii="Calibri" w:hAnsi="Calibri"/>
                <w:szCs w:val="22"/>
              </w:rPr>
              <w:t xml:space="preserve">The site is separated from </w:t>
            </w:r>
            <w:r w:rsidR="00815504">
              <w:rPr>
                <w:rFonts w:ascii="Calibri" w:hAnsi="Calibri"/>
                <w:szCs w:val="22"/>
              </w:rPr>
              <w:t xml:space="preserve">existing </w:t>
            </w:r>
            <w:r w:rsidR="0076591E">
              <w:rPr>
                <w:rFonts w:ascii="Calibri" w:hAnsi="Calibri"/>
                <w:szCs w:val="22"/>
              </w:rPr>
              <w:t xml:space="preserve">residential properties on </w:t>
            </w:r>
            <w:r w:rsidR="00815504">
              <w:rPr>
                <w:rFonts w:ascii="Calibri" w:hAnsi="Calibri"/>
                <w:szCs w:val="22"/>
              </w:rPr>
              <w:t xml:space="preserve">Longworth Road </w:t>
            </w:r>
            <w:r w:rsidR="0076591E">
              <w:rPr>
                <w:rFonts w:ascii="Calibri" w:hAnsi="Calibri"/>
                <w:szCs w:val="22"/>
              </w:rPr>
              <w:t>by an existing wall and leylandii trees which are proposed to be replaced by the outstanding application listed above</w:t>
            </w:r>
            <w:r w:rsidR="00B85F63">
              <w:rPr>
                <w:rFonts w:ascii="Calibri" w:hAnsi="Calibri"/>
                <w:szCs w:val="22"/>
              </w:rPr>
              <w:t>.</w:t>
            </w:r>
          </w:p>
          <w:p w14:paraId="0368F06F" w14:textId="77777777" w:rsidR="00B85F63" w:rsidRDefault="00B85F63" w:rsidP="0076591E">
            <w:pPr>
              <w:pStyle w:val="Header"/>
              <w:contextualSpacing/>
              <w:jc w:val="both"/>
              <w:rPr>
                <w:rFonts w:ascii="Calibri" w:hAnsi="Calibri"/>
                <w:szCs w:val="22"/>
              </w:rPr>
            </w:pPr>
          </w:p>
          <w:p w14:paraId="0844C148" w14:textId="21DCED10" w:rsidR="00B85F63" w:rsidRDefault="00B85F63" w:rsidP="0076591E">
            <w:pPr>
              <w:pStyle w:val="Header"/>
              <w:contextualSpacing/>
              <w:jc w:val="both"/>
              <w:rPr>
                <w:rFonts w:ascii="Calibri" w:hAnsi="Calibri"/>
                <w:szCs w:val="22"/>
              </w:rPr>
            </w:pPr>
            <w:proofErr w:type="gramStart"/>
            <w:r>
              <w:rPr>
                <w:rFonts w:ascii="Calibri" w:hAnsi="Calibri"/>
                <w:szCs w:val="22"/>
              </w:rPr>
              <w:lastRenderedPageBreak/>
              <w:t xml:space="preserve">The </w:t>
            </w:r>
            <w:r w:rsidR="00A60797">
              <w:rPr>
                <w:rFonts w:ascii="Calibri" w:hAnsi="Calibri"/>
                <w:szCs w:val="22"/>
              </w:rPr>
              <w:t>majority of</w:t>
            </w:r>
            <w:proofErr w:type="gramEnd"/>
            <w:r w:rsidR="00A60797">
              <w:rPr>
                <w:rFonts w:ascii="Calibri" w:hAnsi="Calibri"/>
                <w:szCs w:val="22"/>
              </w:rPr>
              <w:t xml:space="preserve"> the existing </w:t>
            </w:r>
            <w:r>
              <w:rPr>
                <w:rFonts w:ascii="Calibri" w:hAnsi="Calibri"/>
                <w:szCs w:val="22"/>
              </w:rPr>
              <w:t xml:space="preserve">site is within </w:t>
            </w:r>
            <w:r w:rsidR="00A60797">
              <w:rPr>
                <w:rFonts w:ascii="Calibri" w:hAnsi="Calibri"/>
                <w:szCs w:val="22"/>
              </w:rPr>
              <w:t xml:space="preserve">the settlement with the running along the western elevation of the building with the land to the west within </w:t>
            </w:r>
            <w:r>
              <w:rPr>
                <w:rFonts w:ascii="Calibri" w:hAnsi="Calibri"/>
                <w:szCs w:val="22"/>
              </w:rPr>
              <w:t>Open Countryside</w:t>
            </w:r>
            <w:r w:rsidR="00A60797">
              <w:rPr>
                <w:rFonts w:ascii="Calibri" w:hAnsi="Calibri"/>
                <w:szCs w:val="22"/>
              </w:rPr>
              <w:t>. The site also</w:t>
            </w:r>
            <w:r>
              <w:rPr>
                <w:rFonts w:ascii="Calibri" w:hAnsi="Calibri"/>
                <w:szCs w:val="22"/>
              </w:rPr>
              <w:t xml:space="preserve"> lies within Flood Zone 2 and 3.</w:t>
            </w:r>
          </w:p>
          <w:p w14:paraId="6079F333" w14:textId="77777777" w:rsidR="0014200A" w:rsidRDefault="0014200A" w:rsidP="0076591E">
            <w:pPr>
              <w:pStyle w:val="Header"/>
              <w:contextualSpacing/>
              <w:jc w:val="both"/>
              <w:rPr>
                <w:rFonts w:ascii="Calibri" w:hAnsi="Calibri"/>
                <w:szCs w:val="22"/>
              </w:rPr>
            </w:pPr>
          </w:p>
          <w:p w14:paraId="1466F64B" w14:textId="61531C8D" w:rsidR="0014200A" w:rsidRDefault="0014200A" w:rsidP="0076591E">
            <w:pPr>
              <w:pStyle w:val="Header"/>
              <w:contextualSpacing/>
              <w:jc w:val="both"/>
              <w:rPr>
                <w:rFonts w:ascii="Calibri" w:hAnsi="Calibri"/>
                <w:szCs w:val="22"/>
              </w:rPr>
            </w:pPr>
            <w:r>
              <w:rPr>
                <w:rFonts w:ascii="Calibri" w:hAnsi="Calibri"/>
                <w:szCs w:val="22"/>
              </w:rPr>
              <w:t>The extension would project just under 95m for the full 125m width of the site.</w:t>
            </w:r>
          </w:p>
          <w:p w14:paraId="4E1ED484" w14:textId="589BA4CB" w:rsidR="0076591E" w:rsidRPr="002C0C20" w:rsidRDefault="0076591E" w:rsidP="0076591E">
            <w:pPr>
              <w:pStyle w:val="Header"/>
              <w:contextualSpacing/>
              <w:jc w:val="both"/>
              <w:rPr>
                <w:rFonts w:ascii="Calibri" w:hAnsi="Calibri"/>
                <w:szCs w:val="22"/>
              </w:rPr>
            </w:pPr>
          </w:p>
        </w:tc>
      </w:tr>
      <w:tr w:rsidR="008C75E4" w:rsidRPr="008C75E4" w14:paraId="14819079" w14:textId="77777777" w:rsidTr="003257F0">
        <w:trPr>
          <w:trHeight w:val="1152"/>
          <w:jc w:val="center"/>
        </w:trPr>
        <w:tc>
          <w:tcPr>
            <w:tcW w:w="9968" w:type="dxa"/>
            <w:gridSpan w:val="13"/>
            <w:tcMar>
              <w:top w:w="57" w:type="dxa"/>
              <w:bottom w:w="57" w:type="dxa"/>
            </w:tcMar>
          </w:tcPr>
          <w:p w14:paraId="13B0F25E"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38640CBB" w14:textId="77777777" w:rsidR="004A2E05" w:rsidRDefault="004A2E05" w:rsidP="00454754">
            <w:pPr>
              <w:pStyle w:val="Header"/>
              <w:tabs>
                <w:tab w:val="clear" w:pos="4153"/>
                <w:tab w:val="clear" w:pos="8306"/>
              </w:tabs>
              <w:jc w:val="both"/>
              <w:rPr>
                <w:rFonts w:ascii="Calibri" w:hAnsi="Calibri"/>
                <w:szCs w:val="22"/>
              </w:rPr>
            </w:pPr>
          </w:p>
          <w:p w14:paraId="1E0BD4B2" w14:textId="57F04CFA" w:rsidR="00454754" w:rsidRDefault="002C0C20"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consent for the construction of a </w:t>
            </w:r>
            <w:r w:rsidR="00B85F63">
              <w:rPr>
                <w:rFonts w:ascii="Calibri" w:hAnsi="Calibri"/>
                <w:szCs w:val="22"/>
              </w:rPr>
              <w:t xml:space="preserve">new 101 space car park and storage yard to the </w:t>
            </w:r>
            <w:r w:rsidR="00F02049">
              <w:rPr>
                <w:rFonts w:ascii="Calibri" w:hAnsi="Calibri"/>
                <w:szCs w:val="22"/>
              </w:rPr>
              <w:t xml:space="preserve">west of the site </w:t>
            </w:r>
            <w:r w:rsidR="00341B07">
              <w:rPr>
                <w:rFonts w:ascii="Calibri" w:hAnsi="Calibri"/>
                <w:szCs w:val="22"/>
              </w:rPr>
              <w:t xml:space="preserve">which </w:t>
            </w:r>
            <w:r>
              <w:rPr>
                <w:rFonts w:ascii="Calibri" w:hAnsi="Calibri"/>
                <w:szCs w:val="22"/>
              </w:rPr>
              <w:t>measur</w:t>
            </w:r>
            <w:r w:rsidR="00341B07">
              <w:rPr>
                <w:rFonts w:ascii="Calibri" w:hAnsi="Calibri"/>
                <w:szCs w:val="22"/>
              </w:rPr>
              <w:t>es</w:t>
            </w:r>
            <w:r>
              <w:rPr>
                <w:rFonts w:ascii="Calibri" w:hAnsi="Calibri"/>
                <w:szCs w:val="22"/>
              </w:rPr>
              <w:t xml:space="preserve"> </w:t>
            </w:r>
            <w:r w:rsidR="00341B07">
              <w:rPr>
                <w:rFonts w:ascii="Calibri" w:hAnsi="Calibri"/>
                <w:szCs w:val="22"/>
              </w:rPr>
              <w:t>2.2 hectares</w:t>
            </w:r>
            <w:r w:rsidR="004A2E05">
              <w:rPr>
                <w:rFonts w:ascii="Calibri" w:hAnsi="Calibri"/>
                <w:szCs w:val="22"/>
              </w:rPr>
              <w:t xml:space="preserve"> </w:t>
            </w:r>
            <w:r>
              <w:rPr>
                <w:rFonts w:ascii="Calibri" w:hAnsi="Calibri"/>
                <w:szCs w:val="22"/>
              </w:rPr>
              <w:t xml:space="preserve">for B2 general industrial use with associated </w:t>
            </w:r>
            <w:r w:rsidR="004A2E05">
              <w:rPr>
                <w:rFonts w:ascii="Calibri" w:hAnsi="Calibri"/>
                <w:szCs w:val="22"/>
              </w:rPr>
              <w:t xml:space="preserve">parking and </w:t>
            </w:r>
            <w:r>
              <w:rPr>
                <w:rFonts w:ascii="Calibri" w:hAnsi="Calibri"/>
                <w:szCs w:val="22"/>
              </w:rPr>
              <w:t>landscaping</w:t>
            </w:r>
            <w:r w:rsidR="004A2E05">
              <w:rPr>
                <w:rFonts w:ascii="Calibri" w:hAnsi="Calibri"/>
                <w:szCs w:val="22"/>
              </w:rPr>
              <w:t xml:space="preserve"> </w:t>
            </w:r>
            <w:r w:rsidR="00341B07">
              <w:rPr>
                <w:rFonts w:ascii="Calibri" w:hAnsi="Calibri"/>
                <w:szCs w:val="22"/>
              </w:rPr>
              <w:t xml:space="preserve">with the proposal </w:t>
            </w:r>
            <w:r w:rsidR="00A60797">
              <w:rPr>
                <w:rFonts w:ascii="Calibri" w:hAnsi="Calibri"/>
                <w:szCs w:val="22"/>
              </w:rPr>
              <w:t>allowing for</w:t>
            </w:r>
            <w:r w:rsidR="004A2E05">
              <w:rPr>
                <w:rFonts w:ascii="Calibri" w:hAnsi="Calibri"/>
                <w:szCs w:val="22"/>
              </w:rPr>
              <w:t xml:space="preserve"> </w:t>
            </w:r>
            <w:r>
              <w:rPr>
                <w:rFonts w:ascii="Calibri" w:hAnsi="Calibri"/>
                <w:szCs w:val="22"/>
              </w:rPr>
              <w:t xml:space="preserve">the expansion of </w:t>
            </w:r>
            <w:r w:rsidR="00F02049">
              <w:rPr>
                <w:rFonts w:ascii="Calibri" w:hAnsi="Calibri"/>
                <w:szCs w:val="22"/>
              </w:rPr>
              <w:t xml:space="preserve">storage </w:t>
            </w:r>
            <w:r>
              <w:rPr>
                <w:rFonts w:ascii="Calibri" w:hAnsi="Calibri"/>
                <w:szCs w:val="22"/>
              </w:rPr>
              <w:t>facilities at the site</w:t>
            </w:r>
            <w:r w:rsidR="00341B07">
              <w:rPr>
                <w:rFonts w:ascii="Calibri" w:hAnsi="Calibri"/>
                <w:szCs w:val="22"/>
              </w:rPr>
              <w:t xml:space="preserve"> of 0.99 hectares.</w:t>
            </w:r>
          </w:p>
          <w:p w14:paraId="784DE36C" w14:textId="77777777" w:rsidR="00F02049" w:rsidRDefault="00F02049" w:rsidP="00454754">
            <w:pPr>
              <w:pStyle w:val="Header"/>
              <w:tabs>
                <w:tab w:val="clear" w:pos="4153"/>
                <w:tab w:val="clear" w:pos="8306"/>
              </w:tabs>
              <w:jc w:val="both"/>
              <w:rPr>
                <w:rFonts w:ascii="Calibri" w:hAnsi="Calibri"/>
                <w:szCs w:val="22"/>
              </w:rPr>
            </w:pPr>
          </w:p>
          <w:p w14:paraId="1D3EDF20" w14:textId="007CC8CA" w:rsidR="00F02049" w:rsidRDefault="00F02049" w:rsidP="00454754">
            <w:pPr>
              <w:pStyle w:val="Header"/>
              <w:tabs>
                <w:tab w:val="clear" w:pos="4153"/>
                <w:tab w:val="clear" w:pos="8306"/>
              </w:tabs>
              <w:jc w:val="both"/>
              <w:rPr>
                <w:rFonts w:ascii="Calibri" w:hAnsi="Calibri"/>
                <w:szCs w:val="22"/>
              </w:rPr>
            </w:pPr>
            <w:r>
              <w:rPr>
                <w:rFonts w:ascii="Calibri" w:hAnsi="Calibri"/>
                <w:szCs w:val="22"/>
              </w:rPr>
              <w:t xml:space="preserve">The existing </w:t>
            </w:r>
            <w:r w:rsidR="00341B07">
              <w:rPr>
                <w:rFonts w:ascii="Calibri" w:hAnsi="Calibri"/>
                <w:szCs w:val="22"/>
              </w:rPr>
              <w:t>site comprises a range of buildings with hard surfacing utilised for outside storage areas, vehicle parking and circulation space. The built</w:t>
            </w:r>
            <w:r>
              <w:rPr>
                <w:rFonts w:ascii="Calibri" w:hAnsi="Calibri"/>
                <w:szCs w:val="22"/>
              </w:rPr>
              <w:t xml:space="preserve"> form and </w:t>
            </w:r>
            <w:r w:rsidR="00341B07">
              <w:rPr>
                <w:rFonts w:ascii="Calibri" w:hAnsi="Calibri"/>
                <w:szCs w:val="22"/>
              </w:rPr>
              <w:t xml:space="preserve">site </w:t>
            </w:r>
            <w:r>
              <w:rPr>
                <w:rFonts w:ascii="Calibri" w:hAnsi="Calibri"/>
                <w:szCs w:val="22"/>
              </w:rPr>
              <w:t xml:space="preserve">access </w:t>
            </w:r>
            <w:r w:rsidR="00341B07">
              <w:rPr>
                <w:rFonts w:ascii="Calibri" w:hAnsi="Calibri"/>
                <w:szCs w:val="22"/>
              </w:rPr>
              <w:t xml:space="preserve">to the east, south and north </w:t>
            </w:r>
            <w:r>
              <w:rPr>
                <w:rFonts w:ascii="Calibri" w:hAnsi="Calibri"/>
                <w:szCs w:val="22"/>
              </w:rPr>
              <w:t xml:space="preserve">lies within the settlement boundary whilst the remainder of the site to the immediate west of the building is within open countryside.   To the immediate north of the site is the River </w:t>
            </w:r>
            <w:r w:rsidR="00341B07">
              <w:rPr>
                <w:rFonts w:ascii="Calibri" w:hAnsi="Calibri"/>
                <w:szCs w:val="22"/>
              </w:rPr>
              <w:t>Calder</w:t>
            </w:r>
            <w:r>
              <w:rPr>
                <w:rFonts w:ascii="Calibri" w:hAnsi="Calibri"/>
                <w:szCs w:val="22"/>
              </w:rPr>
              <w:t>.</w:t>
            </w:r>
            <w:r w:rsidR="00341B07">
              <w:rPr>
                <w:rFonts w:ascii="Calibri" w:hAnsi="Calibri"/>
                <w:szCs w:val="22"/>
              </w:rPr>
              <w:t xml:space="preserve"> The Grade II Listed railway viaduct lies to the east.</w:t>
            </w:r>
          </w:p>
          <w:p w14:paraId="159999D2" w14:textId="77777777" w:rsidR="00341B07" w:rsidRDefault="00341B07" w:rsidP="00454754">
            <w:pPr>
              <w:pStyle w:val="Header"/>
              <w:tabs>
                <w:tab w:val="clear" w:pos="4153"/>
                <w:tab w:val="clear" w:pos="8306"/>
              </w:tabs>
              <w:jc w:val="both"/>
              <w:rPr>
                <w:rFonts w:ascii="Calibri" w:hAnsi="Calibri"/>
                <w:szCs w:val="22"/>
              </w:rPr>
            </w:pPr>
          </w:p>
          <w:p w14:paraId="0C3144DA" w14:textId="5EA57958" w:rsidR="00341B07" w:rsidRDefault="00341B07" w:rsidP="00454754">
            <w:pPr>
              <w:pStyle w:val="Header"/>
              <w:tabs>
                <w:tab w:val="clear" w:pos="4153"/>
                <w:tab w:val="clear" w:pos="8306"/>
              </w:tabs>
              <w:jc w:val="both"/>
              <w:rPr>
                <w:rFonts w:ascii="Calibri" w:hAnsi="Calibri"/>
                <w:szCs w:val="22"/>
              </w:rPr>
            </w:pPr>
            <w:r>
              <w:rPr>
                <w:rFonts w:ascii="Calibri" w:hAnsi="Calibri"/>
                <w:szCs w:val="22"/>
              </w:rPr>
              <w:t>The field to the west extends up to the A59, the application site is within this field.</w:t>
            </w:r>
          </w:p>
          <w:p w14:paraId="14ECDDB5" w14:textId="77777777" w:rsidR="00341B07" w:rsidRDefault="00341B07" w:rsidP="00454754">
            <w:pPr>
              <w:pStyle w:val="Header"/>
              <w:tabs>
                <w:tab w:val="clear" w:pos="4153"/>
                <w:tab w:val="clear" w:pos="8306"/>
              </w:tabs>
              <w:jc w:val="both"/>
              <w:rPr>
                <w:rFonts w:ascii="Calibri" w:hAnsi="Calibri"/>
                <w:szCs w:val="22"/>
              </w:rPr>
            </w:pPr>
          </w:p>
          <w:p w14:paraId="12946E83" w14:textId="416647C8" w:rsidR="00341B07" w:rsidRDefault="00341B07" w:rsidP="00454754">
            <w:pPr>
              <w:pStyle w:val="Header"/>
              <w:tabs>
                <w:tab w:val="clear" w:pos="4153"/>
                <w:tab w:val="clear" w:pos="8306"/>
              </w:tabs>
              <w:jc w:val="both"/>
              <w:rPr>
                <w:rFonts w:ascii="Calibri" w:hAnsi="Calibri"/>
                <w:szCs w:val="22"/>
              </w:rPr>
            </w:pPr>
            <w:r>
              <w:rPr>
                <w:rFonts w:ascii="Calibri" w:hAnsi="Calibri"/>
                <w:szCs w:val="22"/>
              </w:rPr>
              <w:t>Public Footpath 3-6FP43 passes along the eastern boundary on the site.</w:t>
            </w:r>
          </w:p>
          <w:p w14:paraId="4E73AF90" w14:textId="77777777" w:rsidR="0014200A" w:rsidRDefault="0014200A" w:rsidP="00454754">
            <w:pPr>
              <w:pStyle w:val="Header"/>
              <w:tabs>
                <w:tab w:val="clear" w:pos="4153"/>
                <w:tab w:val="clear" w:pos="8306"/>
              </w:tabs>
              <w:jc w:val="both"/>
              <w:rPr>
                <w:rFonts w:ascii="Calibri" w:hAnsi="Calibri"/>
                <w:szCs w:val="22"/>
              </w:rPr>
            </w:pPr>
          </w:p>
          <w:p w14:paraId="27FDE3AA" w14:textId="002E7320" w:rsidR="0014200A" w:rsidRDefault="0014200A" w:rsidP="00454754">
            <w:pPr>
              <w:pStyle w:val="Header"/>
              <w:tabs>
                <w:tab w:val="clear" w:pos="4153"/>
                <w:tab w:val="clear" w:pos="8306"/>
              </w:tabs>
              <w:jc w:val="both"/>
              <w:rPr>
                <w:rFonts w:ascii="Calibri" w:hAnsi="Calibri"/>
                <w:szCs w:val="22"/>
              </w:rPr>
            </w:pPr>
            <w:r>
              <w:rPr>
                <w:rFonts w:ascii="Calibri" w:hAnsi="Calibri"/>
                <w:szCs w:val="22"/>
              </w:rPr>
              <w:t xml:space="preserve">The proposed car park would be sited to the southwest of the site and project 75m containing 101 car parking spaces adjacent to this would be the storage area with permeable finish.  The two HGV loading bays would be along the western elevation of the existing building. To the eastern side would be an HGV holding area and four visitor parking spaces.  Around the perimeter of the building would be a formalised one-way vehicular access together with pedestrian footpath links. </w:t>
            </w:r>
          </w:p>
          <w:p w14:paraId="064EB4FA" w14:textId="65D85C91" w:rsidR="004A2E05" w:rsidRPr="00F012FA" w:rsidRDefault="004A2E05" w:rsidP="00454754">
            <w:pPr>
              <w:pStyle w:val="Header"/>
              <w:tabs>
                <w:tab w:val="clear" w:pos="4153"/>
                <w:tab w:val="clear" w:pos="8306"/>
              </w:tabs>
              <w:jc w:val="both"/>
              <w:rPr>
                <w:rFonts w:ascii="Calibri" w:hAnsi="Calibri"/>
                <w:szCs w:val="22"/>
              </w:rPr>
            </w:pPr>
          </w:p>
        </w:tc>
      </w:tr>
      <w:tr w:rsidR="00C214A6" w:rsidRPr="008C75E4" w14:paraId="70081992" w14:textId="77777777" w:rsidTr="003257F0">
        <w:trPr>
          <w:trHeight w:val="864"/>
          <w:jc w:val="center"/>
        </w:trPr>
        <w:tc>
          <w:tcPr>
            <w:tcW w:w="9968" w:type="dxa"/>
            <w:gridSpan w:val="13"/>
            <w:tcMar>
              <w:top w:w="57" w:type="dxa"/>
              <w:bottom w:w="57" w:type="dxa"/>
            </w:tcMar>
          </w:tcPr>
          <w:p w14:paraId="49902788" w14:textId="77777777" w:rsid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312E1281" w14:textId="77777777" w:rsidR="004A2E05" w:rsidRPr="006D7624" w:rsidRDefault="004A2E05" w:rsidP="006D7624">
            <w:pPr>
              <w:pStyle w:val="Header"/>
              <w:jc w:val="both"/>
              <w:rPr>
                <w:rFonts w:ascii="Calibri" w:hAnsi="Calibri"/>
                <w:b/>
                <w:szCs w:val="22"/>
              </w:rPr>
            </w:pPr>
          </w:p>
          <w:p w14:paraId="4E127472" w14:textId="413C9F14" w:rsidR="00D102D9" w:rsidRDefault="002842FC" w:rsidP="00454754">
            <w:pPr>
              <w:pStyle w:val="Header"/>
              <w:tabs>
                <w:tab w:val="clear" w:pos="4153"/>
                <w:tab w:val="clear" w:pos="8306"/>
              </w:tabs>
              <w:jc w:val="both"/>
              <w:rPr>
                <w:rFonts w:ascii="Calibri" w:hAnsi="Calibri"/>
                <w:szCs w:val="22"/>
              </w:rPr>
            </w:pPr>
            <w:r>
              <w:rPr>
                <w:rFonts w:ascii="Calibri" w:hAnsi="Calibri"/>
                <w:szCs w:val="22"/>
              </w:rPr>
              <w:t xml:space="preserve">The </w:t>
            </w:r>
            <w:r w:rsidR="004A2E05">
              <w:rPr>
                <w:rFonts w:ascii="Calibri" w:hAnsi="Calibri"/>
                <w:szCs w:val="22"/>
              </w:rPr>
              <w:t xml:space="preserve">proposed </w:t>
            </w:r>
            <w:r w:rsidR="00F02049">
              <w:rPr>
                <w:rFonts w:ascii="Calibri" w:hAnsi="Calibri"/>
                <w:szCs w:val="22"/>
              </w:rPr>
              <w:t xml:space="preserve">external storage area and revised car parking layout </w:t>
            </w:r>
            <w:r>
              <w:rPr>
                <w:rFonts w:ascii="Calibri" w:hAnsi="Calibri"/>
                <w:szCs w:val="22"/>
              </w:rPr>
              <w:t xml:space="preserve">will allow the business to expand by creating an </w:t>
            </w:r>
            <w:r w:rsidR="00F02049">
              <w:rPr>
                <w:rFonts w:ascii="Calibri" w:hAnsi="Calibri"/>
                <w:szCs w:val="22"/>
              </w:rPr>
              <w:t xml:space="preserve">additional storage area </w:t>
            </w:r>
            <w:r>
              <w:rPr>
                <w:rFonts w:ascii="Calibri" w:hAnsi="Calibri"/>
                <w:szCs w:val="22"/>
              </w:rPr>
              <w:t xml:space="preserve">within the site. </w:t>
            </w:r>
            <w:r w:rsidR="006B011D">
              <w:rPr>
                <w:rFonts w:ascii="Calibri" w:hAnsi="Calibri"/>
                <w:szCs w:val="22"/>
              </w:rPr>
              <w:t>All the built form would remain within the settlement boundary with the existing storage to the west extending further into the fields and open countryside.</w:t>
            </w:r>
          </w:p>
          <w:p w14:paraId="350A15A7" w14:textId="77777777" w:rsidR="009E466E" w:rsidRDefault="009E466E" w:rsidP="00454754">
            <w:pPr>
              <w:pStyle w:val="Header"/>
              <w:tabs>
                <w:tab w:val="clear" w:pos="4153"/>
                <w:tab w:val="clear" w:pos="8306"/>
              </w:tabs>
              <w:jc w:val="both"/>
              <w:rPr>
                <w:rFonts w:ascii="Calibri" w:hAnsi="Calibri"/>
                <w:szCs w:val="22"/>
              </w:rPr>
            </w:pPr>
          </w:p>
          <w:p w14:paraId="7B719808" w14:textId="57573C41" w:rsidR="006B011D" w:rsidRDefault="006B011D" w:rsidP="00454754">
            <w:pPr>
              <w:pStyle w:val="Header"/>
              <w:tabs>
                <w:tab w:val="clear" w:pos="4153"/>
                <w:tab w:val="clear" w:pos="8306"/>
              </w:tabs>
              <w:jc w:val="both"/>
              <w:rPr>
                <w:rFonts w:ascii="Calibri" w:hAnsi="Calibri"/>
                <w:szCs w:val="22"/>
              </w:rPr>
            </w:pPr>
            <w:r>
              <w:rPr>
                <w:rFonts w:ascii="Calibri" w:hAnsi="Calibri"/>
                <w:szCs w:val="22"/>
              </w:rPr>
              <w:t>Moving the car park enables a dedicated HGV route around the site and separate traffic from storage areas.</w:t>
            </w:r>
            <w:r w:rsidR="00D23E08">
              <w:rPr>
                <w:rFonts w:ascii="Calibri" w:hAnsi="Calibri"/>
                <w:szCs w:val="22"/>
              </w:rPr>
              <w:t xml:space="preserve"> Two HGV loading bays and a holding area will be created. The Planning Statement states that the proposals will improve working efficiency, handle HGV movements more effectively and separate out activities to improve site safety, all of which are necessary to sustain the business and allow it to remain in the Ribble Valley.</w:t>
            </w:r>
            <w:r>
              <w:rPr>
                <w:rFonts w:ascii="Calibri" w:hAnsi="Calibri"/>
                <w:szCs w:val="22"/>
              </w:rPr>
              <w:t xml:space="preserve">  </w:t>
            </w:r>
          </w:p>
          <w:p w14:paraId="5640E469" w14:textId="77777777" w:rsidR="003D30DC" w:rsidRDefault="003D30DC" w:rsidP="00454754">
            <w:pPr>
              <w:pStyle w:val="Header"/>
              <w:tabs>
                <w:tab w:val="clear" w:pos="4153"/>
                <w:tab w:val="clear" w:pos="8306"/>
              </w:tabs>
              <w:jc w:val="both"/>
              <w:rPr>
                <w:rFonts w:ascii="Calibri" w:hAnsi="Calibri"/>
                <w:szCs w:val="22"/>
              </w:rPr>
            </w:pPr>
          </w:p>
          <w:p w14:paraId="72F9BE7A" w14:textId="61E97414" w:rsidR="009B567F" w:rsidRDefault="003D30DC" w:rsidP="00454754">
            <w:pPr>
              <w:pStyle w:val="Header"/>
              <w:tabs>
                <w:tab w:val="clear" w:pos="4153"/>
                <w:tab w:val="clear" w:pos="8306"/>
              </w:tabs>
              <w:jc w:val="both"/>
              <w:rPr>
                <w:rFonts w:ascii="Calibri" w:hAnsi="Calibri"/>
                <w:szCs w:val="22"/>
              </w:rPr>
            </w:pPr>
            <w:r>
              <w:rPr>
                <w:rFonts w:ascii="Calibri" w:hAnsi="Calibri"/>
                <w:szCs w:val="22"/>
              </w:rPr>
              <w:t>Core Strategy policies EC</w:t>
            </w:r>
            <w:r w:rsidR="009B567F">
              <w:rPr>
                <w:rFonts w:ascii="Calibri" w:hAnsi="Calibri"/>
                <w:szCs w:val="22"/>
              </w:rPr>
              <w:t>1</w:t>
            </w:r>
            <w:r>
              <w:rPr>
                <w:rFonts w:ascii="Calibri" w:hAnsi="Calibri"/>
                <w:szCs w:val="22"/>
              </w:rPr>
              <w:t xml:space="preserve"> </w:t>
            </w:r>
            <w:r w:rsidR="00CC2D6D">
              <w:rPr>
                <w:rFonts w:ascii="Calibri" w:hAnsi="Calibri"/>
                <w:szCs w:val="22"/>
              </w:rPr>
              <w:t>support th</w:t>
            </w:r>
            <w:r w:rsidR="009B567F">
              <w:rPr>
                <w:rFonts w:ascii="Calibri" w:hAnsi="Calibri"/>
                <w:szCs w:val="22"/>
              </w:rPr>
              <w:t>e expansion of existing business where appropriate</w:t>
            </w:r>
            <w:r w:rsidR="00CC2D6D">
              <w:rPr>
                <w:rFonts w:ascii="Calibri" w:hAnsi="Calibri"/>
                <w:szCs w:val="22"/>
              </w:rPr>
              <w:t xml:space="preserve"> in terms of employment generation and economic growth. </w:t>
            </w:r>
            <w:r w:rsidR="009B567F">
              <w:rPr>
                <w:rFonts w:ascii="Calibri" w:hAnsi="Calibri"/>
                <w:szCs w:val="22"/>
              </w:rPr>
              <w:t xml:space="preserve">DMB1 supports expansion of existing firms on land outside the settlement where is it essential to maintain the existing source of employment and can be assimilated within the local landscape.  In this case the specialist nature of the </w:t>
            </w:r>
            <w:r w:rsidR="006A05DE">
              <w:rPr>
                <w:rFonts w:ascii="Calibri" w:hAnsi="Calibri"/>
                <w:szCs w:val="22"/>
              </w:rPr>
              <w:t xml:space="preserve">existing </w:t>
            </w:r>
            <w:r w:rsidR="00082075">
              <w:rPr>
                <w:rFonts w:ascii="Calibri" w:hAnsi="Calibri"/>
                <w:szCs w:val="22"/>
              </w:rPr>
              <w:t>business would be retained in terms of the built form on this industrial site with the expansion into the open countryside for storage use only.</w:t>
            </w:r>
          </w:p>
          <w:p w14:paraId="04B52EFB" w14:textId="77777777" w:rsidR="009B567F" w:rsidRDefault="009B567F" w:rsidP="00454754">
            <w:pPr>
              <w:pStyle w:val="Header"/>
              <w:tabs>
                <w:tab w:val="clear" w:pos="4153"/>
                <w:tab w:val="clear" w:pos="8306"/>
              </w:tabs>
              <w:jc w:val="both"/>
              <w:rPr>
                <w:rFonts w:ascii="Calibri" w:hAnsi="Calibri"/>
                <w:szCs w:val="22"/>
              </w:rPr>
            </w:pPr>
          </w:p>
          <w:p w14:paraId="3D7387C7" w14:textId="643677FA" w:rsidR="00082075" w:rsidRDefault="009B567F" w:rsidP="00454754">
            <w:pPr>
              <w:pStyle w:val="Header"/>
              <w:tabs>
                <w:tab w:val="clear" w:pos="4153"/>
                <w:tab w:val="clear" w:pos="8306"/>
              </w:tabs>
              <w:jc w:val="both"/>
              <w:rPr>
                <w:rFonts w:ascii="Calibri" w:hAnsi="Calibri"/>
                <w:szCs w:val="22"/>
              </w:rPr>
            </w:pPr>
            <w:r>
              <w:rPr>
                <w:rFonts w:ascii="Calibri" w:hAnsi="Calibri"/>
                <w:szCs w:val="22"/>
              </w:rPr>
              <w:t xml:space="preserve">The proposal </w:t>
            </w:r>
            <w:r w:rsidR="00082075">
              <w:rPr>
                <w:rFonts w:ascii="Calibri" w:hAnsi="Calibri"/>
                <w:szCs w:val="22"/>
              </w:rPr>
              <w:t>would accord</w:t>
            </w:r>
            <w:r w:rsidR="00CC2D6D">
              <w:rPr>
                <w:rFonts w:ascii="Calibri" w:hAnsi="Calibri"/>
                <w:szCs w:val="22"/>
              </w:rPr>
              <w:t xml:space="preserve"> with DS1 in terms of the spatial strategy for the borough</w:t>
            </w:r>
            <w:r w:rsidR="00082075">
              <w:rPr>
                <w:rFonts w:ascii="Calibri" w:hAnsi="Calibri"/>
                <w:szCs w:val="22"/>
              </w:rPr>
              <w:t xml:space="preserve"> </w:t>
            </w:r>
            <w:r w:rsidR="00D23E08">
              <w:rPr>
                <w:rFonts w:ascii="Calibri" w:hAnsi="Calibri"/>
                <w:szCs w:val="22"/>
              </w:rPr>
              <w:t xml:space="preserve">and </w:t>
            </w:r>
            <w:r w:rsidR="00082075">
              <w:rPr>
                <w:rFonts w:ascii="Calibri" w:hAnsi="Calibri"/>
                <w:szCs w:val="22"/>
              </w:rPr>
              <w:t xml:space="preserve">with DMG2 </w:t>
            </w:r>
            <w:r w:rsidR="00D23E08">
              <w:rPr>
                <w:rFonts w:ascii="Calibri" w:hAnsi="Calibri"/>
                <w:szCs w:val="22"/>
              </w:rPr>
              <w:t xml:space="preserve">which supports development proposals that are considered essential to the local economy. Policy DMG2 also </w:t>
            </w:r>
            <w:r w:rsidR="00082075">
              <w:rPr>
                <w:rFonts w:ascii="Calibri" w:hAnsi="Calibri"/>
                <w:szCs w:val="22"/>
              </w:rPr>
              <w:t>requir</w:t>
            </w:r>
            <w:r w:rsidR="00D23E08">
              <w:rPr>
                <w:rFonts w:ascii="Calibri" w:hAnsi="Calibri"/>
                <w:szCs w:val="22"/>
              </w:rPr>
              <w:t>es</w:t>
            </w:r>
            <w:r w:rsidR="00082075">
              <w:rPr>
                <w:rFonts w:ascii="Calibri" w:hAnsi="Calibri"/>
                <w:szCs w:val="22"/>
              </w:rPr>
              <w:t xml:space="preserve"> the development to be in keeping with the character of the landscape </w:t>
            </w:r>
            <w:proofErr w:type="gramStart"/>
            <w:r w:rsidR="00082075">
              <w:rPr>
                <w:rFonts w:ascii="Calibri" w:hAnsi="Calibri"/>
                <w:szCs w:val="22"/>
              </w:rPr>
              <w:t>with regard to</w:t>
            </w:r>
            <w:proofErr w:type="gramEnd"/>
            <w:r w:rsidR="00082075">
              <w:rPr>
                <w:rFonts w:ascii="Calibri" w:hAnsi="Calibri"/>
                <w:szCs w:val="22"/>
              </w:rPr>
              <w:t xml:space="preserve"> size, design, use of materials, landscaping and siting</w:t>
            </w:r>
            <w:r w:rsidR="00D23E08">
              <w:rPr>
                <w:rFonts w:ascii="Calibri" w:hAnsi="Calibri"/>
                <w:szCs w:val="22"/>
              </w:rPr>
              <w:t xml:space="preserve"> which will be considered in the Visual Amenity section</w:t>
            </w:r>
            <w:r w:rsidR="00082075">
              <w:rPr>
                <w:rFonts w:ascii="Calibri" w:hAnsi="Calibri"/>
                <w:szCs w:val="22"/>
              </w:rPr>
              <w:t>.</w:t>
            </w:r>
          </w:p>
          <w:p w14:paraId="0EE28E69" w14:textId="77777777" w:rsidR="00082075" w:rsidRDefault="00082075" w:rsidP="00454754">
            <w:pPr>
              <w:pStyle w:val="Header"/>
              <w:tabs>
                <w:tab w:val="clear" w:pos="4153"/>
                <w:tab w:val="clear" w:pos="8306"/>
              </w:tabs>
              <w:jc w:val="both"/>
              <w:rPr>
                <w:rFonts w:ascii="Calibri" w:hAnsi="Calibri"/>
                <w:szCs w:val="22"/>
              </w:rPr>
            </w:pPr>
          </w:p>
          <w:p w14:paraId="280425FF" w14:textId="142C9F28" w:rsidR="003D30DC" w:rsidRDefault="00CC2D6D" w:rsidP="00454754">
            <w:pPr>
              <w:pStyle w:val="Header"/>
              <w:tabs>
                <w:tab w:val="clear" w:pos="4153"/>
                <w:tab w:val="clear" w:pos="8306"/>
              </w:tabs>
              <w:jc w:val="both"/>
              <w:rPr>
                <w:rFonts w:ascii="Calibri" w:hAnsi="Calibri"/>
                <w:szCs w:val="22"/>
              </w:rPr>
            </w:pPr>
            <w:r>
              <w:rPr>
                <w:rFonts w:ascii="Calibri" w:hAnsi="Calibri"/>
                <w:szCs w:val="22"/>
              </w:rPr>
              <w:t>As such it is acceptable in principle subject to the material planning considerations</w:t>
            </w:r>
            <w:r w:rsidR="004A2E05">
              <w:rPr>
                <w:rFonts w:ascii="Calibri" w:hAnsi="Calibri"/>
                <w:szCs w:val="22"/>
              </w:rPr>
              <w:t xml:space="preserve"> below.</w:t>
            </w:r>
          </w:p>
          <w:p w14:paraId="12876A5C" w14:textId="77777777" w:rsidR="004A2E05" w:rsidRPr="006D7624" w:rsidRDefault="004A2E05" w:rsidP="00454754">
            <w:pPr>
              <w:pStyle w:val="Header"/>
              <w:tabs>
                <w:tab w:val="clear" w:pos="4153"/>
                <w:tab w:val="clear" w:pos="8306"/>
              </w:tabs>
              <w:jc w:val="both"/>
              <w:rPr>
                <w:rFonts w:ascii="Calibri" w:hAnsi="Calibri"/>
                <w:szCs w:val="22"/>
              </w:rPr>
            </w:pPr>
          </w:p>
        </w:tc>
      </w:tr>
      <w:tr w:rsidR="008C75E4" w:rsidRPr="008C75E4" w14:paraId="3E2A4A5A" w14:textId="77777777" w:rsidTr="003257F0">
        <w:trPr>
          <w:trHeight w:val="864"/>
          <w:jc w:val="center"/>
        </w:trPr>
        <w:tc>
          <w:tcPr>
            <w:tcW w:w="9968" w:type="dxa"/>
            <w:gridSpan w:val="13"/>
            <w:tcMar>
              <w:top w:w="57" w:type="dxa"/>
              <w:bottom w:w="57" w:type="dxa"/>
            </w:tcMar>
          </w:tcPr>
          <w:p w14:paraId="01C9E131"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42A3E953" w14:textId="77777777" w:rsidR="004A2E05" w:rsidRDefault="004A2E05" w:rsidP="006126D1">
            <w:pPr>
              <w:contextualSpacing/>
              <w:jc w:val="both"/>
              <w:rPr>
                <w:rFonts w:ascii="Calibri" w:hAnsi="Calibri"/>
                <w:b/>
                <w:szCs w:val="22"/>
              </w:rPr>
            </w:pPr>
          </w:p>
          <w:p w14:paraId="38D0BEB0" w14:textId="5D83F69B" w:rsidR="00C6456D" w:rsidRDefault="006A7130" w:rsidP="00454754">
            <w:pPr>
              <w:contextualSpacing/>
              <w:jc w:val="both"/>
              <w:rPr>
                <w:rFonts w:ascii="Calibri" w:hAnsi="Calibri"/>
                <w:szCs w:val="22"/>
              </w:rPr>
            </w:pPr>
            <w:r>
              <w:rPr>
                <w:rFonts w:ascii="Calibri" w:hAnsi="Calibri"/>
                <w:szCs w:val="22"/>
              </w:rPr>
              <w:t xml:space="preserve">The site lies </w:t>
            </w:r>
            <w:r w:rsidR="00647026">
              <w:rPr>
                <w:rFonts w:ascii="Calibri" w:hAnsi="Calibri"/>
                <w:szCs w:val="22"/>
              </w:rPr>
              <w:t>immediately</w:t>
            </w:r>
            <w:r w:rsidR="00F02049">
              <w:rPr>
                <w:rFonts w:ascii="Calibri" w:hAnsi="Calibri"/>
                <w:szCs w:val="22"/>
              </w:rPr>
              <w:t xml:space="preserve"> adjacent to residential properties on Longworth Road to the sout</w:t>
            </w:r>
            <w:r w:rsidR="00647026">
              <w:rPr>
                <w:rFonts w:ascii="Calibri" w:hAnsi="Calibri"/>
                <w:szCs w:val="22"/>
              </w:rPr>
              <w:t xml:space="preserve">h, however, this relationship will not change with the car parking element </w:t>
            </w:r>
            <w:r w:rsidR="00F21BFE">
              <w:rPr>
                <w:rFonts w:ascii="Calibri" w:hAnsi="Calibri"/>
                <w:szCs w:val="22"/>
              </w:rPr>
              <w:t xml:space="preserve">currently </w:t>
            </w:r>
            <w:r w:rsidR="00647026">
              <w:rPr>
                <w:rFonts w:ascii="Calibri" w:hAnsi="Calibri"/>
                <w:szCs w:val="22"/>
              </w:rPr>
              <w:t>sited in that area</w:t>
            </w:r>
            <w:r w:rsidR="00F21BFE">
              <w:rPr>
                <w:rFonts w:ascii="Calibri" w:hAnsi="Calibri"/>
                <w:szCs w:val="22"/>
              </w:rPr>
              <w:t xml:space="preserve"> being relocated and the </w:t>
            </w:r>
            <w:r w:rsidR="009B567F">
              <w:rPr>
                <w:rFonts w:ascii="Calibri" w:hAnsi="Calibri"/>
                <w:szCs w:val="22"/>
              </w:rPr>
              <w:t>one-way</w:t>
            </w:r>
            <w:r w:rsidR="00F21BFE">
              <w:rPr>
                <w:rFonts w:ascii="Calibri" w:hAnsi="Calibri"/>
                <w:szCs w:val="22"/>
              </w:rPr>
              <w:t xml:space="preserve"> vehicular systems being in place</w:t>
            </w:r>
            <w:r>
              <w:rPr>
                <w:rFonts w:ascii="Calibri" w:hAnsi="Calibri"/>
                <w:szCs w:val="22"/>
              </w:rPr>
              <w:t xml:space="preserve">. There is a belt of </w:t>
            </w:r>
            <w:r w:rsidR="00647026">
              <w:rPr>
                <w:rFonts w:ascii="Calibri" w:hAnsi="Calibri"/>
                <w:szCs w:val="22"/>
              </w:rPr>
              <w:t xml:space="preserve">leylandii </w:t>
            </w:r>
            <w:r>
              <w:rPr>
                <w:rFonts w:ascii="Calibri" w:hAnsi="Calibri"/>
                <w:szCs w:val="22"/>
              </w:rPr>
              <w:t xml:space="preserve">trees along the </w:t>
            </w:r>
            <w:r w:rsidR="00F21BFE">
              <w:rPr>
                <w:rFonts w:ascii="Calibri" w:hAnsi="Calibri"/>
                <w:szCs w:val="22"/>
              </w:rPr>
              <w:t xml:space="preserve">southern </w:t>
            </w:r>
            <w:r>
              <w:rPr>
                <w:rFonts w:ascii="Calibri" w:hAnsi="Calibri"/>
                <w:szCs w:val="22"/>
              </w:rPr>
              <w:t>boundary</w:t>
            </w:r>
            <w:r w:rsidR="00647026">
              <w:rPr>
                <w:rFonts w:ascii="Calibri" w:hAnsi="Calibri"/>
                <w:szCs w:val="22"/>
              </w:rPr>
              <w:t xml:space="preserve"> which have suffered from fire damage and</w:t>
            </w:r>
            <w:r w:rsidR="00F21BFE">
              <w:rPr>
                <w:rFonts w:ascii="Calibri" w:hAnsi="Calibri"/>
                <w:szCs w:val="22"/>
              </w:rPr>
              <w:t xml:space="preserve"> whilst </w:t>
            </w:r>
            <w:r w:rsidR="00647026">
              <w:rPr>
                <w:rFonts w:ascii="Calibri" w:hAnsi="Calibri"/>
                <w:szCs w:val="22"/>
              </w:rPr>
              <w:t xml:space="preserve">an appropriate solution to replace this </w:t>
            </w:r>
            <w:r w:rsidR="00F21BFE">
              <w:rPr>
                <w:rFonts w:ascii="Calibri" w:hAnsi="Calibri"/>
                <w:szCs w:val="22"/>
              </w:rPr>
              <w:t xml:space="preserve">has not yet been agreed, provided these remain in situ </w:t>
            </w:r>
            <w:r w:rsidR="00D23E08">
              <w:rPr>
                <w:rFonts w:ascii="Calibri" w:hAnsi="Calibri"/>
                <w:szCs w:val="22"/>
              </w:rPr>
              <w:t xml:space="preserve">until an alternative solution is agreed and comes forward, </w:t>
            </w:r>
            <w:r w:rsidR="00F21BFE">
              <w:rPr>
                <w:rFonts w:ascii="Calibri" w:hAnsi="Calibri"/>
                <w:szCs w:val="22"/>
              </w:rPr>
              <w:t xml:space="preserve">then the </w:t>
            </w:r>
            <w:r w:rsidR="00D23E08">
              <w:rPr>
                <w:rFonts w:ascii="Calibri" w:hAnsi="Calibri"/>
                <w:szCs w:val="22"/>
              </w:rPr>
              <w:t>proposed development</w:t>
            </w:r>
            <w:r w:rsidR="00F21BFE">
              <w:rPr>
                <w:rFonts w:ascii="Calibri" w:hAnsi="Calibri"/>
                <w:szCs w:val="22"/>
              </w:rPr>
              <w:t xml:space="preserve"> would not result in any additional concerns above that of the existing situation</w:t>
            </w:r>
            <w:r w:rsidR="00D23E08">
              <w:rPr>
                <w:rFonts w:ascii="Calibri" w:hAnsi="Calibri"/>
                <w:szCs w:val="22"/>
              </w:rPr>
              <w:t xml:space="preserve"> and the existing established employment use</w:t>
            </w:r>
            <w:r w:rsidR="00F21BFE">
              <w:rPr>
                <w:rFonts w:ascii="Calibri" w:hAnsi="Calibri"/>
                <w:szCs w:val="22"/>
              </w:rPr>
              <w:t xml:space="preserve">. </w:t>
            </w:r>
          </w:p>
          <w:p w14:paraId="317305BA" w14:textId="77777777" w:rsidR="00F21BFE" w:rsidRDefault="00F21BFE" w:rsidP="00454754">
            <w:pPr>
              <w:contextualSpacing/>
              <w:jc w:val="both"/>
              <w:rPr>
                <w:rFonts w:ascii="Calibri" w:hAnsi="Calibri"/>
                <w:szCs w:val="22"/>
              </w:rPr>
            </w:pPr>
          </w:p>
          <w:p w14:paraId="7C245DE9" w14:textId="3B21C93A" w:rsidR="00F21BFE" w:rsidRDefault="00D23E08" w:rsidP="00454754">
            <w:pPr>
              <w:contextualSpacing/>
              <w:jc w:val="both"/>
              <w:rPr>
                <w:rFonts w:ascii="Calibri" w:hAnsi="Calibri"/>
                <w:szCs w:val="22"/>
              </w:rPr>
            </w:pPr>
            <w:r>
              <w:rPr>
                <w:rFonts w:ascii="Calibri" w:hAnsi="Calibri"/>
                <w:szCs w:val="22"/>
              </w:rPr>
              <w:t xml:space="preserve">For the avoidance of doubt this application does not </w:t>
            </w:r>
            <w:r w:rsidR="00385119">
              <w:rPr>
                <w:rFonts w:ascii="Calibri" w:hAnsi="Calibri"/>
                <w:szCs w:val="22"/>
              </w:rPr>
              <w:t xml:space="preserve">proposed / </w:t>
            </w:r>
            <w:r>
              <w:rPr>
                <w:rFonts w:ascii="Calibri" w:hAnsi="Calibri"/>
                <w:szCs w:val="22"/>
              </w:rPr>
              <w:t>approve an alternative boundary treatment, however the applicant may decide to pursue this under the separate application that is pending, or a new application at a future date.</w:t>
            </w:r>
          </w:p>
          <w:p w14:paraId="3B302E05" w14:textId="77777777" w:rsidR="006A7130" w:rsidRDefault="006A7130" w:rsidP="00454754">
            <w:pPr>
              <w:contextualSpacing/>
              <w:jc w:val="both"/>
              <w:rPr>
                <w:rFonts w:ascii="Calibri" w:hAnsi="Calibri"/>
                <w:szCs w:val="22"/>
              </w:rPr>
            </w:pPr>
          </w:p>
          <w:p w14:paraId="791B62E6" w14:textId="2CE1EF1E" w:rsidR="00F21BFE" w:rsidRDefault="005F7A80" w:rsidP="00454754">
            <w:pPr>
              <w:contextualSpacing/>
              <w:jc w:val="both"/>
              <w:rPr>
                <w:rFonts w:ascii="Calibri" w:hAnsi="Calibri"/>
                <w:szCs w:val="22"/>
              </w:rPr>
            </w:pPr>
            <w:r>
              <w:rPr>
                <w:rFonts w:ascii="Calibri" w:hAnsi="Calibri"/>
                <w:szCs w:val="22"/>
              </w:rPr>
              <w:t xml:space="preserve">Provided the </w:t>
            </w:r>
            <w:r w:rsidR="00F21BFE">
              <w:rPr>
                <w:rFonts w:ascii="Calibri" w:hAnsi="Calibri"/>
                <w:szCs w:val="22"/>
              </w:rPr>
              <w:t xml:space="preserve">existing </w:t>
            </w:r>
            <w:r w:rsidR="00647026">
              <w:rPr>
                <w:rFonts w:ascii="Calibri" w:hAnsi="Calibri"/>
                <w:szCs w:val="22"/>
              </w:rPr>
              <w:t>s</w:t>
            </w:r>
            <w:r w:rsidR="0089023C">
              <w:rPr>
                <w:rFonts w:ascii="Calibri" w:hAnsi="Calibri"/>
                <w:szCs w:val="22"/>
              </w:rPr>
              <w:t xml:space="preserve">creening </w:t>
            </w:r>
            <w:r w:rsidR="00F21BFE">
              <w:rPr>
                <w:rFonts w:ascii="Calibri" w:hAnsi="Calibri"/>
                <w:szCs w:val="22"/>
              </w:rPr>
              <w:t xml:space="preserve">remains </w:t>
            </w:r>
            <w:r w:rsidR="0089023C">
              <w:rPr>
                <w:rFonts w:ascii="Calibri" w:hAnsi="Calibri"/>
                <w:szCs w:val="22"/>
              </w:rPr>
              <w:t xml:space="preserve">in place </w:t>
            </w:r>
            <w:r w:rsidR="00647026">
              <w:rPr>
                <w:rFonts w:ascii="Calibri" w:hAnsi="Calibri"/>
                <w:szCs w:val="22"/>
              </w:rPr>
              <w:t xml:space="preserve">along that southern boundary </w:t>
            </w:r>
            <w:r w:rsidR="00385119">
              <w:rPr>
                <w:rFonts w:ascii="Calibri" w:hAnsi="Calibri"/>
                <w:szCs w:val="22"/>
              </w:rPr>
              <w:t xml:space="preserve">until an alternative scheme is accepted </w:t>
            </w:r>
            <w:r w:rsidR="00647026">
              <w:rPr>
                <w:rFonts w:ascii="Calibri" w:hAnsi="Calibri"/>
                <w:szCs w:val="22"/>
              </w:rPr>
              <w:t xml:space="preserve">then </w:t>
            </w:r>
            <w:r w:rsidR="0089023C">
              <w:rPr>
                <w:rFonts w:ascii="Calibri" w:hAnsi="Calibri"/>
                <w:szCs w:val="22"/>
              </w:rPr>
              <w:t xml:space="preserve">there would be no </w:t>
            </w:r>
            <w:r w:rsidR="009B567F">
              <w:rPr>
                <w:rFonts w:ascii="Calibri" w:hAnsi="Calibri"/>
                <w:szCs w:val="22"/>
              </w:rPr>
              <w:t xml:space="preserve">undue </w:t>
            </w:r>
            <w:r w:rsidR="0089023C">
              <w:rPr>
                <w:rFonts w:ascii="Calibri" w:hAnsi="Calibri"/>
                <w:szCs w:val="22"/>
              </w:rPr>
              <w:t xml:space="preserve">issues raised </w:t>
            </w:r>
            <w:proofErr w:type="gramStart"/>
            <w:r w:rsidR="0089023C">
              <w:rPr>
                <w:rFonts w:ascii="Calibri" w:hAnsi="Calibri"/>
                <w:szCs w:val="22"/>
              </w:rPr>
              <w:t>with regard to</w:t>
            </w:r>
            <w:proofErr w:type="gramEnd"/>
            <w:r w:rsidR="0089023C">
              <w:rPr>
                <w:rFonts w:ascii="Calibri" w:hAnsi="Calibri"/>
                <w:szCs w:val="22"/>
              </w:rPr>
              <w:t xml:space="preserve"> </w:t>
            </w:r>
            <w:r w:rsidR="00647026">
              <w:rPr>
                <w:rFonts w:ascii="Calibri" w:hAnsi="Calibri"/>
                <w:szCs w:val="22"/>
              </w:rPr>
              <w:t xml:space="preserve">impact above that of the existing use.  </w:t>
            </w:r>
            <w:r w:rsidR="00F21BFE">
              <w:rPr>
                <w:rFonts w:ascii="Calibri" w:hAnsi="Calibri"/>
                <w:szCs w:val="22"/>
              </w:rPr>
              <w:t>This can be controlled by an appropriate condition.</w:t>
            </w:r>
          </w:p>
          <w:p w14:paraId="645579B0" w14:textId="77777777" w:rsidR="00F21BFE" w:rsidRPr="00D23470" w:rsidRDefault="00F21BFE" w:rsidP="00454754">
            <w:pPr>
              <w:contextualSpacing/>
              <w:jc w:val="both"/>
              <w:rPr>
                <w:rFonts w:ascii="Calibri" w:hAnsi="Calibri"/>
                <w:szCs w:val="22"/>
              </w:rPr>
            </w:pPr>
          </w:p>
        </w:tc>
      </w:tr>
      <w:tr w:rsidR="008C75E4" w:rsidRPr="008C75E4" w14:paraId="384BFEB2" w14:textId="77777777" w:rsidTr="003257F0">
        <w:trPr>
          <w:trHeight w:val="864"/>
          <w:jc w:val="center"/>
        </w:trPr>
        <w:tc>
          <w:tcPr>
            <w:tcW w:w="9968" w:type="dxa"/>
            <w:gridSpan w:val="13"/>
            <w:tcMar>
              <w:top w:w="57" w:type="dxa"/>
              <w:bottom w:w="57" w:type="dxa"/>
            </w:tcMar>
          </w:tcPr>
          <w:p w14:paraId="77732A5F" w14:textId="270274F2" w:rsidR="00C0704D" w:rsidRDefault="00DF42DA" w:rsidP="006126D1">
            <w:pPr>
              <w:contextualSpacing/>
              <w:jc w:val="both"/>
              <w:rPr>
                <w:rFonts w:ascii="Calibri" w:hAnsi="Calibri"/>
                <w:b/>
                <w:szCs w:val="22"/>
              </w:rPr>
            </w:pPr>
            <w:r w:rsidRPr="00DF42DA">
              <w:rPr>
                <w:rFonts w:ascii="Calibri" w:hAnsi="Calibri"/>
                <w:b/>
                <w:szCs w:val="22"/>
              </w:rPr>
              <w:t>Visual Amenity:</w:t>
            </w:r>
          </w:p>
          <w:p w14:paraId="30F490ED" w14:textId="77777777" w:rsidR="00082075" w:rsidRDefault="00082075" w:rsidP="00454754">
            <w:pPr>
              <w:contextualSpacing/>
              <w:jc w:val="both"/>
              <w:rPr>
                <w:rFonts w:ascii="Calibri" w:hAnsi="Calibri"/>
                <w:szCs w:val="22"/>
              </w:rPr>
            </w:pPr>
          </w:p>
          <w:p w14:paraId="182D69E3" w14:textId="15A48C95" w:rsidR="00C50517" w:rsidRDefault="00CC2D6D" w:rsidP="00454754">
            <w:pPr>
              <w:contextualSpacing/>
              <w:jc w:val="both"/>
              <w:rPr>
                <w:rFonts w:ascii="Calibri" w:hAnsi="Calibri"/>
                <w:szCs w:val="22"/>
              </w:rPr>
            </w:pPr>
            <w:r>
              <w:rPr>
                <w:rFonts w:ascii="Calibri" w:hAnsi="Calibri"/>
                <w:szCs w:val="22"/>
              </w:rPr>
              <w:t xml:space="preserve">The </w:t>
            </w:r>
            <w:r w:rsidR="00082075">
              <w:rPr>
                <w:rFonts w:ascii="Calibri" w:hAnsi="Calibri"/>
                <w:szCs w:val="22"/>
              </w:rPr>
              <w:t xml:space="preserve">extension into the field </w:t>
            </w:r>
            <w:r w:rsidR="00F21BFE">
              <w:rPr>
                <w:rFonts w:ascii="Calibri" w:hAnsi="Calibri"/>
                <w:szCs w:val="22"/>
              </w:rPr>
              <w:t xml:space="preserve">for storage </w:t>
            </w:r>
            <w:r w:rsidR="00082075">
              <w:rPr>
                <w:rFonts w:ascii="Calibri" w:hAnsi="Calibri"/>
                <w:szCs w:val="22"/>
              </w:rPr>
              <w:t xml:space="preserve">purposes </w:t>
            </w:r>
            <w:r w:rsidR="00F21BFE">
              <w:rPr>
                <w:rFonts w:ascii="Calibri" w:hAnsi="Calibri"/>
                <w:szCs w:val="22"/>
              </w:rPr>
              <w:t xml:space="preserve">would </w:t>
            </w:r>
            <w:r w:rsidR="00082075">
              <w:rPr>
                <w:rFonts w:ascii="Calibri" w:hAnsi="Calibri"/>
                <w:szCs w:val="22"/>
              </w:rPr>
              <w:t xml:space="preserve">result in </w:t>
            </w:r>
            <w:r w:rsidR="00F21BFE">
              <w:rPr>
                <w:rFonts w:ascii="Calibri" w:hAnsi="Calibri"/>
                <w:szCs w:val="22"/>
              </w:rPr>
              <w:t xml:space="preserve">this industrial use </w:t>
            </w:r>
            <w:r w:rsidR="00082075">
              <w:rPr>
                <w:rFonts w:ascii="Calibri" w:hAnsi="Calibri"/>
                <w:szCs w:val="22"/>
              </w:rPr>
              <w:t>encroach</w:t>
            </w:r>
            <w:r w:rsidR="00385119">
              <w:rPr>
                <w:rFonts w:ascii="Calibri" w:hAnsi="Calibri"/>
                <w:szCs w:val="22"/>
              </w:rPr>
              <w:t>ing</w:t>
            </w:r>
            <w:r w:rsidR="00082075">
              <w:rPr>
                <w:rFonts w:ascii="Calibri" w:hAnsi="Calibri"/>
                <w:szCs w:val="22"/>
              </w:rPr>
              <w:t xml:space="preserve"> </w:t>
            </w:r>
            <w:r w:rsidR="00F21BFE">
              <w:rPr>
                <w:rFonts w:ascii="Calibri" w:hAnsi="Calibri"/>
                <w:szCs w:val="22"/>
              </w:rPr>
              <w:t xml:space="preserve">into the open countryside and closer to visual receptors, however, subject to appropriate landscaping to screen this element it is </w:t>
            </w:r>
            <w:r>
              <w:rPr>
                <w:rFonts w:ascii="Calibri" w:hAnsi="Calibri"/>
                <w:szCs w:val="22"/>
              </w:rPr>
              <w:t xml:space="preserve">considered </w:t>
            </w:r>
            <w:r w:rsidR="00A60797">
              <w:rPr>
                <w:rFonts w:ascii="Calibri" w:hAnsi="Calibri"/>
                <w:szCs w:val="22"/>
              </w:rPr>
              <w:t xml:space="preserve">that the </w:t>
            </w:r>
            <w:r w:rsidR="00082075">
              <w:rPr>
                <w:rFonts w:ascii="Calibri" w:hAnsi="Calibri"/>
                <w:szCs w:val="22"/>
              </w:rPr>
              <w:t xml:space="preserve">extended storage </w:t>
            </w:r>
            <w:r w:rsidR="00A60797">
              <w:rPr>
                <w:rFonts w:ascii="Calibri" w:hAnsi="Calibri"/>
                <w:szCs w:val="22"/>
              </w:rPr>
              <w:t xml:space="preserve">use would be </w:t>
            </w:r>
            <w:r>
              <w:rPr>
                <w:rFonts w:ascii="Calibri" w:hAnsi="Calibri"/>
                <w:szCs w:val="22"/>
              </w:rPr>
              <w:t xml:space="preserve">in keeping with the </w:t>
            </w:r>
            <w:r w:rsidR="00F21BFE">
              <w:rPr>
                <w:rFonts w:ascii="Calibri" w:hAnsi="Calibri"/>
                <w:szCs w:val="22"/>
              </w:rPr>
              <w:t>existing buil</w:t>
            </w:r>
            <w:r w:rsidR="00082075">
              <w:rPr>
                <w:rFonts w:ascii="Calibri" w:hAnsi="Calibri"/>
                <w:szCs w:val="22"/>
              </w:rPr>
              <w:t xml:space="preserve">t form </w:t>
            </w:r>
            <w:r w:rsidR="00F21BFE">
              <w:rPr>
                <w:rFonts w:ascii="Calibri" w:hAnsi="Calibri"/>
                <w:szCs w:val="22"/>
              </w:rPr>
              <w:t>and use</w:t>
            </w:r>
            <w:r w:rsidR="00082075">
              <w:rPr>
                <w:rFonts w:ascii="Calibri" w:hAnsi="Calibri"/>
                <w:szCs w:val="22"/>
              </w:rPr>
              <w:t xml:space="preserve">.  The </w:t>
            </w:r>
            <w:r w:rsidR="00A60797">
              <w:rPr>
                <w:rFonts w:ascii="Calibri" w:hAnsi="Calibri"/>
                <w:szCs w:val="22"/>
              </w:rPr>
              <w:t xml:space="preserve">encroachment into open countryside and resulting impact </w:t>
            </w:r>
            <w:r w:rsidR="00F21BFE">
              <w:rPr>
                <w:rFonts w:ascii="Calibri" w:hAnsi="Calibri"/>
                <w:szCs w:val="22"/>
              </w:rPr>
              <w:t xml:space="preserve">on </w:t>
            </w:r>
            <w:r>
              <w:rPr>
                <w:rFonts w:ascii="Calibri" w:hAnsi="Calibri"/>
                <w:szCs w:val="22"/>
              </w:rPr>
              <w:t xml:space="preserve">visual impact </w:t>
            </w:r>
            <w:r w:rsidR="00A60797">
              <w:rPr>
                <w:rFonts w:ascii="Calibri" w:hAnsi="Calibri"/>
                <w:szCs w:val="22"/>
              </w:rPr>
              <w:t xml:space="preserve">would be </w:t>
            </w:r>
            <w:r>
              <w:rPr>
                <w:rFonts w:ascii="Calibri" w:hAnsi="Calibri"/>
                <w:szCs w:val="22"/>
              </w:rPr>
              <w:t>acceptable</w:t>
            </w:r>
            <w:r w:rsidR="00A60797">
              <w:rPr>
                <w:rFonts w:ascii="Calibri" w:hAnsi="Calibri"/>
                <w:szCs w:val="22"/>
              </w:rPr>
              <w:t xml:space="preserve"> when </w:t>
            </w:r>
            <w:r w:rsidR="00082075">
              <w:rPr>
                <w:rFonts w:ascii="Calibri" w:hAnsi="Calibri"/>
                <w:szCs w:val="22"/>
              </w:rPr>
              <w:t xml:space="preserve">balanced </w:t>
            </w:r>
            <w:r w:rsidR="00A60797">
              <w:rPr>
                <w:rFonts w:ascii="Calibri" w:hAnsi="Calibri"/>
                <w:szCs w:val="22"/>
              </w:rPr>
              <w:t xml:space="preserve">against the </w:t>
            </w:r>
            <w:r w:rsidR="00082075">
              <w:rPr>
                <w:rFonts w:ascii="Calibri" w:hAnsi="Calibri"/>
                <w:szCs w:val="22"/>
              </w:rPr>
              <w:t xml:space="preserve">continuing </w:t>
            </w:r>
            <w:r w:rsidR="00A60797">
              <w:rPr>
                <w:rFonts w:ascii="Calibri" w:hAnsi="Calibri"/>
                <w:szCs w:val="22"/>
              </w:rPr>
              <w:t>employment benefits</w:t>
            </w:r>
            <w:r w:rsidR="00082075">
              <w:rPr>
                <w:rFonts w:ascii="Calibri" w:hAnsi="Calibri"/>
                <w:szCs w:val="22"/>
              </w:rPr>
              <w:t xml:space="preserve"> of this specialist use</w:t>
            </w:r>
            <w:r w:rsidR="00385119">
              <w:rPr>
                <w:rFonts w:ascii="Calibri" w:hAnsi="Calibri"/>
                <w:szCs w:val="22"/>
              </w:rPr>
              <w:t xml:space="preserve"> and there is not considered to be a conflict with policies DMG1 or DMG2 in this regard</w:t>
            </w:r>
            <w:r w:rsidR="00082075">
              <w:rPr>
                <w:rFonts w:ascii="Calibri" w:hAnsi="Calibri"/>
                <w:szCs w:val="22"/>
              </w:rPr>
              <w:t>.</w:t>
            </w:r>
            <w:r w:rsidR="00A60797">
              <w:rPr>
                <w:rFonts w:ascii="Calibri" w:hAnsi="Calibri"/>
                <w:szCs w:val="22"/>
              </w:rPr>
              <w:t xml:space="preserve"> </w:t>
            </w:r>
            <w:r>
              <w:rPr>
                <w:rFonts w:ascii="Calibri" w:hAnsi="Calibri"/>
                <w:szCs w:val="22"/>
              </w:rPr>
              <w:t xml:space="preserve"> </w:t>
            </w:r>
          </w:p>
          <w:p w14:paraId="452F07D3" w14:textId="097462C8" w:rsidR="00EF2425" w:rsidRPr="00545D8C" w:rsidRDefault="00EF2425" w:rsidP="00454754">
            <w:pPr>
              <w:contextualSpacing/>
              <w:jc w:val="both"/>
              <w:rPr>
                <w:rFonts w:ascii="Calibri" w:hAnsi="Calibri"/>
                <w:szCs w:val="22"/>
              </w:rPr>
            </w:pPr>
          </w:p>
        </w:tc>
      </w:tr>
      <w:tr w:rsidR="00D43CF6" w:rsidRPr="008C75E4" w14:paraId="0716477F" w14:textId="77777777" w:rsidTr="003257F0">
        <w:trPr>
          <w:trHeight w:val="864"/>
          <w:jc w:val="center"/>
        </w:trPr>
        <w:tc>
          <w:tcPr>
            <w:tcW w:w="9968" w:type="dxa"/>
            <w:gridSpan w:val="13"/>
            <w:tcMar>
              <w:top w:w="57" w:type="dxa"/>
              <w:bottom w:w="57" w:type="dxa"/>
            </w:tcMar>
          </w:tcPr>
          <w:p w14:paraId="7CC1924C" w14:textId="64720BE5" w:rsidR="00D43CF6" w:rsidRDefault="00D43CF6" w:rsidP="00D43CF6">
            <w:pPr>
              <w:contextualSpacing/>
              <w:jc w:val="both"/>
              <w:rPr>
                <w:rFonts w:ascii="Calibri" w:hAnsi="Calibri"/>
                <w:b/>
                <w:szCs w:val="22"/>
              </w:rPr>
            </w:pPr>
            <w:r>
              <w:rPr>
                <w:rFonts w:ascii="Calibri" w:hAnsi="Calibri"/>
                <w:b/>
                <w:szCs w:val="22"/>
              </w:rPr>
              <w:t>Trees/Ecology/Landscaping</w:t>
            </w:r>
            <w:r w:rsidRPr="00DF42DA">
              <w:rPr>
                <w:rFonts w:ascii="Calibri" w:hAnsi="Calibri"/>
                <w:b/>
                <w:szCs w:val="22"/>
              </w:rPr>
              <w:t>:</w:t>
            </w:r>
          </w:p>
          <w:p w14:paraId="4458573F" w14:textId="77777777" w:rsidR="00D43CF6" w:rsidRDefault="00D43CF6" w:rsidP="006126D1">
            <w:pPr>
              <w:contextualSpacing/>
              <w:jc w:val="both"/>
              <w:rPr>
                <w:rFonts w:ascii="Calibri" w:hAnsi="Calibri"/>
                <w:b/>
                <w:szCs w:val="22"/>
              </w:rPr>
            </w:pPr>
          </w:p>
          <w:p w14:paraId="09F1F7F9" w14:textId="1C0E7C37" w:rsidR="00D43CF6" w:rsidRDefault="00D43CF6" w:rsidP="006126D1">
            <w:pPr>
              <w:contextualSpacing/>
              <w:jc w:val="both"/>
              <w:rPr>
                <w:rFonts w:ascii="Calibri" w:hAnsi="Calibri"/>
                <w:bCs/>
                <w:szCs w:val="22"/>
              </w:rPr>
            </w:pPr>
            <w:r w:rsidRPr="00D43CF6">
              <w:rPr>
                <w:rFonts w:ascii="Calibri" w:hAnsi="Calibri"/>
                <w:bCs/>
                <w:szCs w:val="22"/>
              </w:rPr>
              <w:t xml:space="preserve">The existing </w:t>
            </w:r>
            <w:r>
              <w:rPr>
                <w:rFonts w:ascii="Calibri" w:hAnsi="Calibri"/>
                <w:bCs/>
                <w:szCs w:val="22"/>
              </w:rPr>
              <w:t xml:space="preserve">landscaping to the north and south boundaries must be retained and where possible enhanced.  A detailed landscaping scheme will be required to the western boundary where additional tree planting is </w:t>
            </w:r>
            <w:proofErr w:type="gramStart"/>
            <w:r>
              <w:rPr>
                <w:rFonts w:ascii="Calibri" w:hAnsi="Calibri"/>
                <w:bCs/>
                <w:szCs w:val="22"/>
              </w:rPr>
              <w:t>proposed</w:t>
            </w:r>
            <w:proofErr w:type="gramEnd"/>
            <w:r>
              <w:rPr>
                <w:rFonts w:ascii="Calibri" w:hAnsi="Calibri"/>
                <w:bCs/>
                <w:szCs w:val="22"/>
              </w:rPr>
              <w:t xml:space="preserve"> and this can be controlled by a condition </w:t>
            </w:r>
            <w:r w:rsidR="00385119">
              <w:rPr>
                <w:rFonts w:ascii="Calibri" w:hAnsi="Calibri"/>
                <w:bCs/>
                <w:szCs w:val="22"/>
              </w:rPr>
              <w:t xml:space="preserve">to </w:t>
            </w:r>
            <w:r>
              <w:rPr>
                <w:rFonts w:ascii="Calibri" w:hAnsi="Calibri"/>
                <w:bCs/>
                <w:szCs w:val="22"/>
              </w:rPr>
              <w:t xml:space="preserve">require full details to be submitted and agreed.  </w:t>
            </w:r>
          </w:p>
          <w:p w14:paraId="75D9F0B9" w14:textId="77777777" w:rsidR="00901DF7" w:rsidRDefault="00901DF7" w:rsidP="006126D1">
            <w:pPr>
              <w:contextualSpacing/>
              <w:jc w:val="both"/>
              <w:rPr>
                <w:rFonts w:ascii="Calibri" w:hAnsi="Calibri"/>
                <w:bCs/>
                <w:szCs w:val="22"/>
              </w:rPr>
            </w:pPr>
          </w:p>
          <w:p w14:paraId="02777539" w14:textId="531E9E7F" w:rsidR="00901DF7" w:rsidRDefault="00901DF7" w:rsidP="006126D1">
            <w:pPr>
              <w:contextualSpacing/>
              <w:jc w:val="both"/>
              <w:rPr>
                <w:rFonts w:ascii="Calibri" w:hAnsi="Calibri"/>
                <w:bCs/>
                <w:szCs w:val="22"/>
              </w:rPr>
            </w:pPr>
            <w:r>
              <w:rPr>
                <w:rFonts w:ascii="Calibri" w:hAnsi="Calibri"/>
                <w:bCs/>
                <w:szCs w:val="22"/>
              </w:rPr>
              <w:t>A Preliminary Ecological Appraisal for the site has been submitted which recommends compensatory planting and habitat enhancement.  There is invasive species which need to be clearly demarcated with an 8m exclusion zone to prevent spread and discourage the species from growing on neighbouring land.</w:t>
            </w:r>
          </w:p>
          <w:p w14:paraId="741EADFC" w14:textId="77777777" w:rsidR="00901DF7" w:rsidRDefault="00901DF7" w:rsidP="006126D1">
            <w:pPr>
              <w:contextualSpacing/>
              <w:jc w:val="both"/>
              <w:rPr>
                <w:rFonts w:ascii="Calibri" w:hAnsi="Calibri"/>
                <w:bCs/>
                <w:szCs w:val="22"/>
              </w:rPr>
            </w:pPr>
          </w:p>
          <w:p w14:paraId="6969CE5C" w14:textId="30FB2B63" w:rsidR="00901DF7" w:rsidRDefault="00901DF7" w:rsidP="006126D1">
            <w:pPr>
              <w:contextualSpacing/>
              <w:jc w:val="both"/>
              <w:rPr>
                <w:rFonts w:ascii="Calibri" w:hAnsi="Calibri"/>
                <w:bCs/>
                <w:szCs w:val="22"/>
              </w:rPr>
            </w:pPr>
            <w:r>
              <w:rPr>
                <w:rFonts w:ascii="Calibri" w:hAnsi="Calibri"/>
                <w:bCs/>
                <w:szCs w:val="22"/>
              </w:rPr>
              <w:t>Any vegetation to be trimmed or cleared should be checked for nesting birds, outside of the bird nesting season this must be conducted by a qualified individual.</w:t>
            </w:r>
          </w:p>
          <w:p w14:paraId="55678737" w14:textId="77777777" w:rsidR="00D43CF6" w:rsidRDefault="00D43CF6" w:rsidP="006126D1">
            <w:pPr>
              <w:contextualSpacing/>
              <w:jc w:val="both"/>
              <w:rPr>
                <w:rFonts w:ascii="Calibri" w:hAnsi="Calibri"/>
                <w:bCs/>
                <w:szCs w:val="22"/>
              </w:rPr>
            </w:pPr>
          </w:p>
          <w:p w14:paraId="71CD6658" w14:textId="7EABBFE3" w:rsidR="00D43CF6" w:rsidRDefault="00D43CF6" w:rsidP="006126D1">
            <w:pPr>
              <w:contextualSpacing/>
              <w:jc w:val="both"/>
              <w:rPr>
                <w:rFonts w:ascii="Calibri" w:hAnsi="Calibri"/>
                <w:bCs/>
                <w:szCs w:val="22"/>
              </w:rPr>
            </w:pPr>
            <w:r>
              <w:rPr>
                <w:rFonts w:ascii="Calibri" w:hAnsi="Calibri"/>
                <w:bCs/>
                <w:szCs w:val="22"/>
              </w:rPr>
              <w:t>Subject to timescale for the works there would be no undue impact on ecology this can be controlled by an appropriate condition.</w:t>
            </w:r>
          </w:p>
          <w:p w14:paraId="74D620BA" w14:textId="77777777" w:rsidR="00F678CC" w:rsidRDefault="00F678CC" w:rsidP="006126D1">
            <w:pPr>
              <w:contextualSpacing/>
              <w:jc w:val="both"/>
              <w:rPr>
                <w:rFonts w:ascii="Calibri" w:hAnsi="Calibri"/>
                <w:bCs/>
                <w:szCs w:val="22"/>
              </w:rPr>
            </w:pPr>
          </w:p>
          <w:p w14:paraId="3B97A3C8" w14:textId="0E58999A" w:rsidR="00F678CC" w:rsidRDefault="00F678CC" w:rsidP="006126D1">
            <w:pPr>
              <w:contextualSpacing/>
              <w:jc w:val="both"/>
              <w:rPr>
                <w:rFonts w:ascii="Calibri" w:hAnsi="Calibri"/>
                <w:bCs/>
                <w:szCs w:val="22"/>
              </w:rPr>
            </w:pPr>
            <w:r>
              <w:rPr>
                <w:rFonts w:ascii="Calibri" w:hAnsi="Calibri"/>
                <w:bCs/>
                <w:szCs w:val="22"/>
              </w:rPr>
              <w:t xml:space="preserve">The application was submitted prior to the BNG statutory provisions coming into effect. </w:t>
            </w:r>
          </w:p>
          <w:p w14:paraId="73E08334" w14:textId="77777777" w:rsidR="00D43CF6" w:rsidRPr="00DF42DA" w:rsidRDefault="00D43CF6" w:rsidP="006126D1">
            <w:pPr>
              <w:contextualSpacing/>
              <w:jc w:val="both"/>
              <w:rPr>
                <w:rFonts w:ascii="Calibri" w:hAnsi="Calibri"/>
                <w:b/>
                <w:szCs w:val="22"/>
              </w:rPr>
            </w:pPr>
          </w:p>
        </w:tc>
      </w:tr>
      <w:tr w:rsidR="008C75E4" w:rsidRPr="008C75E4" w14:paraId="165534AB" w14:textId="77777777" w:rsidTr="003257F0">
        <w:trPr>
          <w:trHeight w:val="864"/>
          <w:jc w:val="center"/>
        </w:trPr>
        <w:tc>
          <w:tcPr>
            <w:tcW w:w="9968" w:type="dxa"/>
            <w:gridSpan w:val="13"/>
            <w:tcMar>
              <w:top w:w="57" w:type="dxa"/>
              <w:bottom w:w="57" w:type="dxa"/>
            </w:tcMar>
          </w:tcPr>
          <w:p w14:paraId="5676D2B9"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3F510245" w14:textId="77777777" w:rsidR="004A2E05" w:rsidRDefault="004A2E05" w:rsidP="00454754">
            <w:pPr>
              <w:pStyle w:val="Header"/>
              <w:tabs>
                <w:tab w:val="clear" w:pos="4153"/>
                <w:tab w:val="clear" w:pos="8306"/>
              </w:tabs>
              <w:contextualSpacing/>
              <w:jc w:val="both"/>
              <w:rPr>
                <w:rFonts w:ascii="Calibri" w:hAnsi="Calibri"/>
                <w:szCs w:val="22"/>
              </w:rPr>
            </w:pPr>
          </w:p>
          <w:p w14:paraId="2006BAC7" w14:textId="6182A93B" w:rsidR="0014200A" w:rsidRPr="00693B06" w:rsidRDefault="0014200A" w:rsidP="0014200A">
            <w:pPr>
              <w:ind w:left="-5" w:right="2"/>
              <w:rPr>
                <w:rFonts w:asciiTheme="minorHAnsi" w:hAnsiTheme="minorHAnsi" w:cstheme="minorHAnsi"/>
              </w:rPr>
            </w:pPr>
            <w:r>
              <w:rPr>
                <w:rFonts w:asciiTheme="minorHAnsi" w:hAnsiTheme="minorHAnsi" w:cstheme="minorHAnsi"/>
              </w:rPr>
              <w:t xml:space="preserve">It is considered that the proposed changes to the car parking provision, one way system and </w:t>
            </w:r>
            <w:r w:rsidRPr="00693B06">
              <w:rPr>
                <w:rFonts w:asciiTheme="minorHAnsi" w:hAnsiTheme="minorHAnsi" w:cstheme="minorHAnsi"/>
              </w:rPr>
              <w:t>HGV</w:t>
            </w:r>
            <w:r>
              <w:rPr>
                <w:rFonts w:asciiTheme="minorHAnsi" w:hAnsiTheme="minorHAnsi" w:cstheme="minorHAnsi"/>
              </w:rPr>
              <w:t xml:space="preserve"> loading will be an improvement and b</w:t>
            </w:r>
            <w:r w:rsidR="00D43CF6">
              <w:rPr>
                <w:rFonts w:asciiTheme="minorHAnsi" w:hAnsiTheme="minorHAnsi" w:cstheme="minorHAnsi"/>
              </w:rPr>
              <w:t>r</w:t>
            </w:r>
            <w:r>
              <w:rPr>
                <w:rFonts w:asciiTheme="minorHAnsi" w:hAnsiTheme="minorHAnsi" w:cstheme="minorHAnsi"/>
              </w:rPr>
              <w:t xml:space="preserve">ing specific benefits </w:t>
            </w:r>
            <w:r w:rsidR="00D43CF6">
              <w:rPr>
                <w:rFonts w:asciiTheme="minorHAnsi" w:hAnsiTheme="minorHAnsi" w:cstheme="minorHAnsi"/>
              </w:rPr>
              <w:t xml:space="preserve">to the site overall in terms of vehicle movements and pedestrian safety.  It will enable goods to be loaded and unloaded easier and a more logical layout for employee and visitor parking. </w:t>
            </w:r>
          </w:p>
          <w:p w14:paraId="69EC0EF5" w14:textId="77777777" w:rsidR="0014200A" w:rsidRDefault="0014200A" w:rsidP="00454754">
            <w:pPr>
              <w:pStyle w:val="Header"/>
              <w:tabs>
                <w:tab w:val="clear" w:pos="4153"/>
                <w:tab w:val="clear" w:pos="8306"/>
              </w:tabs>
              <w:contextualSpacing/>
              <w:jc w:val="both"/>
              <w:rPr>
                <w:rFonts w:ascii="Calibri" w:hAnsi="Calibri"/>
                <w:szCs w:val="22"/>
              </w:rPr>
            </w:pPr>
          </w:p>
          <w:p w14:paraId="34741595" w14:textId="77777777" w:rsidR="001F2FA1" w:rsidRDefault="001F2FA1" w:rsidP="00385119">
            <w:pPr>
              <w:ind w:left="-5" w:right="2"/>
              <w:rPr>
                <w:rFonts w:ascii="Calibri" w:hAnsi="Calibri"/>
                <w:szCs w:val="22"/>
              </w:rPr>
            </w:pPr>
            <w:r>
              <w:rPr>
                <w:rFonts w:ascii="Calibri" w:hAnsi="Calibri"/>
                <w:szCs w:val="22"/>
              </w:rPr>
              <w:lastRenderedPageBreak/>
              <w:t xml:space="preserve">LCC </w:t>
            </w:r>
            <w:r w:rsidR="005F7A80">
              <w:rPr>
                <w:rFonts w:ascii="Calibri" w:hAnsi="Calibri"/>
                <w:szCs w:val="22"/>
              </w:rPr>
              <w:t>H</w:t>
            </w:r>
            <w:r>
              <w:rPr>
                <w:rFonts w:ascii="Calibri" w:hAnsi="Calibri"/>
                <w:szCs w:val="22"/>
              </w:rPr>
              <w:t xml:space="preserve">ighways </w:t>
            </w:r>
            <w:r w:rsidR="0014200A" w:rsidRPr="00693B06">
              <w:rPr>
                <w:rFonts w:asciiTheme="minorHAnsi" w:hAnsiTheme="minorHAnsi" w:cstheme="minorHAnsi"/>
              </w:rPr>
              <w:t>raise</w:t>
            </w:r>
            <w:r w:rsidR="0014200A">
              <w:rPr>
                <w:rFonts w:asciiTheme="minorHAnsi" w:hAnsiTheme="minorHAnsi" w:cstheme="minorHAnsi"/>
              </w:rPr>
              <w:t>s</w:t>
            </w:r>
            <w:r w:rsidR="0014200A" w:rsidRPr="00693B06">
              <w:rPr>
                <w:rFonts w:asciiTheme="minorHAnsi" w:hAnsiTheme="minorHAnsi" w:cstheme="minorHAnsi"/>
              </w:rPr>
              <w:t xml:space="preserve"> </w:t>
            </w:r>
            <w:r w:rsidR="0014200A">
              <w:rPr>
                <w:rFonts w:asciiTheme="minorHAnsi" w:hAnsiTheme="minorHAnsi" w:cstheme="minorHAnsi"/>
              </w:rPr>
              <w:t xml:space="preserve">no </w:t>
            </w:r>
            <w:r w:rsidR="0014200A" w:rsidRPr="00693B06">
              <w:rPr>
                <w:rFonts w:asciiTheme="minorHAnsi" w:hAnsiTheme="minorHAnsi" w:cstheme="minorHAnsi"/>
              </w:rPr>
              <w:t>objection</w:t>
            </w:r>
            <w:r w:rsidR="0014200A">
              <w:rPr>
                <w:rFonts w:asciiTheme="minorHAnsi" w:hAnsiTheme="minorHAnsi" w:cstheme="minorHAnsi"/>
              </w:rPr>
              <w:t>s</w:t>
            </w:r>
            <w:r w:rsidR="0014200A" w:rsidRPr="00693B06">
              <w:rPr>
                <w:rFonts w:asciiTheme="minorHAnsi" w:hAnsiTheme="minorHAnsi" w:cstheme="minorHAnsi"/>
              </w:rPr>
              <w:t xml:space="preserve"> regarding the proposed development and are of the opinion that the proposed development will not have a significant impact on highway safety, capacity or amenity in the immediate vicinity of the site</w:t>
            </w:r>
            <w:r w:rsidR="0014200A">
              <w:rPr>
                <w:rFonts w:asciiTheme="minorHAnsi" w:hAnsiTheme="minorHAnsi" w:cstheme="minorHAnsi"/>
              </w:rPr>
              <w:t xml:space="preserve"> subject to appropriate </w:t>
            </w:r>
            <w:r w:rsidR="0014200A" w:rsidRPr="00693B06">
              <w:rPr>
                <w:rFonts w:asciiTheme="minorHAnsi" w:hAnsiTheme="minorHAnsi" w:cstheme="minorHAnsi"/>
              </w:rPr>
              <w:t>condition</w:t>
            </w:r>
            <w:r w:rsidR="00D43CF6">
              <w:rPr>
                <w:rFonts w:asciiTheme="minorHAnsi" w:hAnsiTheme="minorHAnsi" w:cstheme="minorHAnsi"/>
              </w:rPr>
              <w:t>s</w:t>
            </w:r>
            <w:r w:rsidR="0014200A" w:rsidRPr="00693B06">
              <w:rPr>
                <w:rFonts w:asciiTheme="minorHAnsi" w:hAnsiTheme="minorHAnsi" w:cstheme="minorHAnsi"/>
              </w:rPr>
              <w:t>.</w:t>
            </w:r>
            <w:r>
              <w:rPr>
                <w:rFonts w:ascii="Calibri" w:hAnsi="Calibri"/>
                <w:szCs w:val="22"/>
              </w:rPr>
              <w:t xml:space="preserve"> </w:t>
            </w:r>
          </w:p>
          <w:p w14:paraId="615BB5AA" w14:textId="72C01295" w:rsidR="001B28D0" w:rsidRPr="002A7DF7" w:rsidRDefault="001B28D0" w:rsidP="00385119">
            <w:pPr>
              <w:ind w:left="-5" w:right="2"/>
              <w:rPr>
                <w:rFonts w:ascii="Calibri" w:hAnsi="Calibri"/>
                <w:szCs w:val="22"/>
              </w:rPr>
            </w:pPr>
          </w:p>
        </w:tc>
      </w:tr>
      <w:tr w:rsidR="00CC2D6D" w:rsidRPr="008C75E4" w14:paraId="69363E9B" w14:textId="77777777" w:rsidTr="003257F0">
        <w:trPr>
          <w:trHeight w:val="864"/>
          <w:jc w:val="center"/>
        </w:trPr>
        <w:tc>
          <w:tcPr>
            <w:tcW w:w="9968" w:type="dxa"/>
            <w:gridSpan w:val="13"/>
            <w:tcMar>
              <w:top w:w="57" w:type="dxa"/>
              <w:bottom w:w="57" w:type="dxa"/>
            </w:tcMar>
          </w:tcPr>
          <w:p w14:paraId="5DD24BE7" w14:textId="0DB991C8" w:rsidR="00CC2D6D" w:rsidRDefault="00CC2D6D" w:rsidP="006126D1">
            <w:pPr>
              <w:pStyle w:val="Header"/>
              <w:tabs>
                <w:tab w:val="clear" w:pos="4153"/>
                <w:tab w:val="clear" w:pos="8306"/>
              </w:tabs>
              <w:contextualSpacing/>
              <w:jc w:val="both"/>
              <w:rPr>
                <w:rFonts w:ascii="Calibri" w:hAnsi="Calibri"/>
                <w:b/>
                <w:szCs w:val="22"/>
              </w:rPr>
            </w:pPr>
            <w:r>
              <w:rPr>
                <w:rFonts w:ascii="Calibri" w:hAnsi="Calibri"/>
                <w:b/>
                <w:szCs w:val="22"/>
              </w:rPr>
              <w:lastRenderedPageBreak/>
              <w:t>Water Management</w:t>
            </w:r>
            <w:r w:rsidR="00FF17D6">
              <w:rPr>
                <w:rFonts w:ascii="Calibri" w:hAnsi="Calibri"/>
                <w:b/>
                <w:szCs w:val="22"/>
              </w:rPr>
              <w:t>/Contamination</w:t>
            </w:r>
            <w:r>
              <w:rPr>
                <w:rFonts w:ascii="Calibri" w:hAnsi="Calibri"/>
                <w:b/>
                <w:szCs w:val="22"/>
              </w:rPr>
              <w:t>:</w:t>
            </w:r>
          </w:p>
          <w:p w14:paraId="10CE44A7" w14:textId="77777777" w:rsidR="004A2E05" w:rsidRDefault="004A2E05" w:rsidP="006126D1">
            <w:pPr>
              <w:pStyle w:val="Header"/>
              <w:tabs>
                <w:tab w:val="clear" w:pos="4153"/>
                <w:tab w:val="clear" w:pos="8306"/>
              </w:tabs>
              <w:contextualSpacing/>
              <w:jc w:val="both"/>
              <w:rPr>
                <w:rFonts w:ascii="Calibri" w:hAnsi="Calibri"/>
                <w:szCs w:val="22"/>
              </w:rPr>
            </w:pPr>
          </w:p>
          <w:p w14:paraId="67B6B734" w14:textId="77B09069" w:rsidR="0089023C" w:rsidRDefault="00CC2D6D" w:rsidP="006126D1">
            <w:pPr>
              <w:pStyle w:val="Header"/>
              <w:tabs>
                <w:tab w:val="clear" w:pos="4153"/>
                <w:tab w:val="clear" w:pos="8306"/>
              </w:tabs>
              <w:contextualSpacing/>
              <w:jc w:val="both"/>
              <w:rPr>
                <w:rFonts w:ascii="Calibri" w:hAnsi="Calibri"/>
                <w:szCs w:val="22"/>
              </w:rPr>
            </w:pPr>
            <w:r w:rsidRPr="006A7130">
              <w:rPr>
                <w:rFonts w:ascii="Calibri" w:hAnsi="Calibri"/>
                <w:szCs w:val="22"/>
              </w:rPr>
              <w:t xml:space="preserve">The site is in Flood Zone </w:t>
            </w:r>
            <w:r w:rsidR="00112450">
              <w:rPr>
                <w:rFonts w:ascii="Calibri" w:hAnsi="Calibri"/>
                <w:szCs w:val="22"/>
              </w:rPr>
              <w:t>2/3</w:t>
            </w:r>
            <w:r w:rsidRPr="006A7130">
              <w:rPr>
                <w:rFonts w:ascii="Calibri" w:hAnsi="Calibri"/>
                <w:szCs w:val="22"/>
              </w:rPr>
              <w:t xml:space="preserve"> where the likelihood of flooding is </w:t>
            </w:r>
            <w:r w:rsidR="00112450">
              <w:rPr>
                <w:rFonts w:ascii="Calibri" w:hAnsi="Calibri"/>
                <w:szCs w:val="22"/>
              </w:rPr>
              <w:t>high.</w:t>
            </w:r>
            <w:r w:rsidRPr="006A7130">
              <w:rPr>
                <w:rFonts w:ascii="Calibri" w:hAnsi="Calibri"/>
                <w:szCs w:val="22"/>
              </w:rPr>
              <w:t xml:space="preserve"> </w:t>
            </w:r>
          </w:p>
          <w:p w14:paraId="098D93E8" w14:textId="77777777" w:rsidR="00385119" w:rsidRDefault="00385119" w:rsidP="006126D1">
            <w:pPr>
              <w:pStyle w:val="Header"/>
              <w:tabs>
                <w:tab w:val="clear" w:pos="4153"/>
                <w:tab w:val="clear" w:pos="8306"/>
              </w:tabs>
              <w:contextualSpacing/>
              <w:jc w:val="both"/>
              <w:rPr>
                <w:rFonts w:ascii="Calibri" w:hAnsi="Calibri"/>
                <w:szCs w:val="22"/>
              </w:rPr>
            </w:pPr>
          </w:p>
          <w:p w14:paraId="3C598C46" w14:textId="338249DD" w:rsidR="00385119" w:rsidRDefault="00385119" w:rsidP="006126D1">
            <w:pPr>
              <w:pStyle w:val="Header"/>
              <w:tabs>
                <w:tab w:val="clear" w:pos="4153"/>
                <w:tab w:val="clear" w:pos="8306"/>
              </w:tabs>
              <w:contextualSpacing/>
              <w:jc w:val="both"/>
              <w:rPr>
                <w:rFonts w:ascii="Calibri" w:hAnsi="Calibri"/>
                <w:szCs w:val="22"/>
              </w:rPr>
            </w:pPr>
            <w:r>
              <w:rPr>
                <w:rFonts w:ascii="Calibri" w:hAnsi="Calibri"/>
                <w:szCs w:val="22"/>
              </w:rPr>
              <w:t xml:space="preserve">The development is required to pass the flood risk sequential test as it includes operational development, however the </w:t>
            </w:r>
            <w:r w:rsidR="006D3AB5">
              <w:rPr>
                <w:rFonts w:ascii="Calibri" w:hAnsi="Calibri"/>
                <w:szCs w:val="22"/>
              </w:rPr>
              <w:t>operational</w:t>
            </w:r>
            <w:r>
              <w:rPr>
                <w:rFonts w:ascii="Calibri" w:hAnsi="Calibri"/>
                <w:szCs w:val="22"/>
              </w:rPr>
              <w:t xml:space="preserve"> requirements</w:t>
            </w:r>
            <w:r w:rsidR="006D3AB5">
              <w:rPr>
                <w:rFonts w:ascii="Calibri" w:hAnsi="Calibri"/>
                <w:szCs w:val="22"/>
              </w:rPr>
              <w:t xml:space="preserve"> to efficiently serve the existing business</w:t>
            </w:r>
            <w:r>
              <w:rPr>
                <w:rFonts w:ascii="Calibri" w:hAnsi="Calibri"/>
                <w:szCs w:val="22"/>
              </w:rPr>
              <w:t xml:space="preserve"> mean that it would be impractical to site the development elsewhere outside of the flood zone. </w:t>
            </w:r>
          </w:p>
          <w:p w14:paraId="679F415F" w14:textId="77777777" w:rsidR="0089023C" w:rsidRDefault="0089023C" w:rsidP="006126D1">
            <w:pPr>
              <w:pStyle w:val="Header"/>
              <w:tabs>
                <w:tab w:val="clear" w:pos="4153"/>
                <w:tab w:val="clear" w:pos="8306"/>
              </w:tabs>
              <w:contextualSpacing/>
              <w:jc w:val="both"/>
              <w:rPr>
                <w:rFonts w:ascii="Calibri" w:hAnsi="Calibri"/>
                <w:szCs w:val="22"/>
              </w:rPr>
            </w:pPr>
          </w:p>
          <w:p w14:paraId="47C87D45" w14:textId="1B8BF944" w:rsidR="00FF17D6" w:rsidRDefault="00385119" w:rsidP="006126D1">
            <w:pPr>
              <w:pStyle w:val="Header"/>
              <w:tabs>
                <w:tab w:val="clear" w:pos="4153"/>
                <w:tab w:val="clear" w:pos="8306"/>
              </w:tabs>
              <w:contextualSpacing/>
              <w:jc w:val="both"/>
              <w:rPr>
                <w:rFonts w:ascii="Calibri" w:hAnsi="Calibri"/>
                <w:szCs w:val="22"/>
              </w:rPr>
            </w:pPr>
            <w:r>
              <w:rPr>
                <w:rFonts w:ascii="Calibri" w:hAnsi="Calibri"/>
                <w:szCs w:val="22"/>
              </w:rPr>
              <w:t>The scheme is classed as less vulnerable development and therefore the Exceptions Test doesn’t apply.</w:t>
            </w:r>
          </w:p>
          <w:p w14:paraId="18CC964E" w14:textId="77777777" w:rsidR="00385119" w:rsidRDefault="00385119" w:rsidP="006126D1">
            <w:pPr>
              <w:pStyle w:val="Header"/>
              <w:tabs>
                <w:tab w:val="clear" w:pos="4153"/>
                <w:tab w:val="clear" w:pos="8306"/>
              </w:tabs>
              <w:contextualSpacing/>
              <w:jc w:val="both"/>
              <w:rPr>
                <w:rFonts w:ascii="Calibri" w:hAnsi="Calibri"/>
                <w:szCs w:val="22"/>
              </w:rPr>
            </w:pPr>
          </w:p>
          <w:p w14:paraId="5B08B3DE" w14:textId="55E24231" w:rsidR="0014200A" w:rsidRDefault="0014200A" w:rsidP="006126D1">
            <w:pPr>
              <w:pStyle w:val="Header"/>
              <w:tabs>
                <w:tab w:val="clear" w:pos="4153"/>
                <w:tab w:val="clear" w:pos="8306"/>
              </w:tabs>
              <w:contextualSpacing/>
              <w:jc w:val="both"/>
              <w:rPr>
                <w:rFonts w:ascii="Calibri" w:hAnsi="Calibri"/>
                <w:szCs w:val="22"/>
              </w:rPr>
            </w:pPr>
            <w:r>
              <w:rPr>
                <w:rFonts w:ascii="Calibri" w:hAnsi="Calibri"/>
                <w:szCs w:val="22"/>
              </w:rPr>
              <w:t xml:space="preserve">A Flood Risk Assessment </w:t>
            </w:r>
            <w:r w:rsidR="006D3AB5">
              <w:rPr>
                <w:rFonts w:ascii="Calibri" w:hAnsi="Calibri"/>
                <w:szCs w:val="22"/>
              </w:rPr>
              <w:t xml:space="preserve">is required and </w:t>
            </w:r>
            <w:r>
              <w:rPr>
                <w:rFonts w:ascii="Calibri" w:hAnsi="Calibri"/>
                <w:szCs w:val="22"/>
              </w:rPr>
              <w:t>has been submitted</w:t>
            </w:r>
            <w:r w:rsidR="00D43CF6">
              <w:rPr>
                <w:rFonts w:ascii="Calibri" w:hAnsi="Calibri"/>
                <w:szCs w:val="22"/>
              </w:rPr>
              <w:t xml:space="preserve"> which </w:t>
            </w:r>
            <w:r w:rsidR="006D3AB5">
              <w:rPr>
                <w:rFonts w:ascii="Calibri" w:hAnsi="Calibri"/>
                <w:szCs w:val="22"/>
              </w:rPr>
              <w:t xml:space="preserve">is acceptable to the Environment Agency. This </w:t>
            </w:r>
            <w:r w:rsidR="00D43CF6">
              <w:rPr>
                <w:rFonts w:ascii="Calibri" w:hAnsi="Calibri"/>
                <w:szCs w:val="22"/>
              </w:rPr>
              <w:t xml:space="preserve">will be required to be adhered to and can be </w:t>
            </w:r>
            <w:r w:rsidR="006D3AB5">
              <w:rPr>
                <w:rFonts w:ascii="Calibri" w:hAnsi="Calibri"/>
                <w:szCs w:val="22"/>
              </w:rPr>
              <w:t>secured</w:t>
            </w:r>
            <w:r w:rsidR="00D43CF6">
              <w:rPr>
                <w:rFonts w:ascii="Calibri" w:hAnsi="Calibri"/>
                <w:szCs w:val="22"/>
              </w:rPr>
              <w:t xml:space="preserve"> by condition.</w:t>
            </w:r>
          </w:p>
          <w:p w14:paraId="7A005A8E" w14:textId="77777777" w:rsidR="00385119" w:rsidRDefault="00385119" w:rsidP="006126D1">
            <w:pPr>
              <w:pStyle w:val="Header"/>
              <w:tabs>
                <w:tab w:val="clear" w:pos="4153"/>
                <w:tab w:val="clear" w:pos="8306"/>
              </w:tabs>
              <w:contextualSpacing/>
              <w:jc w:val="both"/>
              <w:rPr>
                <w:rFonts w:ascii="Calibri" w:hAnsi="Calibri"/>
                <w:szCs w:val="22"/>
              </w:rPr>
            </w:pPr>
          </w:p>
          <w:p w14:paraId="3D2CCB5F" w14:textId="34EBBF39" w:rsidR="00385119" w:rsidRDefault="006D3AB5" w:rsidP="006126D1">
            <w:pPr>
              <w:pStyle w:val="Header"/>
              <w:tabs>
                <w:tab w:val="clear" w:pos="4153"/>
                <w:tab w:val="clear" w:pos="8306"/>
              </w:tabs>
              <w:contextualSpacing/>
              <w:jc w:val="both"/>
              <w:rPr>
                <w:rFonts w:ascii="Calibri" w:hAnsi="Calibri"/>
                <w:szCs w:val="22"/>
              </w:rPr>
            </w:pPr>
            <w:r>
              <w:rPr>
                <w:rFonts w:ascii="Calibri" w:hAnsi="Calibri"/>
                <w:szCs w:val="22"/>
              </w:rPr>
              <w:t>In terms of</w:t>
            </w:r>
            <w:r w:rsidR="00385119">
              <w:rPr>
                <w:rFonts w:ascii="Calibri" w:hAnsi="Calibri"/>
                <w:szCs w:val="22"/>
              </w:rPr>
              <w:t xml:space="preserve"> a surface water </w:t>
            </w:r>
            <w:r w:rsidR="00385119" w:rsidRPr="006A7130">
              <w:rPr>
                <w:rFonts w:ascii="Calibri" w:hAnsi="Calibri"/>
                <w:szCs w:val="22"/>
              </w:rPr>
              <w:t>drainage strateg</w:t>
            </w:r>
            <w:r>
              <w:rPr>
                <w:rFonts w:ascii="Calibri" w:hAnsi="Calibri"/>
                <w:szCs w:val="22"/>
              </w:rPr>
              <w:t xml:space="preserve">y, whilst the objection from the LLFA is noted, the scheme was revised so that it now no longer falls to be considered major development and therefore the LLFA are not a statutory consultee. Their concerns can be addressed through a suitably worded </w:t>
            </w:r>
            <w:r w:rsidR="00385119">
              <w:rPr>
                <w:rFonts w:ascii="Calibri" w:hAnsi="Calibri"/>
                <w:szCs w:val="22"/>
              </w:rPr>
              <w:t xml:space="preserve">pre-commencement drainage condition including operational and maintenance standards </w:t>
            </w:r>
            <w:proofErr w:type="gramStart"/>
            <w:r w:rsidR="00385119">
              <w:rPr>
                <w:rFonts w:ascii="Calibri" w:hAnsi="Calibri"/>
                <w:szCs w:val="22"/>
              </w:rPr>
              <w:t>in order to</w:t>
            </w:r>
            <w:proofErr w:type="gramEnd"/>
            <w:r w:rsidR="00385119">
              <w:rPr>
                <w:rFonts w:ascii="Calibri" w:hAnsi="Calibri"/>
                <w:szCs w:val="22"/>
              </w:rPr>
              <w:t xml:space="preserve"> ensure that proper drainage of the site is </w:t>
            </w:r>
            <w:r>
              <w:rPr>
                <w:rFonts w:ascii="Calibri" w:hAnsi="Calibri"/>
                <w:szCs w:val="22"/>
              </w:rPr>
              <w:t xml:space="preserve">secured and </w:t>
            </w:r>
            <w:r w:rsidR="00385119">
              <w:rPr>
                <w:rFonts w:ascii="Calibri" w:hAnsi="Calibri"/>
                <w:szCs w:val="22"/>
              </w:rPr>
              <w:t xml:space="preserve">undertaken in the most sustainable way. </w:t>
            </w:r>
          </w:p>
          <w:p w14:paraId="639BC089" w14:textId="78BA4F81" w:rsidR="004A2E05" w:rsidRPr="006A7130" w:rsidRDefault="004A2E05" w:rsidP="0014200A">
            <w:pPr>
              <w:pStyle w:val="Header"/>
              <w:tabs>
                <w:tab w:val="clear" w:pos="4153"/>
                <w:tab w:val="clear" w:pos="8306"/>
              </w:tabs>
              <w:contextualSpacing/>
              <w:jc w:val="both"/>
              <w:rPr>
                <w:rFonts w:ascii="Calibri" w:hAnsi="Calibri"/>
                <w:szCs w:val="22"/>
              </w:rPr>
            </w:pPr>
          </w:p>
        </w:tc>
      </w:tr>
      <w:tr w:rsidR="008C75E4" w:rsidRPr="008C75E4" w14:paraId="2E6F021E" w14:textId="77777777" w:rsidTr="003257F0">
        <w:trPr>
          <w:trHeight w:val="864"/>
          <w:jc w:val="center"/>
        </w:trPr>
        <w:tc>
          <w:tcPr>
            <w:tcW w:w="9968" w:type="dxa"/>
            <w:gridSpan w:val="13"/>
            <w:tcMar>
              <w:top w:w="57" w:type="dxa"/>
              <w:bottom w:w="57" w:type="dxa"/>
            </w:tcMar>
          </w:tcPr>
          <w:p w14:paraId="610C9D4B"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60C9815" w14:textId="77777777" w:rsidR="004A2E05" w:rsidRDefault="004A2E05" w:rsidP="00454754">
            <w:pPr>
              <w:pStyle w:val="Header"/>
              <w:tabs>
                <w:tab w:val="clear" w:pos="4153"/>
                <w:tab w:val="clear" w:pos="8306"/>
              </w:tabs>
              <w:contextualSpacing/>
              <w:jc w:val="both"/>
              <w:rPr>
                <w:rFonts w:ascii="Calibri" w:hAnsi="Calibri"/>
                <w:szCs w:val="22"/>
              </w:rPr>
            </w:pPr>
          </w:p>
          <w:p w14:paraId="65883058" w14:textId="34B38546" w:rsidR="00C44E40" w:rsidRDefault="00B13CAE" w:rsidP="00454754">
            <w:pPr>
              <w:pStyle w:val="Header"/>
              <w:tabs>
                <w:tab w:val="clear" w:pos="4153"/>
                <w:tab w:val="clear" w:pos="8306"/>
              </w:tabs>
              <w:contextualSpacing/>
              <w:jc w:val="both"/>
              <w:rPr>
                <w:rFonts w:ascii="Calibri" w:hAnsi="Calibri"/>
                <w:szCs w:val="22"/>
              </w:rPr>
            </w:pPr>
            <w:r>
              <w:rPr>
                <w:rFonts w:ascii="Calibri" w:hAnsi="Calibri"/>
                <w:szCs w:val="22"/>
              </w:rPr>
              <w:t xml:space="preserve">Having regard to local and national planning policy and the material planning considerations it is recommended accordingly. </w:t>
            </w:r>
          </w:p>
          <w:p w14:paraId="3BFB300C" w14:textId="77777777" w:rsidR="004A2E05" w:rsidRPr="00BA2247" w:rsidRDefault="004A2E05" w:rsidP="00454754">
            <w:pPr>
              <w:pStyle w:val="Header"/>
              <w:tabs>
                <w:tab w:val="clear" w:pos="4153"/>
                <w:tab w:val="clear" w:pos="8306"/>
              </w:tabs>
              <w:contextualSpacing/>
              <w:jc w:val="both"/>
              <w:rPr>
                <w:rFonts w:ascii="Calibri" w:hAnsi="Calibri"/>
                <w:szCs w:val="22"/>
              </w:rPr>
            </w:pPr>
          </w:p>
        </w:tc>
      </w:tr>
      <w:tr w:rsidR="00C0704D" w:rsidRPr="008C75E4" w14:paraId="43D58C54" w14:textId="77777777" w:rsidTr="006D3AB5">
        <w:trPr>
          <w:jc w:val="center"/>
        </w:trPr>
        <w:tc>
          <w:tcPr>
            <w:tcW w:w="2667" w:type="dxa"/>
            <w:gridSpan w:val="4"/>
            <w:tcMar>
              <w:top w:w="57" w:type="dxa"/>
              <w:bottom w:w="57" w:type="dxa"/>
            </w:tcMar>
          </w:tcPr>
          <w:p w14:paraId="73B116DB"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7301" w:type="dxa"/>
            <w:gridSpan w:val="9"/>
          </w:tcPr>
          <w:p w14:paraId="6BC6C737" w14:textId="5BC89B97" w:rsidR="00C0704D" w:rsidRPr="008C75E4" w:rsidRDefault="00CC2D6D" w:rsidP="006126D1">
            <w:pPr>
              <w:jc w:val="both"/>
              <w:rPr>
                <w:rFonts w:ascii="Calibri" w:hAnsi="Calibri"/>
                <w:bCs/>
                <w:szCs w:val="22"/>
              </w:rPr>
            </w:pPr>
            <w:r>
              <w:rPr>
                <w:rFonts w:ascii="Calibri" w:hAnsi="Calibri"/>
                <w:bCs/>
                <w:szCs w:val="22"/>
              </w:rPr>
              <w:t xml:space="preserve">To </w:t>
            </w:r>
            <w:r w:rsidR="00FF17D6">
              <w:rPr>
                <w:rFonts w:ascii="Calibri" w:hAnsi="Calibri"/>
                <w:bCs/>
                <w:szCs w:val="22"/>
              </w:rPr>
              <w:t xml:space="preserve">grant </w:t>
            </w:r>
            <w:r>
              <w:rPr>
                <w:rFonts w:ascii="Calibri" w:hAnsi="Calibri"/>
                <w:bCs/>
                <w:szCs w:val="22"/>
              </w:rPr>
              <w:t>planning permission</w:t>
            </w:r>
            <w:r w:rsidR="00FF17D6">
              <w:rPr>
                <w:rFonts w:ascii="Calibri" w:hAnsi="Calibri"/>
                <w:bCs/>
                <w:szCs w:val="22"/>
              </w:rPr>
              <w:t xml:space="preserve"> subject to appropriate conditions.</w:t>
            </w:r>
          </w:p>
        </w:tc>
      </w:tr>
    </w:tbl>
    <w:p w14:paraId="72755C63" w14:textId="77777777" w:rsidR="00C33F7E" w:rsidRPr="008C75E4" w:rsidRDefault="00C33F7E" w:rsidP="006126D1">
      <w:pPr>
        <w:jc w:val="both"/>
        <w:rPr>
          <w:rFonts w:ascii="Calibri" w:hAnsi="Calibri"/>
          <w:szCs w:val="22"/>
        </w:rPr>
      </w:pPr>
    </w:p>
    <w:sectPr w:rsidR="00C33F7E"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A137D" w14:textId="77777777" w:rsidR="00D80310" w:rsidRDefault="00D80310" w:rsidP="006D0B5F">
      <w:r>
        <w:separator/>
      </w:r>
    </w:p>
  </w:endnote>
  <w:endnote w:type="continuationSeparator" w:id="0">
    <w:p w14:paraId="6DE6FCE3"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ADCC5" w14:textId="77777777" w:rsidR="00D80310" w:rsidRDefault="00D80310" w:rsidP="006D0B5F">
      <w:r>
        <w:separator/>
      </w:r>
    </w:p>
  </w:footnote>
  <w:footnote w:type="continuationSeparator" w:id="0">
    <w:p w14:paraId="7E5C673A"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60F09"/>
    <w:multiLevelType w:val="hybridMultilevel"/>
    <w:tmpl w:val="ECC62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13D95"/>
    <w:multiLevelType w:val="hybridMultilevel"/>
    <w:tmpl w:val="6576BCD0"/>
    <w:lvl w:ilvl="0" w:tplc="05CCC7BC">
      <w:start w:val="8"/>
      <w:numFmt w:val="lowerRoman"/>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F81AC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D6DC9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6884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9ACC4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2E0AE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9436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96683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FE43D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7C4CBF"/>
    <w:multiLevelType w:val="hybridMultilevel"/>
    <w:tmpl w:val="12861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40888"/>
    <w:multiLevelType w:val="hybridMultilevel"/>
    <w:tmpl w:val="F26C9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92680"/>
    <w:multiLevelType w:val="hybridMultilevel"/>
    <w:tmpl w:val="6478BA7A"/>
    <w:lvl w:ilvl="0" w:tplc="5F2A5262">
      <w:start w:val="4"/>
      <w:numFmt w:val="low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87E2A">
      <w:start w:val="1"/>
      <w:numFmt w:val="lowerLetter"/>
      <w:lvlText w:val="%2"/>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E7B50">
      <w:start w:val="1"/>
      <w:numFmt w:val="lowerRoman"/>
      <w:lvlText w:val="%3"/>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497DA">
      <w:start w:val="1"/>
      <w:numFmt w:val="decimal"/>
      <w:lvlText w:val="%4"/>
      <w:lvlJc w:val="left"/>
      <w:pPr>
        <w:ind w:left="2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6CD64">
      <w:start w:val="1"/>
      <w:numFmt w:val="lowerLetter"/>
      <w:lvlText w:val="%5"/>
      <w:lvlJc w:val="left"/>
      <w:pPr>
        <w:ind w:left="3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4D66A">
      <w:start w:val="1"/>
      <w:numFmt w:val="lowerRoman"/>
      <w:lvlText w:val="%6"/>
      <w:lvlJc w:val="left"/>
      <w:pPr>
        <w:ind w:left="3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4C370">
      <w:start w:val="1"/>
      <w:numFmt w:val="decimal"/>
      <w:lvlText w:val="%7"/>
      <w:lvlJc w:val="left"/>
      <w:pPr>
        <w:ind w:left="4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383A90">
      <w:start w:val="1"/>
      <w:numFmt w:val="lowerLetter"/>
      <w:lvlText w:val="%8"/>
      <w:lvlJc w:val="left"/>
      <w:pPr>
        <w:ind w:left="5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4D728">
      <w:start w:val="1"/>
      <w:numFmt w:val="lowerRoman"/>
      <w:lvlText w:val="%9"/>
      <w:lvlJc w:val="left"/>
      <w:pPr>
        <w:ind w:left="6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E0162A"/>
    <w:multiLevelType w:val="hybridMultilevel"/>
    <w:tmpl w:val="EDA45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D70FA1"/>
    <w:multiLevelType w:val="hybridMultilevel"/>
    <w:tmpl w:val="9CD0824C"/>
    <w:lvl w:ilvl="0" w:tplc="2F543934">
      <w:start w:val="1"/>
      <w:numFmt w:val="lowerRoman"/>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768E3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AE4F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4810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4748C">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83B88">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ED97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22C3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ACF40">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E0FA2"/>
    <w:multiLevelType w:val="hybridMultilevel"/>
    <w:tmpl w:val="E98AE786"/>
    <w:lvl w:ilvl="0" w:tplc="8804659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0C400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5027A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5C98D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C29A7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343C1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60AAA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BE82D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CED11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642726">
    <w:abstractNumId w:val="17"/>
  </w:num>
  <w:num w:numId="2" w16cid:durableId="1765153513">
    <w:abstractNumId w:val="11"/>
  </w:num>
  <w:num w:numId="3" w16cid:durableId="1578512299">
    <w:abstractNumId w:val="7"/>
  </w:num>
  <w:num w:numId="4" w16cid:durableId="1124469357">
    <w:abstractNumId w:val="8"/>
  </w:num>
  <w:num w:numId="5" w16cid:durableId="831026310">
    <w:abstractNumId w:val="0"/>
  </w:num>
  <w:num w:numId="6" w16cid:durableId="393702018">
    <w:abstractNumId w:val="2"/>
  </w:num>
  <w:num w:numId="7" w16cid:durableId="464126463">
    <w:abstractNumId w:val="9"/>
  </w:num>
  <w:num w:numId="8" w16cid:durableId="1127700207">
    <w:abstractNumId w:val="15"/>
  </w:num>
  <w:num w:numId="9" w16cid:durableId="1874607165">
    <w:abstractNumId w:val="5"/>
  </w:num>
  <w:num w:numId="10" w16cid:durableId="254439274">
    <w:abstractNumId w:val="10"/>
  </w:num>
  <w:num w:numId="11" w16cid:durableId="91125650">
    <w:abstractNumId w:val="13"/>
  </w:num>
  <w:num w:numId="12" w16cid:durableId="1254902735">
    <w:abstractNumId w:val="1"/>
  </w:num>
  <w:num w:numId="13" w16cid:durableId="1997762277">
    <w:abstractNumId w:val="4"/>
  </w:num>
  <w:num w:numId="14" w16cid:durableId="2061976387">
    <w:abstractNumId w:val="6"/>
  </w:num>
  <w:num w:numId="15" w16cid:durableId="770929792">
    <w:abstractNumId w:val="3"/>
  </w:num>
  <w:num w:numId="16" w16cid:durableId="791939610">
    <w:abstractNumId w:val="16"/>
  </w:num>
  <w:num w:numId="17" w16cid:durableId="235747893">
    <w:abstractNumId w:val="14"/>
  </w:num>
  <w:num w:numId="18" w16cid:durableId="6723004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2075"/>
    <w:rsid w:val="0008638E"/>
    <w:rsid w:val="000A59BB"/>
    <w:rsid w:val="000B5CB5"/>
    <w:rsid w:val="000C7A57"/>
    <w:rsid w:val="000D6BE8"/>
    <w:rsid w:val="000E0EB9"/>
    <w:rsid w:val="000F1290"/>
    <w:rsid w:val="00101855"/>
    <w:rsid w:val="0010371E"/>
    <w:rsid w:val="001050F4"/>
    <w:rsid w:val="00106932"/>
    <w:rsid w:val="00111B00"/>
    <w:rsid w:val="00112450"/>
    <w:rsid w:val="0012145F"/>
    <w:rsid w:val="00130035"/>
    <w:rsid w:val="00141512"/>
    <w:rsid w:val="0014200A"/>
    <w:rsid w:val="001446DC"/>
    <w:rsid w:val="0016428F"/>
    <w:rsid w:val="00174004"/>
    <w:rsid w:val="001946E0"/>
    <w:rsid w:val="00196722"/>
    <w:rsid w:val="00197D7A"/>
    <w:rsid w:val="001B28D0"/>
    <w:rsid w:val="001B769B"/>
    <w:rsid w:val="001C08C1"/>
    <w:rsid w:val="001C1453"/>
    <w:rsid w:val="001D4F7A"/>
    <w:rsid w:val="001D5ADD"/>
    <w:rsid w:val="001F2FA1"/>
    <w:rsid w:val="00203F50"/>
    <w:rsid w:val="00206E24"/>
    <w:rsid w:val="00237DA1"/>
    <w:rsid w:val="00250879"/>
    <w:rsid w:val="002570A4"/>
    <w:rsid w:val="002842FC"/>
    <w:rsid w:val="00284480"/>
    <w:rsid w:val="0028751A"/>
    <w:rsid w:val="0029334A"/>
    <w:rsid w:val="002A01CF"/>
    <w:rsid w:val="002A7DF7"/>
    <w:rsid w:val="002B7854"/>
    <w:rsid w:val="002C0C20"/>
    <w:rsid w:val="002C6277"/>
    <w:rsid w:val="002D4346"/>
    <w:rsid w:val="002E2952"/>
    <w:rsid w:val="002E7CC1"/>
    <w:rsid w:val="002F041D"/>
    <w:rsid w:val="002F2580"/>
    <w:rsid w:val="002F7502"/>
    <w:rsid w:val="003137E0"/>
    <w:rsid w:val="00317EA8"/>
    <w:rsid w:val="00320A6F"/>
    <w:rsid w:val="00321B6E"/>
    <w:rsid w:val="003257F0"/>
    <w:rsid w:val="003359D0"/>
    <w:rsid w:val="00341B07"/>
    <w:rsid w:val="00341E8D"/>
    <w:rsid w:val="00347F5E"/>
    <w:rsid w:val="003562A3"/>
    <w:rsid w:val="003634D9"/>
    <w:rsid w:val="0036759A"/>
    <w:rsid w:val="003759DD"/>
    <w:rsid w:val="003825D5"/>
    <w:rsid w:val="00385119"/>
    <w:rsid w:val="003A4376"/>
    <w:rsid w:val="003C28E1"/>
    <w:rsid w:val="003D30DC"/>
    <w:rsid w:val="003E0048"/>
    <w:rsid w:val="003E2151"/>
    <w:rsid w:val="003F16AA"/>
    <w:rsid w:val="003F16B4"/>
    <w:rsid w:val="003F3DB5"/>
    <w:rsid w:val="003F481A"/>
    <w:rsid w:val="004030D3"/>
    <w:rsid w:val="00404C72"/>
    <w:rsid w:val="00435FC9"/>
    <w:rsid w:val="0044039F"/>
    <w:rsid w:val="00440CB6"/>
    <w:rsid w:val="00454754"/>
    <w:rsid w:val="004654DD"/>
    <w:rsid w:val="00482DA8"/>
    <w:rsid w:val="004854EC"/>
    <w:rsid w:val="004936A6"/>
    <w:rsid w:val="004947BB"/>
    <w:rsid w:val="004A2A0C"/>
    <w:rsid w:val="004A2E05"/>
    <w:rsid w:val="004A5EA9"/>
    <w:rsid w:val="004B1D18"/>
    <w:rsid w:val="004C19ED"/>
    <w:rsid w:val="004C2434"/>
    <w:rsid w:val="004D4BEB"/>
    <w:rsid w:val="004D6FC7"/>
    <w:rsid w:val="004E58E3"/>
    <w:rsid w:val="004F0649"/>
    <w:rsid w:val="004F1043"/>
    <w:rsid w:val="004F186B"/>
    <w:rsid w:val="004F1E99"/>
    <w:rsid w:val="004F2E7B"/>
    <w:rsid w:val="0050432D"/>
    <w:rsid w:val="00504440"/>
    <w:rsid w:val="00510DBF"/>
    <w:rsid w:val="00510FA2"/>
    <w:rsid w:val="00510FE3"/>
    <w:rsid w:val="00521ABA"/>
    <w:rsid w:val="00525341"/>
    <w:rsid w:val="00527A31"/>
    <w:rsid w:val="00534611"/>
    <w:rsid w:val="00534B79"/>
    <w:rsid w:val="00541C66"/>
    <w:rsid w:val="00545D8C"/>
    <w:rsid w:val="005525B9"/>
    <w:rsid w:val="00556ECD"/>
    <w:rsid w:val="00560A22"/>
    <w:rsid w:val="005631B3"/>
    <w:rsid w:val="005633B0"/>
    <w:rsid w:val="005635FF"/>
    <w:rsid w:val="00573B90"/>
    <w:rsid w:val="005878FE"/>
    <w:rsid w:val="00593040"/>
    <w:rsid w:val="00595DB0"/>
    <w:rsid w:val="005B0A0E"/>
    <w:rsid w:val="005B3BF0"/>
    <w:rsid w:val="005D13C7"/>
    <w:rsid w:val="005D3432"/>
    <w:rsid w:val="005E1C6C"/>
    <w:rsid w:val="005E65DF"/>
    <w:rsid w:val="005F7A80"/>
    <w:rsid w:val="006126D1"/>
    <w:rsid w:val="006326A2"/>
    <w:rsid w:val="00647026"/>
    <w:rsid w:val="00665C24"/>
    <w:rsid w:val="00690EC3"/>
    <w:rsid w:val="00692B60"/>
    <w:rsid w:val="00693B06"/>
    <w:rsid w:val="00695F88"/>
    <w:rsid w:val="006A05DE"/>
    <w:rsid w:val="006A7130"/>
    <w:rsid w:val="006A71AD"/>
    <w:rsid w:val="006B011D"/>
    <w:rsid w:val="006C126E"/>
    <w:rsid w:val="006C2BFA"/>
    <w:rsid w:val="006D0B5F"/>
    <w:rsid w:val="006D3AB5"/>
    <w:rsid w:val="006D4E58"/>
    <w:rsid w:val="006D7624"/>
    <w:rsid w:val="006F137D"/>
    <w:rsid w:val="006F4D38"/>
    <w:rsid w:val="0070054B"/>
    <w:rsid w:val="00706480"/>
    <w:rsid w:val="00710DBB"/>
    <w:rsid w:val="00725F1C"/>
    <w:rsid w:val="007430C8"/>
    <w:rsid w:val="00752742"/>
    <w:rsid w:val="00755FCC"/>
    <w:rsid w:val="0076591E"/>
    <w:rsid w:val="00773DD2"/>
    <w:rsid w:val="00776AE2"/>
    <w:rsid w:val="007921CD"/>
    <w:rsid w:val="007A6D5A"/>
    <w:rsid w:val="007C5713"/>
    <w:rsid w:val="007C791C"/>
    <w:rsid w:val="007D6D02"/>
    <w:rsid w:val="007D7DF4"/>
    <w:rsid w:val="007E0D23"/>
    <w:rsid w:val="007F196D"/>
    <w:rsid w:val="00805895"/>
    <w:rsid w:val="008075CB"/>
    <w:rsid w:val="00811771"/>
    <w:rsid w:val="008154DD"/>
    <w:rsid w:val="00815504"/>
    <w:rsid w:val="008542DE"/>
    <w:rsid w:val="008638DE"/>
    <w:rsid w:val="0089023C"/>
    <w:rsid w:val="00891182"/>
    <w:rsid w:val="008A28C8"/>
    <w:rsid w:val="008C75E4"/>
    <w:rsid w:val="008F6B58"/>
    <w:rsid w:val="008F6B59"/>
    <w:rsid w:val="00900FA1"/>
    <w:rsid w:val="00901DF7"/>
    <w:rsid w:val="0090282C"/>
    <w:rsid w:val="00906D0C"/>
    <w:rsid w:val="00932DCE"/>
    <w:rsid w:val="00934B34"/>
    <w:rsid w:val="009520C4"/>
    <w:rsid w:val="009565F5"/>
    <w:rsid w:val="009825FF"/>
    <w:rsid w:val="00985097"/>
    <w:rsid w:val="00994EF1"/>
    <w:rsid w:val="009B567F"/>
    <w:rsid w:val="009C4BCF"/>
    <w:rsid w:val="009C7F61"/>
    <w:rsid w:val="009E466E"/>
    <w:rsid w:val="009E6A8B"/>
    <w:rsid w:val="00A03C6F"/>
    <w:rsid w:val="00A04A96"/>
    <w:rsid w:val="00A40070"/>
    <w:rsid w:val="00A42E82"/>
    <w:rsid w:val="00A46EE9"/>
    <w:rsid w:val="00A55E83"/>
    <w:rsid w:val="00A579BB"/>
    <w:rsid w:val="00A60797"/>
    <w:rsid w:val="00A63D55"/>
    <w:rsid w:val="00A8441B"/>
    <w:rsid w:val="00A9088C"/>
    <w:rsid w:val="00A9168C"/>
    <w:rsid w:val="00A95D89"/>
    <w:rsid w:val="00AB2CFC"/>
    <w:rsid w:val="00AB3243"/>
    <w:rsid w:val="00AB5232"/>
    <w:rsid w:val="00AB601D"/>
    <w:rsid w:val="00B1275E"/>
    <w:rsid w:val="00B13CAE"/>
    <w:rsid w:val="00B14DDC"/>
    <w:rsid w:val="00B30A5E"/>
    <w:rsid w:val="00B31505"/>
    <w:rsid w:val="00B47FA8"/>
    <w:rsid w:val="00B6269C"/>
    <w:rsid w:val="00B74C73"/>
    <w:rsid w:val="00B7673D"/>
    <w:rsid w:val="00B85F63"/>
    <w:rsid w:val="00B93EB5"/>
    <w:rsid w:val="00B96F5A"/>
    <w:rsid w:val="00BA2247"/>
    <w:rsid w:val="00BA5D97"/>
    <w:rsid w:val="00BA6B19"/>
    <w:rsid w:val="00BB1C52"/>
    <w:rsid w:val="00BB2A50"/>
    <w:rsid w:val="00BC1E48"/>
    <w:rsid w:val="00BD3F03"/>
    <w:rsid w:val="00BD4A98"/>
    <w:rsid w:val="00C0704D"/>
    <w:rsid w:val="00C13F8D"/>
    <w:rsid w:val="00C214A6"/>
    <w:rsid w:val="00C24A51"/>
    <w:rsid w:val="00C25722"/>
    <w:rsid w:val="00C33F7E"/>
    <w:rsid w:val="00C44E40"/>
    <w:rsid w:val="00C50517"/>
    <w:rsid w:val="00C618DB"/>
    <w:rsid w:val="00C6456D"/>
    <w:rsid w:val="00C93384"/>
    <w:rsid w:val="00CA28BA"/>
    <w:rsid w:val="00CC1B36"/>
    <w:rsid w:val="00CC2D6D"/>
    <w:rsid w:val="00CD1729"/>
    <w:rsid w:val="00CD2E03"/>
    <w:rsid w:val="00CD38B1"/>
    <w:rsid w:val="00CE2D95"/>
    <w:rsid w:val="00D102D9"/>
    <w:rsid w:val="00D1063F"/>
    <w:rsid w:val="00D11007"/>
    <w:rsid w:val="00D1420C"/>
    <w:rsid w:val="00D23470"/>
    <w:rsid w:val="00D23E08"/>
    <w:rsid w:val="00D2449B"/>
    <w:rsid w:val="00D43CF6"/>
    <w:rsid w:val="00D54384"/>
    <w:rsid w:val="00D54E67"/>
    <w:rsid w:val="00D54F48"/>
    <w:rsid w:val="00D632BB"/>
    <w:rsid w:val="00D80310"/>
    <w:rsid w:val="00D9608A"/>
    <w:rsid w:val="00D96DF7"/>
    <w:rsid w:val="00D97AA3"/>
    <w:rsid w:val="00DA27B6"/>
    <w:rsid w:val="00DB61F7"/>
    <w:rsid w:val="00DC3C8A"/>
    <w:rsid w:val="00DD31D7"/>
    <w:rsid w:val="00DD62F6"/>
    <w:rsid w:val="00DD7E97"/>
    <w:rsid w:val="00DE740E"/>
    <w:rsid w:val="00DF0319"/>
    <w:rsid w:val="00DF42DA"/>
    <w:rsid w:val="00E03AFD"/>
    <w:rsid w:val="00E0485E"/>
    <w:rsid w:val="00E06DFC"/>
    <w:rsid w:val="00E23FB0"/>
    <w:rsid w:val="00E270CB"/>
    <w:rsid w:val="00E3317F"/>
    <w:rsid w:val="00E46243"/>
    <w:rsid w:val="00E66534"/>
    <w:rsid w:val="00E719D1"/>
    <w:rsid w:val="00E71A35"/>
    <w:rsid w:val="00E72F6C"/>
    <w:rsid w:val="00E77B96"/>
    <w:rsid w:val="00E80113"/>
    <w:rsid w:val="00EA09F9"/>
    <w:rsid w:val="00EA1673"/>
    <w:rsid w:val="00EA33B0"/>
    <w:rsid w:val="00EB7D74"/>
    <w:rsid w:val="00EC23C7"/>
    <w:rsid w:val="00ED00B7"/>
    <w:rsid w:val="00EF1341"/>
    <w:rsid w:val="00EF2425"/>
    <w:rsid w:val="00EF44E6"/>
    <w:rsid w:val="00EF7796"/>
    <w:rsid w:val="00F012FA"/>
    <w:rsid w:val="00F02049"/>
    <w:rsid w:val="00F055D3"/>
    <w:rsid w:val="00F129DD"/>
    <w:rsid w:val="00F16D0F"/>
    <w:rsid w:val="00F21BFE"/>
    <w:rsid w:val="00F32789"/>
    <w:rsid w:val="00F52353"/>
    <w:rsid w:val="00F564C4"/>
    <w:rsid w:val="00F678CC"/>
    <w:rsid w:val="00F7088C"/>
    <w:rsid w:val="00F71D53"/>
    <w:rsid w:val="00F731F5"/>
    <w:rsid w:val="00F75F59"/>
    <w:rsid w:val="00F81EEE"/>
    <w:rsid w:val="00F8201E"/>
    <w:rsid w:val="00FA48EB"/>
    <w:rsid w:val="00FC046F"/>
    <w:rsid w:val="00FC6A11"/>
    <w:rsid w:val="00FC77EC"/>
    <w:rsid w:val="00FD334A"/>
    <w:rsid w:val="00FD6AE3"/>
    <w:rsid w:val="00FF17D6"/>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5E48"/>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next w:val="Normal"/>
    <w:link w:val="Heading1Char"/>
    <w:uiPriority w:val="9"/>
    <w:qFormat/>
    <w:rsid w:val="00EF7796"/>
    <w:pPr>
      <w:keepNext/>
      <w:keepLines/>
      <w:spacing w:after="0" w:line="259" w:lineRule="auto"/>
      <w:ind w:left="10" w:hanging="10"/>
      <w:outlineLvl w:val="0"/>
    </w:pPr>
    <w:rPr>
      <w:rFonts w:ascii="Arial" w:eastAsia="Arial" w:hAnsi="Arial" w:cs="Arial"/>
      <w:b/>
      <w:color w:val="000000"/>
      <w:kern w:val="2"/>
      <w:sz w:val="24"/>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1Char">
    <w:name w:val="Heading 1 Char"/>
    <w:basedOn w:val="DefaultParagraphFont"/>
    <w:link w:val="Heading1"/>
    <w:rsid w:val="00EF7796"/>
    <w:rPr>
      <w:rFonts w:ascii="Arial" w:eastAsia="Arial" w:hAnsi="Arial" w:cs="Arial"/>
      <w:b/>
      <w:color w:val="000000"/>
      <w:kern w:val="2"/>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3E27-CE1D-44A6-8BB9-CE2560D8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Carly Miskell</cp:lastModifiedBy>
  <cp:revision>2</cp:revision>
  <cp:lastPrinted>2025-05-02T11:54:00Z</cp:lastPrinted>
  <dcterms:created xsi:type="dcterms:W3CDTF">2025-05-02T13:05:00Z</dcterms:created>
  <dcterms:modified xsi:type="dcterms:W3CDTF">2025-05-02T13:05:00Z</dcterms:modified>
</cp:coreProperties>
</file>