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4"/>
        <w:gridCol w:w="137"/>
        <w:gridCol w:w="36"/>
        <w:gridCol w:w="658"/>
        <w:gridCol w:w="192"/>
        <w:gridCol w:w="473"/>
        <w:gridCol w:w="671"/>
        <w:gridCol w:w="696"/>
        <w:gridCol w:w="602"/>
        <w:gridCol w:w="899"/>
        <w:gridCol w:w="540"/>
        <w:gridCol w:w="949"/>
        <w:gridCol w:w="986"/>
        <w:gridCol w:w="1075"/>
      </w:tblGrid>
      <w:tr w:rsidR="004A5EA9" w:rsidRPr="00D2449B" w14:paraId="230E00AF"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A051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0CABFF2" w:rsidR="00837F4F" w:rsidRPr="00D2449B" w:rsidRDefault="003111F6"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57DD83C" w:rsidR="00837F4F" w:rsidRPr="00D2449B" w:rsidRDefault="003111F6" w:rsidP="00D2449B">
            <w:pPr>
              <w:jc w:val="center"/>
              <w:rPr>
                <w:rFonts w:ascii="Calibri" w:hAnsi="Calibri"/>
                <w:b/>
                <w:szCs w:val="22"/>
              </w:rPr>
            </w:pPr>
            <w:r>
              <w:rPr>
                <w:rFonts w:ascii="Calibri" w:hAnsi="Calibri"/>
                <w:b/>
                <w:szCs w:val="22"/>
              </w:rPr>
              <w:t>05/01/2023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2EEA35" w:rsidR="00837F4F" w:rsidRPr="00D2449B" w:rsidRDefault="002528F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743A597" w:rsidR="00837F4F" w:rsidRPr="00D2449B" w:rsidRDefault="002528FD" w:rsidP="00D2449B">
            <w:pPr>
              <w:jc w:val="center"/>
              <w:rPr>
                <w:rFonts w:ascii="Calibri" w:hAnsi="Calibri"/>
                <w:b/>
                <w:szCs w:val="22"/>
              </w:rPr>
            </w:pPr>
            <w:r>
              <w:rPr>
                <w:rFonts w:ascii="Calibri" w:hAnsi="Calibri"/>
                <w:b/>
                <w:szCs w:val="22"/>
              </w:rPr>
              <w:t>09/01/23</w:t>
            </w:r>
          </w:p>
        </w:tc>
      </w:tr>
      <w:tr w:rsidR="004A5EA9" w:rsidRPr="00D2449B" w14:paraId="2094A164" w14:textId="77777777" w:rsidTr="000A0510">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A051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7F67F0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A0510">
              <w:rPr>
                <w:rFonts w:ascii="Calibri" w:hAnsi="Calibri"/>
                <w:szCs w:val="22"/>
              </w:rPr>
              <w:t>23</w:t>
            </w:r>
            <w:r w:rsidR="00C0704D">
              <w:rPr>
                <w:rFonts w:ascii="Calibri" w:hAnsi="Calibri"/>
                <w:szCs w:val="22"/>
              </w:rPr>
              <w:t>/</w:t>
            </w:r>
            <w:r w:rsidR="000A0510">
              <w:rPr>
                <w:rFonts w:ascii="Calibri" w:hAnsi="Calibri"/>
                <w:szCs w:val="22"/>
              </w:rPr>
              <w:t>0810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A051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6FBC829" w:rsidR="00824DB6" w:rsidRPr="00C0704D" w:rsidRDefault="000A0510" w:rsidP="002C6277">
            <w:pPr>
              <w:rPr>
                <w:rFonts w:ascii="Calibri" w:hAnsi="Calibri"/>
                <w:szCs w:val="22"/>
              </w:rPr>
            </w:pPr>
            <w:r>
              <w:rPr>
                <w:rFonts w:ascii="Calibri" w:hAnsi="Calibri"/>
                <w:szCs w:val="22"/>
              </w:rPr>
              <w:t>22/11/2023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28D70D1" w:rsidR="00824DB6" w:rsidRPr="00C0704D" w:rsidRDefault="000A0510" w:rsidP="002C6277">
            <w:pPr>
              <w:rPr>
                <w:rFonts w:ascii="Calibri" w:hAnsi="Calibri"/>
                <w:szCs w:val="22"/>
              </w:rPr>
            </w:pPr>
            <w:r>
              <w:rPr>
                <w:rFonts w:ascii="Calibri" w:hAnsi="Calibri"/>
                <w:szCs w:val="22"/>
              </w:rPr>
              <w:t>22/11/2023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A051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528FD" w:rsidRDefault="00D2449B">
            <w:pPr>
              <w:rPr>
                <w:rFonts w:ascii="Calibri" w:hAnsi="Calibri"/>
                <w:b/>
                <w:szCs w:val="22"/>
              </w:rPr>
            </w:pPr>
            <w:r w:rsidRPr="002528FD">
              <w:rPr>
                <w:rFonts w:ascii="Calibri" w:hAnsi="Calibri"/>
                <w:b/>
                <w:szCs w:val="22"/>
              </w:rPr>
              <w:t>Officer</w:t>
            </w:r>
            <w:r w:rsidR="004A5EA9" w:rsidRPr="002528FD">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09DD7BC" w:rsidR="004A5EA9" w:rsidRPr="002528FD" w:rsidRDefault="000A0510" w:rsidP="00811771">
            <w:pPr>
              <w:rPr>
                <w:rFonts w:ascii="Calibri" w:hAnsi="Calibri"/>
                <w:szCs w:val="22"/>
              </w:rPr>
            </w:pPr>
            <w:r w:rsidRPr="002528F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A0510">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A051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A05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15151A2" w:rsidR="004A5EA9" w:rsidRPr="002C6277" w:rsidRDefault="000A0510">
            <w:pPr>
              <w:rPr>
                <w:rFonts w:ascii="Calibri" w:hAnsi="Calibri"/>
                <w:szCs w:val="22"/>
              </w:rPr>
            </w:pPr>
            <w:r>
              <w:rPr>
                <w:rFonts w:ascii="Calibri" w:hAnsi="Calibri"/>
                <w:szCs w:val="22"/>
              </w:rPr>
              <w:t xml:space="preserve">Proposed single-storey conservatory to side. </w:t>
            </w:r>
          </w:p>
        </w:tc>
      </w:tr>
      <w:tr w:rsidR="002A01CF" w:rsidRPr="00D2449B" w14:paraId="52988241" w14:textId="77777777" w:rsidTr="000A05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7B30FB1" w:rsidR="002A01CF" w:rsidRPr="002C6277" w:rsidRDefault="000A0510" w:rsidP="00A42E82">
            <w:pPr>
              <w:rPr>
                <w:rFonts w:ascii="Calibri" w:hAnsi="Calibri"/>
                <w:szCs w:val="22"/>
              </w:rPr>
            </w:pPr>
            <w:r>
              <w:rPr>
                <w:rFonts w:ascii="Calibri" w:hAnsi="Calibri"/>
                <w:szCs w:val="22"/>
              </w:rPr>
              <w:t>5 Hawthorn Close Langho BB6 8DZ</w:t>
            </w:r>
          </w:p>
        </w:tc>
      </w:tr>
      <w:tr w:rsidR="00A95D89" w:rsidRPr="00D2449B" w14:paraId="3FB99B2E" w14:textId="77777777" w:rsidTr="000A051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A05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C31109A" w:rsidR="002A01CF" w:rsidRPr="00840774" w:rsidRDefault="00840774">
            <w:pPr>
              <w:rPr>
                <w:rFonts w:ascii="Calibri" w:hAnsi="Calibri"/>
                <w:bCs/>
                <w:szCs w:val="22"/>
              </w:rPr>
            </w:pPr>
            <w:r w:rsidRPr="00840774">
              <w:rPr>
                <w:rFonts w:ascii="Calibri" w:hAnsi="Calibri"/>
                <w:bCs/>
                <w:szCs w:val="22"/>
              </w:rPr>
              <w:t xml:space="preserve">No comments received. </w:t>
            </w:r>
          </w:p>
        </w:tc>
      </w:tr>
      <w:tr w:rsidR="00C618DB" w:rsidRPr="00D2449B" w14:paraId="639E958B" w14:textId="77777777" w:rsidTr="000A051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A05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A05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800ADA7" w:rsidR="002A01CF" w:rsidRPr="00D2449B" w:rsidRDefault="00840774">
            <w:pPr>
              <w:rPr>
                <w:rFonts w:ascii="Calibri" w:hAnsi="Calibri"/>
                <w:b/>
                <w:szCs w:val="22"/>
              </w:rPr>
            </w:pPr>
            <w:r>
              <w:rPr>
                <w:rFonts w:ascii="Calibri" w:hAnsi="Calibri"/>
                <w:b/>
                <w:szCs w:val="22"/>
              </w:rPr>
              <w:t>N/A</w:t>
            </w:r>
          </w:p>
        </w:tc>
      </w:tr>
      <w:tr w:rsidR="00C0704D" w:rsidRPr="00D2449B" w14:paraId="62663AAF"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A051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FBED21" w:rsidR="00C0704D" w:rsidRPr="00C0704D" w:rsidRDefault="00840774"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A051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260558F3" w14:textId="6FD60F5C" w:rsidR="00F056A7" w:rsidRDefault="00F056A7" w:rsidP="008542DE">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21B1C68"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5584201" w:rsidR="0046548C" w:rsidRPr="003111F6" w:rsidRDefault="00942874" w:rsidP="00C0704D">
            <w:pPr>
              <w:pStyle w:val="PLANNING"/>
              <w:rPr>
                <w:rFonts w:asciiTheme="minorHAnsi" w:hAnsiTheme="minorHAnsi" w:cstheme="minorHAnsi"/>
                <w:b/>
                <w:bCs/>
                <w:szCs w:val="22"/>
              </w:rPr>
            </w:pPr>
            <w:r w:rsidRPr="003111F6">
              <w:rPr>
                <w:rFonts w:asciiTheme="minorHAnsi" w:hAnsiTheme="minorHAnsi" w:cstheme="minorHAnsi"/>
                <w:b/>
                <w:bCs/>
                <w:szCs w:val="22"/>
              </w:rPr>
              <w:t>2022/0506:</w:t>
            </w:r>
            <w:r w:rsidR="0072470C" w:rsidRPr="003111F6">
              <w:rPr>
                <w:rFonts w:asciiTheme="minorHAnsi" w:hAnsiTheme="minorHAnsi" w:cstheme="minorHAnsi"/>
                <w:b/>
                <w:bCs/>
                <w:szCs w:val="22"/>
              </w:rPr>
              <w:t xml:space="preserve"> </w:t>
            </w:r>
            <w:r w:rsidR="0072470C" w:rsidRPr="003111F6">
              <w:rPr>
                <w:rFonts w:asciiTheme="minorHAnsi" w:hAnsiTheme="minorHAnsi" w:cstheme="minorHAnsi"/>
                <w:szCs w:val="22"/>
                <w:shd w:val="clear" w:color="auto" w:fill="FFFFFF"/>
              </w:rPr>
              <w:t>Regularisation of unauthorised change of use of agricultural land to residential curtilage. Resubmission of 3/2022/0049. (refused – appeal dismissed).</w:t>
            </w:r>
          </w:p>
          <w:p w14:paraId="071C7A68" w14:textId="77777777" w:rsidR="00942874" w:rsidRPr="003111F6" w:rsidRDefault="00942874" w:rsidP="00C0704D">
            <w:pPr>
              <w:pStyle w:val="PLANNING"/>
              <w:rPr>
                <w:rFonts w:asciiTheme="minorHAnsi" w:hAnsiTheme="minorHAnsi" w:cstheme="minorHAnsi"/>
                <w:b/>
                <w:bCs/>
                <w:szCs w:val="22"/>
              </w:rPr>
            </w:pPr>
          </w:p>
          <w:p w14:paraId="460EC244" w14:textId="3E2D7758" w:rsidR="00942874" w:rsidRPr="003111F6" w:rsidRDefault="00942874" w:rsidP="00C0704D">
            <w:pPr>
              <w:pStyle w:val="PLANNING"/>
              <w:rPr>
                <w:rFonts w:asciiTheme="minorHAnsi" w:hAnsiTheme="minorHAnsi" w:cstheme="minorHAnsi"/>
                <w:b/>
                <w:bCs/>
                <w:szCs w:val="22"/>
              </w:rPr>
            </w:pPr>
            <w:r w:rsidRPr="003111F6">
              <w:rPr>
                <w:rFonts w:asciiTheme="minorHAnsi" w:hAnsiTheme="minorHAnsi" w:cstheme="minorHAnsi"/>
                <w:b/>
                <w:bCs/>
                <w:szCs w:val="22"/>
              </w:rPr>
              <w:t>2022/0049:</w:t>
            </w:r>
            <w:r w:rsidR="0072470C" w:rsidRPr="003111F6">
              <w:rPr>
                <w:rFonts w:asciiTheme="minorHAnsi" w:hAnsiTheme="minorHAnsi" w:cstheme="minorHAnsi"/>
                <w:b/>
                <w:bCs/>
                <w:szCs w:val="22"/>
              </w:rPr>
              <w:t xml:space="preserve"> </w:t>
            </w:r>
            <w:r w:rsidR="0072470C" w:rsidRPr="003111F6">
              <w:rPr>
                <w:rFonts w:asciiTheme="minorHAnsi" w:hAnsiTheme="minorHAnsi" w:cstheme="minorHAnsi"/>
                <w:szCs w:val="22"/>
                <w:shd w:val="clear" w:color="auto" w:fill="FFFFFF"/>
              </w:rPr>
              <w:t>Regularisation of unauthorised change of use of agricultural land to residential curtilage. (refused).</w:t>
            </w:r>
          </w:p>
          <w:p w14:paraId="6699A61D" w14:textId="77777777" w:rsidR="00942874" w:rsidRPr="003111F6" w:rsidRDefault="00942874" w:rsidP="00C0704D">
            <w:pPr>
              <w:pStyle w:val="PLANNING"/>
              <w:rPr>
                <w:rFonts w:asciiTheme="minorHAnsi" w:hAnsiTheme="minorHAnsi" w:cstheme="minorHAnsi"/>
                <w:b/>
                <w:bCs/>
                <w:szCs w:val="22"/>
              </w:rPr>
            </w:pPr>
          </w:p>
          <w:p w14:paraId="5A029174" w14:textId="7A14BC44" w:rsidR="00942874" w:rsidRPr="003111F6" w:rsidRDefault="00942874" w:rsidP="00C0704D">
            <w:pPr>
              <w:pStyle w:val="PLANNING"/>
              <w:rPr>
                <w:rFonts w:asciiTheme="minorHAnsi" w:hAnsiTheme="minorHAnsi" w:cstheme="minorHAnsi"/>
                <w:b/>
                <w:bCs/>
                <w:szCs w:val="22"/>
              </w:rPr>
            </w:pPr>
            <w:r w:rsidRPr="003111F6">
              <w:rPr>
                <w:rFonts w:asciiTheme="minorHAnsi" w:hAnsiTheme="minorHAnsi" w:cstheme="minorHAnsi"/>
                <w:b/>
                <w:bCs/>
                <w:szCs w:val="22"/>
              </w:rPr>
              <w:t>2021/0886:</w:t>
            </w:r>
            <w:r w:rsidR="0072470C" w:rsidRPr="003111F6">
              <w:rPr>
                <w:rFonts w:asciiTheme="minorHAnsi" w:hAnsiTheme="minorHAnsi" w:cstheme="minorHAnsi"/>
                <w:b/>
                <w:bCs/>
                <w:szCs w:val="22"/>
              </w:rPr>
              <w:t xml:space="preserve"> </w:t>
            </w:r>
            <w:r w:rsidR="0072470C" w:rsidRPr="003111F6">
              <w:rPr>
                <w:rFonts w:asciiTheme="minorHAnsi" w:hAnsiTheme="minorHAnsi" w:cstheme="minorHAnsi"/>
                <w:szCs w:val="22"/>
                <w:shd w:val="clear" w:color="auto" w:fill="FFFFFF"/>
              </w:rPr>
              <w:t>Proposed erection of a timber single storey granny annex for ancillary use to the main dwelling. (refused).</w:t>
            </w:r>
          </w:p>
          <w:p w14:paraId="0C948907" w14:textId="77777777" w:rsidR="00942874" w:rsidRPr="003111F6" w:rsidRDefault="00942874" w:rsidP="00C0704D">
            <w:pPr>
              <w:pStyle w:val="PLANNING"/>
              <w:rPr>
                <w:rFonts w:asciiTheme="minorHAnsi" w:hAnsiTheme="minorHAnsi" w:cstheme="minorHAnsi"/>
                <w:b/>
                <w:bCs/>
                <w:szCs w:val="22"/>
              </w:rPr>
            </w:pPr>
          </w:p>
          <w:p w14:paraId="58A3A846" w14:textId="3637A211" w:rsidR="00942874" w:rsidRPr="003111F6" w:rsidRDefault="00942874" w:rsidP="00C0704D">
            <w:pPr>
              <w:pStyle w:val="PLANNING"/>
              <w:rPr>
                <w:rFonts w:asciiTheme="minorHAnsi" w:hAnsiTheme="minorHAnsi" w:cstheme="minorHAnsi"/>
                <w:b/>
                <w:bCs/>
                <w:szCs w:val="22"/>
              </w:rPr>
            </w:pPr>
            <w:r w:rsidRPr="003111F6">
              <w:rPr>
                <w:rFonts w:asciiTheme="minorHAnsi" w:hAnsiTheme="minorHAnsi" w:cstheme="minorHAnsi"/>
                <w:b/>
                <w:bCs/>
                <w:szCs w:val="22"/>
              </w:rPr>
              <w:t>2021/0867:</w:t>
            </w:r>
            <w:r w:rsidR="0072470C" w:rsidRPr="003111F6">
              <w:rPr>
                <w:rFonts w:asciiTheme="minorHAnsi" w:hAnsiTheme="minorHAnsi" w:cstheme="minorHAnsi"/>
                <w:b/>
                <w:bCs/>
                <w:szCs w:val="22"/>
              </w:rPr>
              <w:t xml:space="preserve"> </w:t>
            </w:r>
            <w:r w:rsidR="0072470C" w:rsidRPr="003111F6">
              <w:rPr>
                <w:rFonts w:asciiTheme="minorHAnsi" w:hAnsiTheme="minorHAnsi" w:cstheme="minorHAnsi"/>
                <w:szCs w:val="22"/>
                <w:shd w:val="clear" w:color="auto" w:fill="FFFFFF"/>
              </w:rPr>
              <w:t>Application to determine whether it would be lawful to site a mobile home on adjacent land to be used as annex accommodation.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A0510">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5E557CD" w14:textId="77777777" w:rsidR="00840774" w:rsidRDefault="00840774" w:rsidP="00811771">
            <w:pPr>
              <w:pStyle w:val="Header"/>
              <w:tabs>
                <w:tab w:val="clear" w:pos="4153"/>
                <w:tab w:val="clear" w:pos="8306"/>
              </w:tabs>
              <w:contextualSpacing/>
              <w:jc w:val="both"/>
              <w:rPr>
                <w:rFonts w:ascii="Calibri" w:hAnsi="Calibri"/>
                <w:bCs/>
                <w:szCs w:val="22"/>
              </w:rPr>
            </w:pPr>
          </w:p>
          <w:p w14:paraId="2A719392" w14:textId="1BB2654F" w:rsidR="00C0704D" w:rsidRDefault="0072470C"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located within the defied settlement limits of Langho. The surrounding area is predominately residential with the application site itself falling within the designated Greenbelt.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65A49FE" w14:textId="6739D373" w:rsidR="00C0704D" w:rsidRDefault="000A0510" w:rsidP="002F2580">
            <w:pPr>
              <w:rPr>
                <w:rFonts w:ascii="Calibri" w:hAnsi="Calibri"/>
                <w:szCs w:val="22"/>
              </w:rPr>
            </w:pPr>
            <w:r>
              <w:rPr>
                <w:rFonts w:ascii="Calibri" w:hAnsi="Calibri"/>
                <w:szCs w:val="22"/>
              </w:rPr>
              <w:t xml:space="preserve">Consent is sought for the erection of a single-storey extension on the Southern side elevation of the application dwelling. The proposed extension will comprise a modest footprint of 4m by 3.25m and will be constructed in materials to match the existing dwelling. </w:t>
            </w:r>
            <w:r w:rsidR="00674DB2">
              <w:rPr>
                <w:rFonts w:ascii="Calibri" w:hAnsi="Calibri"/>
                <w:szCs w:val="22"/>
              </w:rPr>
              <w:t xml:space="preserve">The plans show the extension projects up to the boundary line of the residential curtilage and not beyond it. </w:t>
            </w:r>
          </w:p>
          <w:p w14:paraId="1B20488F" w14:textId="77273CFB" w:rsidR="000A0510" w:rsidRPr="00D54E67" w:rsidRDefault="000A0510" w:rsidP="002F2580">
            <w:pPr>
              <w:rPr>
                <w:rFonts w:ascii="Calibri" w:hAnsi="Calibri"/>
                <w:szCs w:val="22"/>
              </w:rPr>
            </w:pPr>
          </w:p>
        </w:tc>
      </w:tr>
      <w:tr w:rsidR="00C0704D" w:rsidRPr="00D2449B" w14:paraId="617768FF"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313FE15" w14:textId="3015F599" w:rsidR="00ED00B7" w:rsidRDefault="00674DB2" w:rsidP="00C0704D">
            <w:pPr>
              <w:contextualSpacing/>
              <w:rPr>
                <w:rFonts w:ascii="Calibri" w:hAnsi="Calibri"/>
                <w:szCs w:val="22"/>
              </w:rPr>
            </w:pPr>
            <w:r>
              <w:rPr>
                <w:rFonts w:ascii="Calibri" w:hAnsi="Calibri"/>
                <w:szCs w:val="22"/>
              </w:rPr>
              <w:t xml:space="preserve">The proposed extension is </w:t>
            </w:r>
            <w:proofErr w:type="spellStart"/>
            <w:r>
              <w:rPr>
                <w:rFonts w:ascii="Calibri" w:hAnsi="Calibri"/>
                <w:szCs w:val="22"/>
              </w:rPr>
              <w:t>sited</w:t>
            </w:r>
            <w:proofErr w:type="spellEnd"/>
            <w:r>
              <w:rPr>
                <w:rFonts w:ascii="Calibri" w:hAnsi="Calibri"/>
                <w:szCs w:val="22"/>
              </w:rPr>
              <w:t xml:space="preserve"> to the Southern extent of the applicant’s residential curtilage, w</w:t>
            </w:r>
            <w:r w:rsidR="00271513">
              <w:rPr>
                <w:rFonts w:ascii="Calibri" w:hAnsi="Calibri"/>
                <w:szCs w:val="22"/>
              </w:rPr>
              <w:t>h</w:t>
            </w:r>
            <w:r>
              <w:rPr>
                <w:rFonts w:ascii="Calibri" w:hAnsi="Calibri"/>
                <w:szCs w:val="22"/>
              </w:rPr>
              <w:t xml:space="preserve">ere there are no directly adjoining neighbouring properties. </w:t>
            </w:r>
            <w:r w:rsidR="00271513">
              <w:rPr>
                <w:rFonts w:ascii="Calibri" w:hAnsi="Calibri"/>
                <w:szCs w:val="22"/>
              </w:rPr>
              <w:t xml:space="preserve">Consequently, there will be no adverse impact in respect of residential amenity as a result of the proposal. </w:t>
            </w:r>
          </w:p>
          <w:p w14:paraId="0DB485A3" w14:textId="60D86DFB" w:rsidR="00674DB2" w:rsidRPr="00C0704D" w:rsidRDefault="00674DB2" w:rsidP="00C0704D">
            <w:pPr>
              <w:contextualSpacing/>
              <w:rPr>
                <w:rFonts w:ascii="Calibri" w:hAnsi="Calibri"/>
                <w:szCs w:val="22"/>
              </w:rPr>
            </w:pPr>
          </w:p>
        </w:tc>
      </w:tr>
      <w:tr w:rsidR="00C0704D" w:rsidRPr="00D2449B" w14:paraId="6754C065"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Pr="00271513" w:rsidRDefault="00C0704D" w:rsidP="00EA09F9">
            <w:pPr>
              <w:pStyle w:val="Header"/>
              <w:tabs>
                <w:tab w:val="clear" w:pos="4153"/>
                <w:tab w:val="clear" w:pos="8306"/>
              </w:tabs>
              <w:contextualSpacing/>
              <w:jc w:val="both"/>
              <w:rPr>
                <w:rFonts w:ascii="Calibri" w:hAnsi="Calibri"/>
                <w:bCs/>
                <w:szCs w:val="22"/>
              </w:rPr>
            </w:pPr>
          </w:p>
          <w:p w14:paraId="4D40364D" w14:textId="52F95482" w:rsidR="00F759DC" w:rsidRPr="0072470C" w:rsidRDefault="00F759DC" w:rsidP="00F759DC">
            <w:pPr>
              <w:rPr>
                <w:rFonts w:asciiTheme="minorHAnsi" w:hAnsiTheme="minorHAnsi" w:cstheme="minorHAnsi"/>
              </w:rPr>
            </w:pPr>
            <w:r w:rsidRPr="0072470C">
              <w:rPr>
                <w:rFonts w:asciiTheme="minorHAnsi" w:hAnsiTheme="minorHAnsi" w:cstheme="minorHAnsi"/>
              </w:rPr>
              <w:t xml:space="preserve">Policy DMG1 </w:t>
            </w:r>
            <w:r w:rsidR="0072470C">
              <w:rPr>
                <w:rFonts w:asciiTheme="minorHAnsi" w:hAnsiTheme="minorHAnsi" w:cstheme="minorHAnsi"/>
              </w:rPr>
              <w:t xml:space="preserve">of the Ribble Valley Strategy </w:t>
            </w:r>
            <w:r w:rsidRPr="0072470C">
              <w:rPr>
                <w:rFonts w:asciiTheme="minorHAnsi" w:hAnsiTheme="minorHAnsi" w:cstheme="minorHAnsi"/>
              </w:rPr>
              <w:t xml:space="preserve">states that development must </w:t>
            </w:r>
          </w:p>
          <w:p w14:paraId="336FF620" w14:textId="77777777" w:rsidR="00F759DC" w:rsidRPr="008B5611" w:rsidRDefault="00F759DC" w:rsidP="00F759DC">
            <w:pPr>
              <w:pStyle w:val="ListParagraph"/>
              <w:numPr>
                <w:ilvl w:val="0"/>
                <w:numId w:val="2"/>
              </w:numPr>
              <w:rPr>
                <w:rFonts w:asciiTheme="minorHAnsi" w:hAnsiTheme="minorHAnsi" w:cstheme="minorHAnsi"/>
                <w:i/>
                <w:iCs/>
              </w:rPr>
            </w:pPr>
            <w:r w:rsidRPr="008B5611">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6941EE68" w14:textId="77777777" w:rsidR="00F759DC" w:rsidRPr="008B5611" w:rsidRDefault="00F759DC" w:rsidP="00F759DC">
            <w:pPr>
              <w:pStyle w:val="ListParagraph"/>
              <w:numPr>
                <w:ilvl w:val="0"/>
                <w:numId w:val="2"/>
              </w:numPr>
              <w:rPr>
                <w:rFonts w:asciiTheme="minorHAnsi" w:hAnsiTheme="minorHAnsi" w:cstheme="minorHAnsi"/>
                <w:i/>
                <w:iCs/>
              </w:rPr>
            </w:pPr>
            <w:r w:rsidRPr="008B5611">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4DAE3D9" w14:textId="77777777" w:rsidR="008B5611" w:rsidRPr="008B5611" w:rsidRDefault="008B5611" w:rsidP="008B5611">
            <w:pPr>
              <w:rPr>
                <w:rFonts w:asciiTheme="minorHAnsi" w:hAnsiTheme="minorHAnsi" w:cstheme="minorHAnsi"/>
              </w:rPr>
            </w:pPr>
          </w:p>
          <w:p w14:paraId="2B394587" w14:textId="6C15308C" w:rsidR="008B5611" w:rsidRPr="008B5611" w:rsidRDefault="008B5611" w:rsidP="008B5611">
            <w:pPr>
              <w:rPr>
                <w:rFonts w:asciiTheme="minorHAnsi" w:hAnsiTheme="minorHAnsi" w:cstheme="minorHAnsi"/>
                <w:i/>
                <w:iCs/>
              </w:rPr>
            </w:pPr>
            <w:r w:rsidRPr="008B5611">
              <w:rPr>
                <w:rFonts w:asciiTheme="minorHAnsi" w:hAnsiTheme="minorHAnsi" w:cstheme="minorHAnsi"/>
              </w:rPr>
              <w:t>In respect of Greenbelt Key Statement EN1 states that</w:t>
            </w:r>
            <w:r w:rsidRPr="008B5611">
              <w:rPr>
                <w:rFonts w:asciiTheme="minorHAnsi" w:hAnsiTheme="minorHAnsi" w:cstheme="minorHAnsi"/>
                <w:i/>
                <w:iCs/>
              </w:rPr>
              <w:t xml:space="preserve"> the overall extent of the green belt will be maintained to safeguard the surrounding countryside from inappropriate encroachment</w:t>
            </w:r>
          </w:p>
          <w:p w14:paraId="7AE40470" w14:textId="77777777" w:rsidR="00F759DC" w:rsidRDefault="00F759DC" w:rsidP="005E1C6C">
            <w:pPr>
              <w:contextualSpacing/>
              <w:rPr>
                <w:rFonts w:ascii="Calibri" w:hAnsi="Calibri"/>
                <w:bCs/>
                <w:szCs w:val="22"/>
              </w:rPr>
            </w:pPr>
          </w:p>
          <w:p w14:paraId="21CF264A" w14:textId="4FA4A894" w:rsidR="00C0704D" w:rsidRPr="00271513" w:rsidRDefault="00271513" w:rsidP="005E1C6C">
            <w:pPr>
              <w:contextualSpacing/>
              <w:rPr>
                <w:rFonts w:ascii="Calibri" w:hAnsi="Calibri"/>
                <w:bCs/>
                <w:szCs w:val="22"/>
              </w:rPr>
            </w:pPr>
            <w:r w:rsidRPr="00271513">
              <w:rPr>
                <w:rFonts w:ascii="Calibri" w:hAnsi="Calibri"/>
                <w:bCs/>
                <w:szCs w:val="22"/>
              </w:rPr>
              <w:t>The application dwelling benefits from a corner position on the edge of the cul-de-sac. As a result, the proposed single storey extension is largely out of site from most public vantage points. Nonetheless, it will be constructed in materials to match the existing dwelling, being comprised of brickwork with slate roof tiles and uPVC windows. In respect of scale, the proposal is modest measuring just 4m by 3.25</w:t>
            </w:r>
            <w:r>
              <w:rPr>
                <w:rFonts w:ascii="Calibri" w:hAnsi="Calibri"/>
                <w:bCs/>
                <w:szCs w:val="22"/>
              </w:rPr>
              <w:t>m</w:t>
            </w:r>
            <w:r w:rsidRPr="00271513">
              <w:rPr>
                <w:rFonts w:ascii="Calibri" w:hAnsi="Calibri"/>
                <w:bCs/>
                <w:szCs w:val="22"/>
              </w:rPr>
              <w:t xml:space="preserve"> and consequently will take a subservient position to the host dwelling. </w:t>
            </w:r>
            <w:r w:rsidR="00F759DC">
              <w:rPr>
                <w:rFonts w:ascii="Calibri" w:hAnsi="Calibri"/>
                <w:bCs/>
                <w:szCs w:val="22"/>
              </w:rPr>
              <w:t xml:space="preserve">Given the modest footprint of the extension, it is not considered it will have any significant effect on the openness of the Greenbelt. </w:t>
            </w:r>
          </w:p>
          <w:p w14:paraId="10A3648A" w14:textId="19C0EB3B" w:rsidR="00271513" w:rsidRDefault="00271513" w:rsidP="005E1C6C">
            <w:pPr>
              <w:contextualSpacing/>
              <w:rPr>
                <w:rFonts w:ascii="Calibri" w:hAnsi="Calibri"/>
                <w:b/>
                <w:szCs w:val="22"/>
              </w:rPr>
            </w:pPr>
          </w:p>
        </w:tc>
      </w:tr>
      <w:tr w:rsidR="00824DB6" w:rsidRPr="00D2449B" w14:paraId="673C0DDB"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F1B6A80" w14:textId="32C0E966" w:rsidR="00824DB6" w:rsidRPr="00F759DC" w:rsidRDefault="00F759DC" w:rsidP="00EA09F9">
            <w:pPr>
              <w:pStyle w:val="Header"/>
              <w:tabs>
                <w:tab w:val="clear" w:pos="4153"/>
                <w:tab w:val="clear" w:pos="8306"/>
              </w:tabs>
              <w:contextualSpacing/>
              <w:jc w:val="both"/>
              <w:rPr>
                <w:rFonts w:ascii="Calibri" w:hAnsi="Calibri"/>
                <w:bCs/>
                <w:szCs w:val="22"/>
              </w:rPr>
            </w:pPr>
            <w:r w:rsidRPr="00F759DC">
              <w:rPr>
                <w:rFonts w:ascii="Calibri" w:hAnsi="Calibri"/>
                <w:bCs/>
                <w:szCs w:val="22"/>
              </w:rPr>
              <w:t xml:space="preserve">No highways implications identified as a result of the proposal. The existing parking arrangements will be retained. </w:t>
            </w:r>
          </w:p>
          <w:p w14:paraId="337694ED" w14:textId="4AC7EC28" w:rsidR="00F759DC" w:rsidRDefault="00F759D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BFFADC9" w14:textId="4EE79FBC" w:rsidR="00C0704D" w:rsidRPr="00F759DC" w:rsidRDefault="00F759DC" w:rsidP="00E46243">
            <w:pPr>
              <w:contextualSpacing/>
              <w:rPr>
                <w:rFonts w:ascii="Calibri" w:hAnsi="Calibri"/>
                <w:bCs/>
                <w:szCs w:val="22"/>
              </w:rPr>
            </w:pPr>
            <w:r w:rsidRPr="00F759DC">
              <w:rPr>
                <w:rFonts w:ascii="Calibri" w:hAnsi="Calibri"/>
                <w:bCs/>
                <w:szCs w:val="22"/>
              </w:rPr>
              <w:t xml:space="preserve">No ecological constraints identified. </w:t>
            </w:r>
          </w:p>
          <w:p w14:paraId="6337C4D8" w14:textId="0BF25D47" w:rsidR="00F759DC" w:rsidRDefault="00F759DC" w:rsidP="00E46243">
            <w:pPr>
              <w:contextualSpacing/>
              <w:rPr>
                <w:rFonts w:ascii="Calibri" w:hAnsi="Calibri"/>
                <w:b/>
                <w:szCs w:val="22"/>
              </w:rPr>
            </w:pPr>
          </w:p>
        </w:tc>
      </w:tr>
      <w:tr w:rsidR="00C0704D" w:rsidRPr="00D2449B" w14:paraId="0A9D02B4"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A051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A0510">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840774" w:rsidRPr="00D2449B" w:rsidRDefault="00840774">
      <w:pPr>
        <w:rPr>
          <w:rFonts w:ascii="Calibri" w:hAnsi="Calibri"/>
          <w:szCs w:val="22"/>
        </w:rPr>
      </w:pPr>
    </w:p>
    <w:sectPr w:rsidR="0084077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0510"/>
    <w:rsid w:val="000B5CB5"/>
    <w:rsid w:val="00130035"/>
    <w:rsid w:val="001D4F7A"/>
    <w:rsid w:val="00214146"/>
    <w:rsid w:val="00250879"/>
    <w:rsid w:val="002528FD"/>
    <w:rsid w:val="00271513"/>
    <w:rsid w:val="00282E3A"/>
    <w:rsid w:val="0029334A"/>
    <w:rsid w:val="002954E5"/>
    <w:rsid w:val="002A01CF"/>
    <w:rsid w:val="002C6277"/>
    <w:rsid w:val="002F2580"/>
    <w:rsid w:val="003111F6"/>
    <w:rsid w:val="00321B6E"/>
    <w:rsid w:val="00440CB6"/>
    <w:rsid w:val="0046548C"/>
    <w:rsid w:val="004947BB"/>
    <w:rsid w:val="00497407"/>
    <w:rsid w:val="004A5EA9"/>
    <w:rsid w:val="004C2434"/>
    <w:rsid w:val="004F0649"/>
    <w:rsid w:val="00510FA2"/>
    <w:rsid w:val="00556ECD"/>
    <w:rsid w:val="005E1C6C"/>
    <w:rsid w:val="005E65DF"/>
    <w:rsid w:val="00674DB2"/>
    <w:rsid w:val="00692B60"/>
    <w:rsid w:val="006A71AD"/>
    <w:rsid w:val="006C2BFA"/>
    <w:rsid w:val="006F6849"/>
    <w:rsid w:val="0070054B"/>
    <w:rsid w:val="0072470C"/>
    <w:rsid w:val="00761D2C"/>
    <w:rsid w:val="00773A66"/>
    <w:rsid w:val="00776AE2"/>
    <w:rsid w:val="007C791C"/>
    <w:rsid w:val="007D7DF4"/>
    <w:rsid w:val="007E0D23"/>
    <w:rsid w:val="007F16D6"/>
    <w:rsid w:val="00811771"/>
    <w:rsid w:val="00824DB6"/>
    <w:rsid w:val="00837F4F"/>
    <w:rsid w:val="00840774"/>
    <w:rsid w:val="008542DE"/>
    <w:rsid w:val="008A28C8"/>
    <w:rsid w:val="008B5611"/>
    <w:rsid w:val="00942874"/>
    <w:rsid w:val="00986FD1"/>
    <w:rsid w:val="009F4443"/>
    <w:rsid w:val="00A42E82"/>
    <w:rsid w:val="00A579BB"/>
    <w:rsid w:val="00A63D55"/>
    <w:rsid w:val="00A95D89"/>
    <w:rsid w:val="00B93EB5"/>
    <w:rsid w:val="00BD3F03"/>
    <w:rsid w:val="00C0704D"/>
    <w:rsid w:val="00C25722"/>
    <w:rsid w:val="00C618DB"/>
    <w:rsid w:val="00D11007"/>
    <w:rsid w:val="00D17EB1"/>
    <w:rsid w:val="00D2449B"/>
    <w:rsid w:val="00D54E67"/>
    <w:rsid w:val="00D6477E"/>
    <w:rsid w:val="00DD62F6"/>
    <w:rsid w:val="00E46243"/>
    <w:rsid w:val="00E66534"/>
    <w:rsid w:val="00E72F6C"/>
    <w:rsid w:val="00EA09F9"/>
    <w:rsid w:val="00EC23C7"/>
    <w:rsid w:val="00ED00B7"/>
    <w:rsid w:val="00EF44E6"/>
    <w:rsid w:val="00F056A7"/>
    <w:rsid w:val="00F759D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2024-01-09T12:34:00Z</cp:lastPrinted>
  <dcterms:created xsi:type="dcterms:W3CDTF">2024-01-09T12:36:00Z</dcterms:created>
  <dcterms:modified xsi:type="dcterms:W3CDTF">2024-01-09T12:36:00Z</dcterms:modified>
</cp:coreProperties>
</file>