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1"/>
        <w:gridCol w:w="1025"/>
        <w:gridCol w:w="138"/>
        <w:gridCol w:w="36"/>
        <w:gridCol w:w="658"/>
        <w:gridCol w:w="193"/>
        <w:gridCol w:w="474"/>
        <w:gridCol w:w="689"/>
        <w:gridCol w:w="696"/>
        <w:gridCol w:w="602"/>
        <w:gridCol w:w="905"/>
        <w:gridCol w:w="554"/>
        <w:gridCol w:w="962"/>
        <w:gridCol w:w="1002"/>
        <w:gridCol w:w="1003"/>
      </w:tblGrid>
      <w:tr w:rsidR="004A5EA9" w:rsidRPr="00D2449B" w14:paraId="230E00AF"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4025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34230AA" w:rsidR="00837F4F" w:rsidRPr="00D2449B" w:rsidRDefault="001D1C29"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26EB31B" w:rsidR="00837F4F" w:rsidRPr="00D2449B" w:rsidRDefault="001D1C29" w:rsidP="00D2449B">
            <w:pPr>
              <w:jc w:val="center"/>
              <w:rPr>
                <w:rFonts w:ascii="Calibri" w:hAnsi="Calibri"/>
                <w:b/>
                <w:szCs w:val="22"/>
              </w:rPr>
            </w:pPr>
            <w:r>
              <w:rPr>
                <w:rFonts w:ascii="Calibri" w:hAnsi="Calibri"/>
                <w:b/>
                <w:szCs w:val="22"/>
              </w:rPr>
              <w:t>19/12/2023</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1B1D4AC" w:rsidR="00837F4F" w:rsidRPr="00D2449B" w:rsidRDefault="00455811" w:rsidP="00D2449B">
            <w:pPr>
              <w:jc w:val="center"/>
              <w:rPr>
                <w:rFonts w:ascii="Calibri" w:hAnsi="Calibri"/>
                <w:b/>
                <w:szCs w:val="22"/>
              </w:rPr>
            </w:pPr>
            <w:r>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69991E0" w:rsidR="00837F4F" w:rsidRPr="00D2449B" w:rsidRDefault="00455811" w:rsidP="00D2449B">
            <w:pPr>
              <w:jc w:val="center"/>
              <w:rPr>
                <w:rFonts w:ascii="Calibri" w:hAnsi="Calibri"/>
                <w:b/>
                <w:szCs w:val="22"/>
              </w:rPr>
            </w:pPr>
            <w:r>
              <w:rPr>
                <w:rFonts w:ascii="Calibri" w:hAnsi="Calibri"/>
                <w:b/>
                <w:szCs w:val="22"/>
              </w:rPr>
              <w:t>19.12.23</w:t>
            </w:r>
          </w:p>
        </w:tc>
      </w:tr>
      <w:tr w:rsidR="004A5EA9" w:rsidRPr="00D2449B" w14:paraId="2094A164" w14:textId="77777777" w:rsidTr="00D4025C">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4025C">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74B4365"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A06197">
              <w:rPr>
                <w:rFonts w:ascii="Calibri" w:hAnsi="Calibri"/>
                <w:szCs w:val="22"/>
              </w:rPr>
              <w:t>23</w:t>
            </w:r>
            <w:r w:rsidR="00C0704D">
              <w:rPr>
                <w:rFonts w:ascii="Calibri" w:hAnsi="Calibri"/>
                <w:szCs w:val="22"/>
              </w:rPr>
              <w:t>/</w:t>
            </w:r>
            <w:r w:rsidR="00A06197">
              <w:rPr>
                <w:rFonts w:ascii="Calibri" w:hAnsi="Calibri"/>
                <w:szCs w:val="22"/>
              </w:rPr>
              <w:t>0848</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54601606">
                  <wp:simplePos x="0" y="0"/>
                  <wp:positionH relativeFrom="column">
                    <wp:posOffset>-30480</wp:posOffset>
                  </wp:positionH>
                  <wp:positionV relativeFrom="paragraph">
                    <wp:posOffset>19685</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4025C">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2B44C6F" w:rsidR="00824DB6" w:rsidRPr="00C0704D" w:rsidRDefault="00A06197" w:rsidP="002C6277">
            <w:pPr>
              <w:rPr>
                <w:rFonts w:ascii="Calibri" w:hAnsi="Calibri"/>
                <w:szCs w:val="22"/>
              </w:rPr>
            </w:pPr>
            <w:r>
              <w:rPr>
                <w:rFonts w:ascii="Calibri" w:hAnsi="Calibri"/>
                <w:szCs w:val="22"/>
              </w:rPr>
              <w:t>17/11/2023</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A2B709" w:rsidR="00824DB6" w:rsidRPr="00C0704D" w:rsidRDefault="00A06197" w:rsidP="002C6277">
            <w:pPr>
              <w:rPr>
                <w:rFonts w:ascii="Calibri" w:hAnsi="Calibri"/>
                <w:szCs w:val="22"/>
              </w:rPr>
            </w:pPr>
            <w:r>
              <w:rPr>
                <w:rFonts w:ascii="Calibri" w:hAnsi="Calibri"/>
                <w:szCs w:val="22"/>
              </w:rPr>
              <w:t>17/11/2023</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4025C">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2D850BA" w:rsidR="004A5EA9" w:rsidRPr="00250879" w:rsidRDefault="00A06197" w:rsidP="00811771">
            <w:pPr>
              <w:rPr>
                <w:rFonts w:ascii="Calibri" w:hAnsi="Calibri"/>
                <w:color w:val="548DD4" w:themeColor="text2" w:themeTint="99"/>
                <w:szCs w:val="22"/>
              </w:rPr>
            </w:pPr>
            <w:r w:rsidRPr="00455811">
              <w:rPr>
                <w:rFonts w:ascii="Calibri" w:hAnsi="Calibri"/>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4025C">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4025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4025C">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F225C38" w:rsidR="004A5EA9" w:rsidRPr="002C6277" w:rsidRDefault="00A06197">
            <w:pPr>
              <w:rPr>
                <w:rFonts w:ascii="Calibri" w:hAnsi="Calibri"/>
                <w:szCs w:val="22"/>
              </w:rPr>
            </w:pPr>
            <w:r>
              <w:rPr>
                <w:rFonts w:ascii="Calibri" w:hAnsi="Calibri"/>
                <w:szCs w:val="22"/>
              </w:rPr>
              <w:t>Advertisement consent for proposed installation of a lectern-style notice board.</w:t>
            </w:r>
          </w:p>
        </w:tc>
      </w:tr>
      <w:tr w:rsidR="002A01CF" w:rsidRPr="00D2449B" w14:paraId="52988241" w14:textId="77777777" w:rsidTr="00D4025C">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96EE72" w:rsidR="002A01CF" w:rsidRPr="002C6277" w:rsidRDefault="00A06197" w:rsidP="00A42E82">
            <w:pPr>
              <w:rPr>
                <w:rFonts w:ascii="Calibri" w:hAnsi="Calibri"/>
                <w:szCs w:val="22"/>
              </w:rPr>
            </w:pPr>
            <w:r>
              <w:rPr>
                <w:rFonts w:ascii="Calibri" w:hAnsi="Calibri"/>
                <w:szCs w:val="22"/>
              </w:rPr>
              <w:t>Land between Greendale Mill and Duck House Farm Buck Street Grindleton BB7 4QR.</w:t>
            </w:r>
          </w:p>
        </w:tc>
      </w:tr>
      <w:tr w:rsidR="00A95D89" w:rsidRPr="00D2449B" w14:paraId="3FB99B2E" w14:textId="77777777" w:rsidTr="00D4025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4025C">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085402B" w:rsidR="002A01CF" w:rsidRPr="00D4025C" w:rsidRDefault="00D4025C">
            <w:pPr>
              <w:rPr>
                <w:rFonts w:ascii="Calibri" w:hAnsi="Calibri"/>
                <w:bCs/>
                <w:szCs w:val="22"/>
              </w:rPr>
            </w:pPr>
            <w:r w:rsidRPr="00D4025C">
              <w:rPr>
                <w:rFonts w:ascii="Calibri" w:hAnsi="Calibri"/>
                <w:bCs/>
                <w:szCs w:val="22"/>
              </w:rPr>
              <w:t xml:space="preserve">No comments received. </w:t>
            </w:r>
          </w:p>
        </w:tc>
      </w:tr>
      <w:tr w:rsidR="00C618DB" w:rsidRPr="00D2449B" w14:paraId="639E958B" w14:textId="77777777" w:rsidTr="00D4025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4025C">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4025C">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662390" w:rsidR="002A01CF" w:rsidRPr="00D2449B" w:rsidRDefault="00D4025C">
            <w:pPr>
              <w:rPr>
                <w:rFonts w:ascii="Calibri" w:hAnsi="Calibri"/>
                <w:b/>
                <w:szCs w:val="22"/>
              </w:rPr>
            </w:pPr>
            <w:r>
              <w:rPr>
                <w:rFonts w:ascii="Calibri" w:hAnsi="Calibri"/>
                <w:b/>
                <w:szCs w:val="22"/>
              </w:rPr>
              <w:t>N/A</w:t>
            </w:r>
          </w:p>
        </w:tc>
      </w:tr>
      <w:tr w:rsidR="00C0704D" w:rsidRPr="00D2449B" w14:paraId="62663AAF"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4025C">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5840518" w:rsidR="00C0704D" w:rsidRPr="00C0704D" w:rsidRDefault="00D4025C"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D4025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60A75D09" w14:textId="4DA619BC"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B3:</w:t>
            </w:r>
            <w:r>
              <w:rPr>
                <w:rFonts w:ascii="Calibri" w:hAnsi="Calibri"/>
                <w:szCs w:val="22"/>
              </w:rPr>
              <w:tab/>
              <w:t>Recreation and Tourism Development</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71446A" w:rsidRDefault="00C0704D" w:rsidP="00C0704D">
            <w:pPr>
              <w:pStyle w:val="PLANNING"/>
              <w:rPr>
                <w:rFonts w:asciiTheme="minorHAnsi" w:hAnsiTheme="minorHAnsi" w:cstheme="minorHAnsi"/>
                <w:b/>
                <w:bCs/>
                <w:szCs w:val="22"/>
              </w:rPr>
            </w:pPr>
          </w:p>
          <w:p w14:paraId="21B0EA50" w14:textId="5F6AE058" w:rsidR="0046548C" w:rsidRPr="0071446A" w:rsidRDefault="0071446A" w:rsidP="00C0704D">
            <w:pPr>
              <w:pStyle w:val="PLANNING"/>
              <w:rPr>
                <w:rFonts w:asciiTheme="minorHAnsi" w:hAnsiTheme="minorHAnsi" w:cstheme="minorHAnsi"/>
                <w:b/>
                <w:bCs/>
                <w:szCs w:val="22"/>
              </w:rPr>
            </w:pPr>
            <w:r w:rsidRPr="0071446A">
              <w:rPr>
                <w:rFonts w:asciiTheme="minorHAnsi" w:hAnsiTheme="minorHAnsi" w:cstheme="minorHAnsi"/>
                <w:b/>
                <w:bCs/>
                <w:szCs w:val="22"/>
              </w:rPr>
              <w:t>3/2023/0395:</w:t>
            </w:r>
          </w:p>
          <w:p w14:paraId="46B3742B" w14:textId="6013B3AB" w:rsidR="0071446A" w:rsidRPr="0071446A" w:rsidRDefault="0071446A" w:rsidP="00C0704D">
            <w:pPr>
              <w:pStyle w:val="PLANNING"/>
              <w:rPr>
                <w:rFonts w:asciiTheme="minorHAnsi" w:hAnsiTheme="minorHAnsi" w:cstheme="minorHAnsi"/>
                <w:b/>
                <w:bCs/>
                <w:szCs w:val="22"/>
              </w:rPr>
            </w:pPr>
            <w:r w:rsidRPr="0071446A">
              <w:rPr>
                <w:rFonts w:asciiTheme="minorHAnsi" w:hAnsiTheme="minorHAnsi" w:cstheme="minorHAnsi"/>
                <w:szCs w:val="22"/>
                <w:shd w:val="clear" w:color="auto" w:fill="FFFFFF"/>
              </w:rPr>
              <w:t xml:space="preserve">Proposed works to surface and resurface existing pedestrian footpath routes through the woodland.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4025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19030D7" w14:textId="77777777" w:rsidR="00C0704D" w:rsidRDefault="001D1C29"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Greendale Wood, Grindleton, specifically an existing pedestrian access to the wood sited at the junction of Brow Top and Pendle View. The application site is within the designated National Landscape (formerly AONB) and is immediately adjacent to Grindleton Conservation Area. </w:t>
            </w:r>
          </w:p>
          <w:p w14:paraId="62370E9F" w14:textId="655AFCED" w:rsidR="001D1C29" w:rsidRPr="006C2BFA" w:rsidRDefault="001D1C2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67A1800" w14:textId="6AADD615" w:rsidR="00A06197" w:rsidRDefault="00A06197" w:rsidP="00455811">
            <w:pPr>
              <w:jc w:val="both"/>
              <w:rPr>
                <w:rFonts w:ascii="Calibri" w:hAnsi="Calibri"/>
                <w:szCs w:val="22"/>
              </w:rPr>
            </w:pPr>
            <w:r>
              <w:rPr>
                <w:rFonts w:ascii="Calibri" w:hAnsi="Calibri"/>
                <w:szCs w:val="22"/>
              </w:rPr>
              <w:t>Consent is sought for the installation of a lectern-style advertisement board sited at an existing access to Greendale Wood. The proposed board will contain information to help orientate and draw notice to the woodland environment and promote Woodland Trust Causes.</w:t>
            </w:r>
          </w:p>
          <w:p w14:paraId="1B20488F" w14:textId="08155C14" w:rsidR="00C0704D" w:rsidRPr="00D54E67" w:rsidRDefault="00A06197" w:rsidP="002F2580">
            <w:pPr>
              <w:rPr>
                <w:rFonts w:ascii="Calibri" w:hAnsi="Calibri"/>
                <w:szCs w:val="22"/>
              </w:rPr>
            </w:pPr>
            <w:r>
              <w:rPr>
                <w:rFonts w:ascii="Calibri" w:hAnsi="Calibri"/>
                <w:szCs w:val="22"/>
              </w:rPr>
              <w:t xml:space="preserve"> </w:t>
            </w:r>
          </w:p>
        </w:tc>
      </w:tr>
      <w:tr w:rsidR="00C0704D" w:rsidRPr="00D2449B" w14:paraId="617768FF"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2BA86DD" w14:textId="692E03CB" w:rsidR="00ED00B7" w:rsidRDefault="00872A24" w:rsidP="00C0704D">
            <w:pPr>
              <w:contextualSpacing/>
              <w:rPr>
                <w:rFonts w:ascii="Calibri" w:hAnsi="Calibri"/>
                <w:szCs w:val="22"/>
              </w:rPr>
            </w:pPr>
            <w:r>
              <w:rPr>
                <w:rFonts w:ascii="Calibri" w:hAnsi="Calibri"/>
                <w:szCs w:val="22"/>
              </w:rPr>
              <w:t xml:space="preserve">The proposed lectern notice board is small and sited behind an existing wooden fence. The nearest neighbouring property is </w:t>
            </w:r>
            <w:r w:rsidR="00A06197">
              <w:rPr>
                <w:rFonts w:ascii="Calibri" w:hAnsi="Calibri"/>
                <w:szCs w:val="22"/>
              </w:rPr>
              <w:t>approximately 8</w:t>
            </w:r>
            <w:r>
              <w:rPr>
                <w:rFonts w:ascii="Calibri" w:hAnsi="Calibri"/>
                <w:szCs w:val="22"/>
              </w:rPr>
              <w:t xml:space="preserve"> metres from the development</w:t>
            </w:r>
            <w:r w:rsidR="00A06197">
              <w:rPr>
                <w:rFonts w:ascii="Calibri" w:hAnsi="Calibri"/>
                <w:szCs w:val="22"/>
              </w:rPr>
              <w:t xml:space="preserve"> and the development is well screened by existing vegetation</w:t>
            </w:r>
            <w:r>
              <w:rPr>
                <w:rFonts w:ascii="Calibri" w:hAnsi="Calibri"/>
                <w:szCs w:val="22"/>
              </w:rPr>
              <w:t>. As such, no adverse impact is expected in respect of residential amenity. The proposed access t</w:t>
            </w:r>
            <w:r w:rsidR="00627140">
              <w:rPr>
                <w:rFonts w:ascii="Calibri" w:hAnsi="Calibri"/>
                <w:szCs w:val="22"/>
              </w:rPr>
              <w:t xml:space="preserve">o </w:t>
            </w:r>
            <w:r>
              <w:rPr>
                <w:rFonts w:ascii="Calibri" w:hAnsi="Calibri"/>
                <w:szCs w:val="22"/>
              </w:rPr>
              <w:t xml:space="preserve">the </w:t>
            </w:r>
            <w:r w:rsidR="00D4025C">
              <w:rPr>
                <w:rFonts w:ascii="Calibri" w:hAnsi="Calibri"/>
                <w:szCs w:val="22"/>
              </w:rPr>
              <w:t>wood</w:t>
            </w:r>
            <w:r>
              <w:rPr>
                <w:rFonts w:ascii="Calibri" w:hAnsi="Calibri"/>
                <w:szCs w:val="22"/>
              </w:rPr>
              <w:t xml:space="preserve"> is existing, therefore no increase in activity </w:t>
            </w:r>
            <w:r w:rsidR="00A06197">
              <w:rPr>
                <w:rFonts w:ascii="Calibri" w:hAnsi="Calibri"/>
                <w:szCs w:val="22"/>
              </w:rPr>
              <w:t xml:space="preserve">or any subsequent noise increase that could cause disturbance </w:t>
            </w:r>
            <w:r>
              <w:rPr>
                <w:rFonts w:ascii="Calibri" w:hAnsi="Calibri"/>
                <w:szCs w:val="22"/>
              </w:rPr>
              <w:t xml:space="preserve">is expected </w:t>
            </w:r>
            <w:proofErr w:type="gramStart"/>
            <w:r>
              <w:rPr>
                <w:rFonts w:ascii="Calibri" w:hAnsi="Calibri"/>
                <w:szCs w:val="22"/>
              </w:rPr>
              <w:t>as a result of</w:t>
            </w:r>
            <w:proofErr w:type="gramEnd"/>
            <w:r>
              <w:rPr>
                <w:rFonts w:ascii="Calibri" w:hAnsi="Calibri"/>
                <w:szCs w:val="22"/>
              </w:rPr>
              <w:t xml:space="preserve"> the proposed</w:t>
            </w:r>
            <w:r w:rsidR="00E62A52">
              <w:rPr>
                <w:rFonts w:ascii="Calibri" w:hAnsi="Calibri"/>
                <w:szCs w:val="22"/>
              </w:rPr>
              <w:t xml:space="preserve"> development</w:t>
            </w:r>
            <w:r>
              <w:rPr>
                <w:rFonts w:ascii="Calibri" w:hAnsi="Calibri"/>
                <w:szCs w:val="22"/>
              </w:rPr>
              <w:t xml:space="preserve">. </w:t>
            </w:r>
          </w:p>
          <w:p w14:paraId="0DB485A3" w14:textId="46928334" w:rsidR="00872A24" w:rsidRPr="00C0704D" w:rsidRDefault="00872A24" w:rsidP="00C0704D">
            <w:pPr>
              <w:contextualSpacing/>
              <w:rPr>
                <w:rFonts w:ascii="Calibri" w:hAnsi="Calibri"/>
                <w:szCs w:val="22"/>
              </w:rPr>
            </w:pPr>
          </w:p>
        </w:tc>
      </w:tr>
      <w:tr w:rsidR="00C0704D" w:rsidRPr="00D2449B" w14:paraId="6754C065"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B4CBC6D" w14:textId="77777777" w:rsidR="001D1C29" w:rsidRDefault="001D1C29" w:rsidP="001D1C29">
            <w:pPr>
              <w:rPr>
                <w:rFonts w:asciiTheme="minorHAnsi" w:hAnsiTheme="minorHAnsi" w:cstheme="minorHAnsi"/>
                <w:i/>
                <w:iCs/>
              </w:rPr>
            </w:pPr>
            <w:r w:rsidRPr="001D1C29">
              <w:rPr>
                <w:rFonts w:asciiTheme="minorHAnsi" w:hAnsiTheme="minorHAnsi" w:cstheme="minorHAnsi"/>
                <w:i/>
                <w:iCs/>
              </w:rPr>
              <w:t xml:space="preserve">Policy DMG1 states that development must </w:t>
            </w:r>
          </w:p>
          <w:p w14:paraId="0B1F3732" w14:textId="77777777" w:rsidR="00455811" w:rsidRPr="001D1C29" w:rsidRDefault="00455811" w:rsidP="001D1C29">
            <w:pPr>
              <w:rPr>
                <w:rFonts w:asciiTheme="minorHAnsi" w:hAnsiTheme="minorHAnsi" w:cstheme="minorHAnsi"/>
                <w:i/>
                <w:iCs/>
              </w:rPr>
            </w:pPr>
          </w:p>
          <w:p w14:paraId="29E59391" w14:textId="77777777" w:rsidR="001D1C29" w:rsidRPr="001D1C29" w:rsidRDefault="001D1C29" w:rsidP="001D1C29">
            <w:pPr>
              <w:pStyle w:val="ListParagraph"/>
              <w:numPr>
                <w:ilvl w:val="0"/>
                <w:numId w:val="2"/>
              </w:numPr>
              <w:rPr>
                <w:rFonts w:asciiTheme="minorHAnsi" w:hAnsiTheme="minorHAnsi" w:cstheme="minorHAnsi"/>
                <w:i/>
                <w:iCs/>
              </w:rPr>
            </w:pPr>
            <w:r w:rsidRPr="001D1C29">
              <w:rPr>
                <w:rFonts w:asciiTheme="minorHAnsi" w:hAnsiTheme="minorHAnsi" w:cstheme="minorHAnsi"/>
                <w:i/>
                <w:iCs/>
              </w:rPr>
              <w:t xml:space="preserve">be sympathetic to existing and proposed land uses in terms of its size, </w:t>
            </w:r>
            <w:proofErr w:type="gramStart"/>
            <w:r w:rsidRPr="001D1C29">
              <w:rPr>
                <w:rFonts w:asciiTheme="minorHAnsi" w:hAnsiTheme="minorHAnsi" w:cstheme="minorHAnsi"/>
                <w:i/>
                <w:iCs/>
              </w:rPr>
              <w:t>intensity</w:t>
            </w:r>
            <w:proofErr w:type="gramEnd"/>
            <w:r w:rsidRPr="001D1C29">
              <w:rPr>
                <w:rFonts w:asciiTheme="minorHAnsi" w:hAnsiTheme="minorHAnsi" w:cstheme="minorHAnsi"/>
                <w:i/>
                <w:iCs/>
              </w:rPr>
              <w:t xml:space="preserve"> and nature as well as scale, massing, style, features and building materials. </w:t>
            </w:r>
          </w:p>
          <w:p w14:paraId="675ADFB7" w14:textId="77777777" w:rsidR="001D1C29" w:rsidRPr="001D1C29" w:rsidRDefault="001D1C29" w:rsidP="001D1C29">
            <w:pPr>
              <w:pStyle w:val="ListParagraph"/>
              <w:numPr>
                <w:ilvl w:val="0"/>
                <w:numId w:val="2"/>
              </w:numPr>
              <w:rPr>
                <w:rFonts w:asciiTheme="minorHAnsi" w:hAnsiTheme="minorHAnsi" w:cstheme="minorHAnsi"/>
                <w:i/>
                <w:iCs/>
              </w:rPr>
            </w:pPr>
            <w:r w:rsidRPr="001D1C29">
              <w:rPr>
                <w:rFonts w:asciiTheme="minorHAnsi" w:hAnsiTheme="minorHAnsi" w:cstheme="minorHAnsi"/>
                <w:i/>
                <w:iCs/>
              </w:rPr>
              <w:t xml:space="preserve">Consider the density, </w:t>
            </w:r>
            <w:proofErr w:type="gramStart"/>
            <w:r w:rsidRPr="001D1C29">
              <w:rPr>
                <w:rFonts w:asciiTheme="minorHAnsi" w:hAnsiTheme="minorHAnsi" w:cstheme="minorHAnsi"/>
                <w:i/>
                <w:iCs/>
              </w:rPr>
              <w:t>layout</w:t>
            </w:r>
            <w:proofErr w:type="gramEnd"/>
            <w:r w:rsidRPr="001D1C29">
              <w:rPr>
                <w:rFonts w:asciiTheme="minorHAnsi" w:hAnsiTheme="minorHAnsi" w:cstheme="minorHAnsi"/>
                <w:i/>
                <w:iCs/>
              </w:rPr>
              <w:t xml:space="preserve"> and relationship between buildings, which is of major importance. </w:t>
            </w:r>
            <w:proofErr w:type="gramStart"/>
            <w:r w:rsidRPr="001D1C29">
              <w:rPr>
                <w:rFonts w:asciiTheme="minorHAnsi" w:hAnsiTheme="minorHAnsi" w:cstheme="minorHAnsi"/>
                <w:i/>
                <w:iCs/>
              </w:rPr>
              <w:t>Particular emphasis</w:t>
            </w:r>
            <w:proofErr w:type="gramEnd"/>
            <w:r w:rsidRPr="001D1C29">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p>
          <w:p w14:paraId="2445589B" w14:textId="77777777" w:rsidR="001D1C29" w:rsidRPr="001D1C29" w:rsidRDefault="001D1C29" w:rsidP="001D1C29">
            <w:pPr>
              <w:pStyle w:val="Header"/>
              <w:tabs>
                <w:tab w:val="clear" w:pos="4153"/>
                <w:tab w:val="clear" w:pos="8306"/>
              </w:tabs>
              <w:contextualSpacing/>
              <w:jc w:val="both"/>
              <w:rPr>
                <w:rFonts w:asciiTheme="minorHAnsi" w:hAnsiTheme="minorHAnsi" w:cstheme="minorHAnsi"/>
                <w:b/>
                <w:i/>
                <w:iCs/>
                <w:szCs w:val="22"/>
              </w:rPr>
            </w:pPr>
          </w:p>
          <w:p w14:paraId="13650615" w14:textId="77777777" w:rsidR="001D1C29" w:rsidRPr="001D1C29" w:rsidRDefault="001D1C29" w:rsidP="001D1C29">
            <w:pPr>
              <w:contextualSpacing/>
              <w:jc w:val="both"/>
              <w:rPr>
                <w:rFonts w:asciiTheme="minorHAnsi" w:hAnsiTheme="minorHAnsi" w:cstheme="minorHAnsi"/>
                <w:i/>
                <w:iCs/>
              </w:rPr>
            </w:pPr>
            <w:r w:rsidRPr="001D1C29">
              <w:rPr>
                <w:rFonts w:asciiTheme="minorHAnsi" w:hAnsiTheme="minorHAnsi" w:cstheme="minorHAnsi"/>
                <w:i/>
                <w:iCs/>
              </w:rPr>
              <w:t xml:space="preserve">Furthermore, Key Statement EN2 states that ‘The landscape and character of the Forest of Bowland Area of Outstanding Natural Beauty will be protected, </w:t>
            </w:r>
            <w:proofErr w:type="gramStart"/>
            <w:r w:rsidRPr="001D1C29">
              <w:rPr>
                <w:rFonts w:asciiTheme="minorHAnsi" w:hAnsiTheme="minorHAnsi" w:cstheme="minorHAnsi"/>
                <w:i/>
                <w:iCs/>
              </w:rPr>
              <w:t>conserved</w:t>
            </w:r>
            <w:proofErr w:type="gramEnd"/>
            <w:r w:rsidRPr="001D1C29">
              <w:rPr>
                <w:rFonts w:asciiTheme="minorHAnsi" w:hAnsiTheme="minorHAnsi" w:cstheme="minorHAnsi"/>
                <w:i/>
                <w:iCs/>
              </w:rPr>
              <w:t xml:space="preserve"> and enhanced. Any development will need to contribute to the conservation of the natural beauty of the area’.</w:t>
            </w:r>
          </w:p>
          <w:p w14:paraId="2DC8A79D" w14:textId="77777777" w:rsidR="001D1C29" w:rsidRDefault="001D1C29" w:rsidP="005E1C6C">
            <w:pPr>
              <w:contextualSpacing/>
              <w:rPr>
                <w:rFonts w:ascii="Calibri" w:hAnsi="Calibri"/>
                <w:bCs/>
                <w:szCs w:val="22"/>
              </w:rPr>
            </w:pPr>
          </w:p>
          <w:p w14:paraId="2AB22740" w14:textId="5543E01E" w:rsidR="00C0704D" w:rsidRPr="00E62A52" w:rsidRDefault="00872A24" w:rsidP="00455811">
            <w:pPr>
              <w:contextualSpacing/>
              <w:jc w:val="both"/>
              <w:rPr>
                <w:rFonts w:ascii="Calibri" w:hAnsi="Calibri"/>
                <w:bCs/>
                <w:szCs w:val="22"/>
              </w:rPr>
            </w:pPr>
            <w:r w:rsidRPr="00E62A52">
              <w:rPr>
                <w:rFonts w:ascii="Calibri" w:hAnsi="Calibri"/>
                <w:bCs/>
                <w:szCs w:val="22"/>
              </w:rPr>
              <w:t xml:space="preserve">The proposed lectern notice board will be modest </w:t>
            </w:r>
            <w:r w:rsidR="00DB0914" w:rsidRPr="00E62A52">
              <w:rPr>
                <w:rFonts w:ascii="Calibri" w:hAnsi="Calibri"/>
                <w:bCs/>
                <w:szCs w:val="22"/>
              </w:rPr>
              <w:t>in</w:t>
            </w:r>
            <w:r w:rsidRPr="00E62A52">
              <w:rPr>
                <w:rFonts w:ascii="Calibri" w:hAnsi="Calibri"/>
                <w:bCs/>
                <w:szCs w:val="22"/>
              </w:rPr>
              <w:t xml:space="preserve"> terms of </w:t>
            </w:r>
            <w:r w:rsidR="00DB0914" w:rsidRPr="00E62A52">
              <w:rPr>
                <w:rFonts w:ascii="Calibri" w:hAnsi="Calibri"/>
                <w:bCs/>
                <w:szCs w:val="22"/>
              </w:rPr>
              <w:t>scale</w:t>
            </w:r>
            <w:r w:rsidRPr="00E62A52">
              <w:rPr>
                <w:rFonts w:ascii="Calibri" w:hAnsi="Calibri"/>
                <w:bCs/>
                <w:szCs w:val="22"/>
              </w:rPr>
              <w:t xml:space="preserve"> measuring just 84cm by </w:t>
            </w:r>
            <w:r w:rsidR="00DB0914" w:rsidRPr="00E62A52">
              <w:rPr>
                <w:rFonts w:ascii="Calibri" w:hAnsi="Calibri"/>
                <w:bCs/>
                <w:szCs w:val="22"/>
              </w:rPr>
              <w:t>60</w:t>
            </w:r>
            <w:r w:rsidRPr="00E62A52">
              <w:rPr>
                <w:rFonts w:ascii="Calibri" w:hAnsi="Calibri"/>
                <w:bCs/>
                <w:szCs w:val="22"/>
              </w:rPr>
              <w:t xml:space="preserve">cm and will be sited behind an existing fence at </w:t>
            </w:r>
            <w:r w:rsidR="00DB0914" w:rsidRPr="00E62A52">
              <w:rPr>
                <w:rFonts w:ascii="Calibri" w:hAnsi="Calibri"/>
                <w:bCs/>
                <w:szCs w:val="22"/>
              </w:rPr>
              <w:t>an existing entrance to Greendale Wood.</w:t>
            </w:r>
            <w:r w:rsidRPr="00E62A52">
              <w:rPr>
                <w:rFonts w:ascii="Calibri" w:hAnsi="Calibri"/>
                <w:bCs/>
                <w:szCs w:val="22"/>
              </w:rPr>
              <w:t xml:space="preserve"> As a result, it will be </w:t>
            </w:r>
            <w:r w:rsidR="00DB0914" w:rsidRPr="00E62A52">
              <w:rPr>
                <w:rFonts w:ascii="Calibri" w:hAnsi="Calibri"/>
                <w:bCs/>
                <w:szCs w:val="22"/>
              </w:rPr>
              <w:t>visually</w:t>
            </w:r>
            <w:r w:rsidRPr="00E62A52">
              <w:rPr>
                <w:rFonts w:ascii="Calibri" w:hAnsi="Calibri"/>
                <w:bCs/>
                <w:szCs w:val="22"/>
              </w:rPr>
              <w:t xml:space="preserve"> </w:t>
            </w:r>
            <w:r w:rsidR="00DB0914" w:rsidRPr="00E62A52">
              <w:rPr>
                <w:rFonts w:ascii="Calibri" w:hAnsi="Calibri"/>
                <w:bCs/>
                <w:szCs w:val="22"/>
              </w:rPr>
              <w:t>unobtrusive</w:t>
            </w:r>
            <w:r w:rsidRPr="00E62A52">
              <w:rPr>
                <w:rFonts w:ascii="Calibri" w:hAnsi="Calibri"/>
                <w:bCs/>
                <w:szCs w:val="22"/>
              </w:rPr>
              <w:t xml:space="preserve"> and well screened from</w:t>
            </w:r>
            <w:r w:rsidR="00DB0914" w:rsidRPr="00E62A52">
              <w:rPr>
                <w:rFonts w:ascii="Calibri" w:hAnsi="Calibri"/>
                <w:bCs/>
                <w:szCs w:val="22"/>
              </w:rPr>
              <w:t xml:space="preserve"> Brow Top and only visible upon accessing the wood itself</w:t>
            </w:r>
            <w:r w:rsidRPr="00E62A52">
              <w:rPr>
                <w:rFonts w:ascii="Calibri" w:hAnsi="Calibri"/>
                <w:bCs/>
                <w:szCs w:val="22"/>
              </w:rPr>
              <w:t xml:space="preserve">. The proposed </w:t>
            </w:r>
            <w:r w:rsidR="00DB0914" w:rsidRPr="00E62A52">
              <w:rPr>
                <w:rFonts w:ascii="Calibri" w:hAnsi="Calibri"/>
                <w:bCs/>
                <w:szCs w:val="22"/>
              </w:rPr>
              <w:t>aluminium</w:t>
            </w:r>
            <w:r w:rsidRPr="00E62A52">
              <w:rPr>
                <w:rFonts w:ascii="Calibri" w:hAnsi="Calibri"/>
                <w:bCs/>
                <w:szCs w:val="22"/>
              </w:rPr>
              <w:t xml:space="preserve"> sheet </w:t>
            </w:r>
            <w:r w:rsidR="00E62A52" w:rsidRPr="00E62A52">
              <w:rPr>
                <w:rFonts w:ascii="Calibri" w:hAnsi="Calibri"/>
                <w:bCs/>
                <w:szCs w:val="22"/>
              </w:rPr>
              <w:t xml:space="preserve">which will accommodate the information </w:t>
            </w:r>
            <w:r w:rsidRPr="00E62A52">
              <w:rPr>
                <w:rFonts w:ascii="Calibri" w:hAnsi="Calibri"/>
                <w:bCs/>
                <w:szCs w:val="22"/>
              </w:rPr>
              <w:t xml:space="preserve">is thin and will be mounted on top of timber posts, the natural material </w:t>
            </w:r>
            <w:r w:rsidR="00E62A52" w:rsidRPr="00E62A52">
              <w:rPr>
                <w:rFonts w:ascii="Calibri" w:hAnsi="Calibri"/>
                <w:bCs/>
                <w:szCs w:val="22"/>
              </w:rPr>
              <w:t xml:space="preserve">and modest scale </w:t>
            </w:r>
            <w:r w:rsidRPr="00E62A52">
              <w:rPr>
                <w:rFonts w:ascii="Calibri" w:hAnsi="Calibri"/>
                <w:bCs/>
                <w:szCs w:val="22"/>
              </w:rPr>
              <w:t xml:space="preserve">will allow for </w:t>
            </w:r>
            <w:r w:rsidR="00DB0914" w:rsidRPr="00E62A52">
              <w:rPr>
                <w:rFonts w:ascii="Calibri" w:hAnsi="Calibri"/>
                <w:bCs/>
                <w:szCs w:val="22"/>
              </w:rPr>
              <w:t>sufficient</w:t>
            </w:r>
            <w:r w:rsidRPr="00E62A52">
              <w:rPr>
                <w:rFonts w:ascii="Calibri" w:hAnsi="Calibri"/>
                <w:bCs/>
                <w:szCs w:val="22"/>
              </w:rPr>
              <w:t xml:space="preserve"> integration into </w:t>
            </w:r>
            <w:r w:rsidR="00DB0914" w:rsidRPr="00E62A52">
              <w:rPr>
                <w:rFonts w:ascii="Calibri" w:hAnsi="Calibri"/>
                <w:bCs/>
                <w:szCs w:val="22"/>
              </w:rPr>
              <w:t>the</w:t>
            </w:r>
            <w:r w:rsidRPr="00E62A52">
              <w:rPr>
                <w:rFonts w:ascii="Calibri" w:hAnsi="Calibri"/>
                <w:bCs/>
                <w:szCs w:val="22"/>
              </w:rPr>
              <w:t xml:space="preserve"> surrounding vegetation. </w:t>
            </w:r>
            <w:r w:rsidR="001D1C29">
              <w:rPr>
                <w:rFonts w:ascii="Calibri" w:hAnsi="Calibri"/>
                <w:bCs/>
                <w:szCs w:val="22"/>
              </w:rPr>
              <w:t xml:space="preserve">It is therefore considered that the proposed development will have no adverse impact on the visual character or openness of the National Landscape (formerly AONB) by virtue of its siting and modest scale. </w:t>
            </w:r>
          </w:p>
          <w:p w14:paraId="10A3648A" w14:textId="4D73F9FA" w:rsidR="00872A24" w:rsidRDefault="00872A24" w:rsidP="005E1C6C">
            <w:pPr>
              <w:contextualSpacing/>
              <w:rPr>
                <w:rFonts w:ascii="Calibri" w:hAnsi="Calibri"/>
                <w:b/>
                <w:szCs w:val="22"/>
              </w:rPr>
            </w:pPr>
          </w:p>
        </w:tc>
      </w:tr>
      <w:tr w:rsidR="00824DB6" w:rsidRPr="00D2449B" w14:paraId="673C0DDB"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23F2806" w14:textId="51C860BF" w:rsidR="00824DB6" w:rsidRPr="00E62A52" w:rsidRDefault="00627140" w:rsidP="00EA09F9">
            <w:pPr>
              <w:pStyle w:val="Header"/>
              <w:tabs>
                <w:tab w:val="clear" w:pos="4153"/>
                <w:tab w:val="clear" w:pos="8306"/>
              </w:tabs>
              <w:contextualSpacing/>
              <w:jc w:val="both"/>
              <w:rPr>
                <w:rFonts w:ascii="Calibri" w:hAnsi="Calibri"/>
                <w:bCs/>
                <w:szCs w:val="22"/>
              </w:rPr>
            </w:pPr>
            <w:r w:rsidRPr="00E62A52">
              <w:rPr>
                <w:rFonts w:ascii="Calibri" w:hAnsi="Calibri"/>
                <w:bCs/>
                <w:szCs w:val="22"/>
              </w:rPr>
              <w:t xml:space="preserve">LCC Highways have not been consulted in relation to the proposal given it will not adversely impact highway safety or amenity. </w:t>
            </w:r>
          </w:p>
          <w:p w14:paraId="337694ED" w14:textId="2B500218" w:rsidR="00627140" w:rsidRDefault="0062714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1200184" w14:textId="6641E386" w:rsidR="00C0704D" w:rsidRDefault="00627140" w:rsidP="00E46243">
            <w:pPr>
              <w:contextualSpacing/>
              <w:rPr>
                <w:rFonts w:ascii="Calibri" w:hAnsi="Calibri"/>
                <w:b/>
                <w:szCs w:val="22"/>
              </w:rPr>
            </w:pPr>
            <w:r w:rsidRPr="00E62A52">
              <w:rPr>
                <w:rFonts w:ascii="Calibri" w:hAnsi="Calibri"/>
                <w:bCs/>
                <w:szCs w:val="22"/>
              </w:rPr>
              <w:t>N</w:t>
            </w:r>
            <w:r w:rsidR="00E62A52" w:rsidRPr="00E62A52">
              <w:rPr>
                <w:rFonts w:ascii="Calibri" w:hAnsi="Calibri"/>
                <w:bCs/>
                <w:szCs w:val="22"/>
              </w:rPr>
              <w:t>o</w:t>
            </w:r>
            <w:r w:rsidRPr="00E62A52">
              <w:rPr>
                <w:rFonts w:ascii="Calibri" w:hAnsi="Calibri"/>
                <w:bCs/>
                <w:szCs w:val="22"/>
              </w:rPr>
              <w:t xml:space="preserve"> ecological constraints identified. </w:t>
            </w:r>
          </w:p>
          <w:p w14:paraId="6337C4D8" w14:textId="0A115B9C" w:rsidR="00627140" w:rsidRDefault="00627140" w:rsidP="00E46243">
            <w:pPr>
              <w:contextualSpacing/>
              <w:rPr>
                <w:rFonts w:ascii="Calibri" w:hAnsi="Calibri"/>
                <w:b/>
                <w:szCs w:val="22"/>
              </w:rPr>
            </w:pPr>
          </w:p>
        </w:tc>
      </w:tr>
      <w:tr w:rsidR="00C0704D" w:rsidRPr="00D2449B" w14:paraId="0A9D02B4"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4025C">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D4025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627140" w:rsidRPr="00D2449B" w:rsidRDefault="00627140">
      <w:pPr>
        <w:rPr>
          <w:rFonts w:ascii="Calibri" w:hAnsi="Calibri"/>
          <w:szCs w:val="22"/>
        </w:rPr>
      </w:pPr>
    </w:p>
    <w:sectPr w:rsidR="0062714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1C29"/>
    <w:rsid w:val="001D4F7A"/>
    <w:rsid w:val="00250879"/>
    <w:rsid w:val="00274216"/>
    <w:rsid w:val="00282E3A"/>
    <w:rsid w:val="0029334A"/>
    <w:rsid w:val="002954E5"/>
    <w:rsid w:val="002A01CF"/>
    <w:rsid w:val="002C6277"/>
    <w:rsid w:val="002F2580"/>
    <w:rsid w:val="00321B6E"/>
    <w:rsid w:val="003847B2"/>
    <w:rsid w:val="00440CB6"/>
    <w:rsid w:val="00455811"/>
    <w:rsid w:val="0046548C"/>
    <w:rsid w:val="004947BB"/>
    <w:rsid w:val="00497407"/>
    <w:rsid w:val="004A5EA9"/>
    <w:rsid w:val="004C2434"/>
    <w:rsid w:val="004F0649"/>
    <w:rsid w:val="00510FA2"/>
    <w:rsid w:val="00556ECD"/>
    <w:rsid w:val="005E1C6C"/>
    <w:rsid w:val="005E65DF"/>
    <w:rsid w:val="00615B9E"/>
    <w:rsid w:val="00627140"/>
    <w:rsid w:val="00692B60"/>
    <w:rsid w:val="006A71AD"/>
    <w:rsid w:val="006C2BFA"/>
    <w:rsid w:val="006F6849"/>
    <w:rsid w:val="0070054B"/>
    <w:rsid w:val="0071446A"/>
    <w:rsid w:val="00761D2C"/>
    <w:rsid w:val="00773A66"/>
    <w:rsid w:val="00776AE2"/>
    <w:rsid w:val="007C791C"/>
    <w:rsid w:val="007D7DF4"/>
    <w:rsid w:val="007E0D23"/>
    <w:rsid w:val="007F16D6"/>
    <w:rsid w:val="00811771"/>
    <w:rsid w:val="00824DB6"/>
    <w:rsid w:val="00837F4F"/>
    <w:rsid w:val="008542DE"/>
    <w:rsid w:val="00872A24"/>
    <w:rsid w:val="008A28C8"/>
    <w:rsid w:val="009F4443"/>
    <w:rsid w:val="00A06197"/>
    <w:rsid w:val="00A42E82"/>
    <w:rsid w:val="00A579BB"/>
    <w:rsid w:val="00A63D55"/>
    <w:rsid w:val="00A95D89"/>
    <w:rsid w:val="00B93EB5"/>
    <w:rsid w:val="00BD3F03"/>
    <w:rsid w:val="00C0704D"/>
    <w:rsid w:val="00C25722"/>
    <w:rsid w:val="00C618DB"/>
    <w:rsid w:val="00D11007"/>
    <w:rsid w:val="00D17EB1"/>
    <w:rsid w:val="00D2449B"/>
    <w:rsid w:val="00D4025C"/>
    <w:rsid w:val="00D54E67"/>
    <w:rsid w:val="00DB0914"/>
    <w:rsid w:val="00DD62F6"/>
    <w:rsid w:val="00E46243"/>
    <w:rsid w:val="00E62A52"/>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2023-12-19T12:33:00Z</cp:lastPrinted>
  <dcterms:created xsi:type="dcterms:W3CDTF">2023-12-19T12:36:00Z</dcterms:created>
  <dcterms:modified xsi:type="dcterms:W3CDTF">2023-12-19T12:36:00Z</dcterms:modified>
</cp:coreProperties>
</file>