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53329B8" w:rsidR="00837F4F" w:rsidRPr="00D2449B" w:rsidRDefault="000C3802"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7EDDC07" w:rsidR="00837F4F" w:rsidRPr="00D2449B" w:rsidRDefault="000C3802" w:rsidP="00D2449B">
            <w:pPr>
              <w:jc w:val="center"/>
              <w:rPr>
                <w:rFonts w:ascii="Calibri" w:hAnsi="Calibri"/>
                <w:b/>
                <w:szCs w:val="22"/>
              </w:rPr>
            </w:pPr>
            <w:r>
              <w:rPr>
                <w:rFonts w:ascii="Calibri" w:hAnsi="Calibri"/>
                <w:b/>
                <w:szCs w:val="22"/>
              </w:rPr>
              <w:t>1</w:t>
            </w:r>
            <w:r w:rsidR="00570E69">
              <w:rPr>
                <w:rFonts w:ascii="Calibri" w:hAnsi="Calibri"/>
                <w:b/>
                <w:szCs w:val="22"/>
              </w:rPr>
              <w:t>3</w:t>
            </w:r>
            <w:r>
              <w:rPr>
                <w:rFonts w:ascii="Calibri" w:hAnsi="Calibri"/>
                <w:b/>
                <w:szCs w:val="22"/>
              </w:rPr>
              <w:t>.2.24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8D01434" w:rsidR="00837F4F" w:rsidRPr="00D2449B" w:rsidRDefault="00570E69"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60E8AA4" w:rsidR="00837F4F" w:rsidRPr="00D2449B" w:rsidRDefault="00570E69" w:rsidP="00D2449B">
            <w:pPr>
              <w:jc w:val="center"/>
              <w:rPr>
                <w:rFonts w:ascii="Calibri" w:hAnsi="Calibri"/>
                <w:b/>
                <w:szCs w:val="22"/>
              </w:rPr>
            </w:pPr>
            <w:r>
              <w:rPr>
                <w:rFonts w:ascii="Calibri" w:hAnsi="Calibri"/>
                <w:b/>
                <w:szCs w:val="22"/>
              </w:rPr>
              <w:t>14.2.24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F7A2167" w:rsidR="004A5EA9" w:rsidRPr="00250879" w:rsidRDefault="000C3802" w:rsidP="008542DE">
            <w:pPr>
              <w:rPr>
                <w:rFonts w:ascii="Calibri" w:hAnsi="Calibri"/>
                <w:color w:val="548DD4" w:themeColor="text2" w:themeTint="99"/>
                <w:szCs w:val="22"/>
              </w:rPr>
            </w:pPr>
            <w:r>
              <w:rPr>
                <w:rFonts w:ascii="Calibri" w:hAnsi="Calibri"/>
                <w:szCs w:val="22"/>
              </w:rPr>
              <w:t>2023/0964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D4134E7" w:rsidR="00824DB6" w:rsidRPr="00B46EF2" w:rsidRDefault="00B46EF2" w:rsidP="002C6277">
            <w:pPr>
              <w:rPr>
                <w:rFonts w:ascii="Calibri" w:hAnsi="Calibri"/>
                <w:szCs w:val="22"/>
              </w:rPr>
            </w:pPr>
            <w:r w:rsidRPr="00B46EF2">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B46EF2" w:rsidRDefault="00824DB6" w:rsidP="002C6277">
            <w:pPr>
              <w:rPr>
                <w:rFonts w:ascii="Calibri" w:hAnsi="Calibri"/>
                <w:b/>
                <w:bCs/>
                <w:szCs w:val="22"/>
              </w:rPr>
            </w:pPr>
            <w:r w:rsidRPr="00B46EF2">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7608FFA" w:rsidR="00824DB6" w:rsidRPr="00B46EF2" w:rsidRDefault="00B46EF2" w:rsidP="002C6277">
            <w:pPr>
              <w:rPr>
                <w:rFonts w:ascii="Calibri" w:hAnsi="Calibri"/>
                <w:szCs w:val="22"/>
              </w:rPr>
            </w:pPr>
            <w:r w:rsidRPr="00B46EF2">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E170B28" w:rsidR="004A5EA9" w:rsidRPr="00250879" w:rsidRDefault="00231180" w:rsidP="00811771">
            <w:pPr>
              <w:rPr>
                <w:rFonts w:ascii="Calibri" w:hAnsi="Calibri"/>
                <w:color w:val="548DD4" w:themeColor="text2" w:themeTint="99"/>
                <w:szCs w:val="22"/>
              </w:rPr>
            </w:pPr>
            <w:r w:rsidRPr="00231180">
              <w:rPr>
                <w:rFonts w:ascii="Calibri" w:hAnsi="Calibri"/>
                <w:szCs w:val="22"/>
              </w:rPr>
              <w:t>S</w:t>
            </w:r>
            <w:r w:rsidR="0085007E">
              <w:rPr>
                <w:rFonts w:ascii="Calibri" w:hAnsi="Calibri"/>
                <w:szCs w:val="22"/>
              </w:rPr>
              <w:t>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B19B834" w:rsidR="004A5EA9" w:rsidRPr="002C6277" w:rsidRDefault="000C3802">
            <w:pPr>
              <w:rPr>
                <w:rFonts w:ascii="Calibri" w:hAnsi="Calibri"/>
                <w:szCs w:val="22"/>
              </w:rPr>
            </w:pPr>
            <w:r w:rsidRPr="000C3802">
              <w:rPr>
                <w:rFonts w:ascii="Calibri" w:hAnsi="Calibri"/>
                <w:szCs w:val="22"/>
              </w:rPr>
              <w:t>Change of use from house in multiple occupation for visiting students (sui generis) to dwelling (C3).</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9218BB3" w:rsidR="002A01CF" w:rsidRPr="00570E69" w:rsidRDefault="000C3802" w:rsidP="00A42E82">
            <w:pPr>
              <w:rPr>
                <w:rFonts w:asciiTheme="minorHAnsi" w:hAnsiTheme="minorHAnsi" w:cstheme="minorHAnsi"/>
                <w:b/>
                <w:bCs/>
                <w:szCs w:val="22"/>
              </w:rPr>
            </w:pPr>
            <w:r w:rsidRPr="00570E69">
              <w:rPr>
                <w:rStyle w:val="Strong"/>
                <w:rFonts w:asciiTheme="minorHAnsi" w:hAnsiTheme="minorHAnsi" w:cstheme="minorHAnsi"/>
                <w:b w:val="0"/>
                <w:bCs w:val="0"/>
                <w:color w:val="333333"/>
                <w:szCs w:val="22"/>
                <w:bdr w:val="none" w:sz="0" w:space="0" w:color="auto" w:frame="1"/>
                <w:shd w:val="clear" w:color="auto" w:fill="FFFFFF"/>
              </w:rPr>
              <w:t>Avenue Farm Avenue Road Hurst Green BB7 9QB</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5D4D802" w:rsidR="002A01CF" w:rsidRPr="00231180" w:rsidRDefault="00231180">
            <w:pPr>
              <w:rPr>
                <w:rFonts w:ascii="Calibri" w:hAnsi="Calibri"/>
                <w:bCs/>
                <w:szCs w:val="22"/>
              </w:rPr>
            </w:pPr>
            <w:r w:rsidRPr="00231180">
              <w:rPr>
                <w:rFonts w:ascii="Calibri" w:hAnsi="Calibri"/>
                <w:bCs/>
                <w:szCs w:val="22"/>
              </w:rPr>
              <w:t>No representations received in respect of the application.</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1AD47CB3" w:rsidR="00C0704D" w:rsidRPr="00C0704D" w:rsidRDefault="00231180" w:rsidP="00D74711">
            <w:pPr>
              <w:rPr>
                <w:rFonts w:ascii="Calibri" w:hAnsi="Calibri"/>
                <w:szCs w:val="22"/>
              </w:rPr>
            </w:pPr>
            <w:r w:rsidRPr="00231180">
              <w:rPr>
                <w:rFonts w:ascii="Calibri" w:hAnsi="Calibri"/>
                <w:bCs/>
                <w:szCs w:val="22"/>
              </w:rPr>
              <w:t>No representations received in respect of the application.</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4C096B2" w:rsidR="00C0704D" w:rsidRPr="00C0704D" w:rsidRDefault="00231180" w:rsidP="00692B60">
            <w:pPr>
              <w:rPr>
                <w:rFonts w:ascii="Calibri" w:hAnsi="Calibri"/>
                <w:szCs w:val="22"/>
              </w:rPr>
            </w:pPr>
            <w:r w:rsidRPr="00231180">
              <w:rPr>
                <w:rFonts w:ascii="Calibri" w:hAnsi="Calibri"/>
                <w:bCs/>
                <w:szCs w:val="22"/>
              </w:rPr>
              <w:t>No representations received in respect of the application.</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DA3A87" w:rsidRDefault="008542DE" w:rsidP="008542DE">
            <w:pPr>
              <w:pStyle w:val="PLANNING"/>
              <w:rPr>
                <w:rFonts w:ascii="Calibri" w:hAnsi="Calibri"/>
                <w:szCs w:val="22"/>
              </w:rPr>
            </w:pPr>
            <w:r w:rsidRPr="00DA3A87">
              <w:rPr>
                <w:rFonts w:ascii="Calibri" w:hAnsi="Calibri"/>
                <w:szCs w:val="22"/>
              </w:rPr>
              <w:t>Key Statement DS1</w:t>
            </w:r>
            <w:r w:rsidR="00F056A7" w:rsidRPr="00DA3A87">
              <w:rPr>
                <w:rFonts w:ascii="Calibri" w:hAnsi="Calibri"/>
                <w:szCs w:val="22"/>
              </w:rPr>
              <w:t>:</w:t>
            </w:r>
            <w:r w:rsidR="00F056A7" w:rsidRPr="00DA3A87">
              <w:rPr>
                <w:rFonts w:ascii="Calibri" w:hAnsi="Calibri"/>
                <w:szCs w:val="22"/>
              </w:rPr>
              <w:tab/>
            </w:r>
            <w:r w:rsidRPr="00DA3A87">
              <w:rPr>
                <w:rFonts w:ascii="Calibri" w:hAnsi="Calibri"/>
                <w:szCs w:val="22"/>
              </w:rPr>
              <w:t>Development Strategy</w:t>
            </w:r>
          </w:p>
          <w:p w14:paraId="63DD9EED" w14:textId="51D4E806" w:rsidR="008542DE" w:rsidRPr="00DA3A87" w:rsidRDefault="008542DE" w:rsidP="008542DE">
            <w:pPr>
              <w:pStyle w:val="PLANNING"/>
              <w:rPr>
                <w:rFonts w:ascii="Calibri" w:hAnsi="Calibri"/>
                <w:szCs w:val="22"/>
              </w:rPr>
            </w:pPr>
            <w:r w:rsidRPr="00DA3A87">
              <w:rPr>
                <w:rFonts w:ascii="Calibri" w:hAnsi="Calibri"/>
                <w:szCs w:val="22"/>
              </w:rPr>
              <w:t>Key Statement DS2</w:t>
            </w:r>
            <w:r w:rsidR="00F056A7" w:rsidRPr="00DA3A87">
              <w:rPr>
                <w:rFonts w:ascii="Calibri" w:hAnsi="Calibri"/>
                <w:szCs w:val="22"/>
              </w:rPr>
              <w:t xml:space="preserve">: </w:t>
            </w:r>
            <w:r w:rsidR="00F056A7" w:rsidRPr="00DA3A87">
              <w:rPr>
                <w:rFonts w:ascii="Calibri" w:hAnsi="Calibri"/>
                <w:szCs w:val="22"/>
              </w:rPr>
              <w:tab/>
            </w:r>
            <w:r w:rsidRPr="00DA3A87">
              <w:rPr>
                <w:rFonts w:ascii="Calibri" w:hAnsi="Calibri"/>
                <w:szCs w:val="22"/>
              </w:rPr>
              <w:t>Sustainable Development</w:t>
            </w:r>
          </w:p>
          <w:p w14:paraId="747C1315" w14:textId="6E5D6DC1" w:rsidR="00F056A7" w:rsidRPr="00DA3A87" w:rsidRDefault="00F056A7" w:rsidP="008542DE">
            <w:pPr>
              <w:pStyle w:val="PLANNING"/>
              <w:rPr>
                <w:rFonts w:ascii="Calibri" w:hAnsi="Calibri"/>
                <w:szCs w:val="22"/>
              </w:rPr>
            </w:pPr>
            <w:r w:rsidRPr="00DA3A87">
              <w:rPr>
                <w:rFonts w:ascii="Calibri" w:hAnsi="Calibri"/>
                <w:szCs w:val="22"/>
              </w:rPr>
              <w:t>Key Statement EN2:</w:t>
            </w:r>
            <w:r w:rsidRPr="00DA3A87">
              <w:rPr>
                <w:rFonts w:ascii="Calibri" w:hAnsi="Calibri"/>
                <w:szCs w:val="22"/>
              </w:rPr>
              <w:tab/>
              <w:t>Landscape</w:t>
            </w:r>
          </w:p>
          <w:p w14:paraId="660ACF28" w14:textId="6D6E2185" w:rsidR="00F056A7" w:rsidRPr="00DA3A87" w:rsidRDefault="00F056A7" w:rsidP="008542DE">
            <w:pPr>
              <w:pStyle w:val="PLANNING"/>
              <w:rPr>
                <w:rFonts w:ascii="Calibri" w:hAnsi="Calibri"/>
                <w:szCs w:val="22"/>
              </w:rPr>
            </w:pPr>
            <w:r w:rsidRPr="00DA3A87">
              <w:rPr>
                <w:rFonts w:ascii="Calibri" w:hAnsi="Calibri"/>
                <w:szCs w:val="22"/>
              </w:rPr>
              <w:t>Key Statement EN3:</w:t>
            </w:r>
            <w:r w:rsidRPr="00DA3A87">
              <w:rPr>
                <w:rFonts w:ascii="Calibri" w:hAnsi="Calibri"/>
                <w:szCs w:val="22"/>
              </w:rPr>
              <w:tab/>
              <w:t>Sustainable Development and Climate Change</w:t>
            </w:r>
          </w:p>
          <w:p w14:paraId="4A77E8F9" w14:textId="1AC09D57" w:rsidR="00F056A7" w:rsidRPr="00DA3A87" w:rsidRDefault="00F056A7" w:rsidP="008542DE">
            <w:pPr>
              <w:pStyle w:val="PLANNING"/>
              <w:rPr>
                <w:rFonts w:ascii="Calibri" w:hAnsi="Calibri"/>
                <w:szCs w:val="22"/>
              </w:rPr>
            </w:pPr>
            <w:r w:rsidRPr="00DA3A87">
              <w:rPr>
                <w:rFonts w:ascii="Calibri" w:hAnsi="Calibri"/>
                <w:szCs w:val="22"/>
              </w:rPr>
              <w:t>Key Statement EN5:</w:t>
            </w:r>
            <w:r w:rsidRPr="00DA3A87">
              <w:rPr>
                <w:rFonts w:ascii="Calibri" w:hAnsi="Calibri"/>
                <w:szCs w:val="22"/>
              </w:rPr>
              <w:tab/>
              <w:t>Heritage Assets</w:t>
            </w:r>
          </w:p>
          <w:p w14:paraId="1DDE8FAF" w14:textId="0B62C449" w:rsidR="00F056A7" w:rsidRPr="00DA3A87" w:rsidRDefault="00F056A7" w:rsidP="00F056A7">
            <w:pPr>
              <w:pStyle w:val="PLANNING"/>
              <w:rPr>
                <w:rFonts w:ascii="Calibri" w:hAnsi="Calibri"/>
                <w:szCs w:val="22"/>
              </w:rPr>
            </w:pPr>
            <w:r w:rsidRPr="00DA3A87">
              <w:rPr>
                <w:rFonts w:ascii="Calibri" w:hAnsi="Calibri"/>
                <w:szCs w:val="22"/>
              </w:rPr>
              <w:t>Key Statement DMI2:</w:t>
            </w:r>
            <w:r w:rsidRPr="00DA3A87">
              <w:rPr>
                <w:rFonts w:ascii="Calibri" w:hAnsi="Calibri"/>
                <w:szCs w:val="22"/>
              </w:rPr>
              <w:tab/>
              <w:t>Transport Considerations</w:t>
            </w:r>
          </w:p>
          <w:p w14:paraId="4CF76C47" w14:textId="77777777" w:rsidR="0046548C" w:rsidRPr="00DA3A87" w:rsidRDefault="0046548C" w:rsidP="008542DE">
            <w:pPr>
              <w:pStyle w:val="PLANNING"/>
              <w:rPr>
                <w:rFonts w:ascii="Calibri" w:hAnsi="Calibri"/>
                <w:szCs w:val="22"/>
              </w:rPr>
            </w:pPr>
          </w:p>
          <w:p w14:paraId="1636F1D2" w14:textId="7E41133F" w:rsidR="008542DE" w:rsidRPr="00DA3A87" w:rsidRDefault="008542DE" w:rsidP="008542DE">
            <w:pPr>
              <w:pStyle w:val="PLANNING"/>
              <w:rPr>
                <w:rFonts w:ascii="Calibri" w:hAnsi="Calibri"/>
                <w:szCs w:val="22"/>
              </w:rPr>
            </w:pPr>
            <w:r w:rsidRPr="00DA3A87">
              <w:rPr>
                <w:rFonts w:ascii="Calibri" w:hAnsi="Calibri"/>
                <w:szCs w:val="22"/>
              </w:rPr>
              <w:t>Policy DMG1</w:t>
            </w:r>
            <w:r w:rsidR="00F056A7" w:rsidRPr="00DA3A87">
              <w:rPr>
                <w:rFonts w:ascii="Calibri" w:hAnsi="Calibri"/>
                <w:szCs w:val="22"/>
              </w:rPr>
              <w:t>:</w:t>
            </w:r>
            <w:r w:rsidR="00F056A7" w:rsidRPr="00DA3A87">
              <w:rPr>
                <w:rFonts w:ascii="Calibri" w:hAnsi="Calibri"/>
                <w:szCs w:val="22"/>
              </w:rPr>
              <w:tab/>
            </w:r>
            <w:r w:rsidRPr="00DA3A87">
              <w:rPr>
                <w:rFonts w:ascii="Calibri" w:hAnsi="Calibri"/>
                <w:szCs w:val="22"/>
              </w:rPr>
              <w:t>General Considerations</w:t>
            </w:r>
          </w:p>
          <w:p w14:paraId="54E7D563" w14:textId="33429D12" w:rsidR="008542DE" w:rsidRPr="00DA3A87" w:rsidRDefault="008542DE" w:rsidP="008542DE">
            <w:pPr>
              <w:pStyle w:val="PLANNING"/>
              <w:rPr>
                <w:rFonts w:ascii="Calibri" w:hAnsi="Calibri"/>
                <w:szCs w:val="22"/>
              </w:rPr>
            </w:pPr>
            <w:r w:rsidRPr="00DA3A87">
              <w:rPr>
                <w:rFonts w:ascii="Calibri" w:hAnsi="Calibri"/>
                <w:szCs w:val="22"/>
              </w:rPr>
              <w:t>Policy DMG2</w:t>
            </w:r>
            <w:r w:rsidR="00F056A7" w:rsidRPr="00DA3A87">
              <w:rPr>
                <w:rFonts w:ascii="Calibri" w:hAnsi="Calibri"/>
                <w:szCs w:val="22"/>
              </w:rPr>
              <w:t>:</w:t>
            </w:r>
            <w:r w:rsidR="00F056A7" w:rsidRPr="00DA3A87">
              <w:rPr>
                <w:rFonts w:ascii="Calibri" w:hAnsi="Calibri"/>
                <w:szCs w:val="22"/>
              </w:rPr>
              <w:tab/>
            </w:r>
            <w:r w:rsidRPr="00DA3A87">
              <w:rPr>
                <w:rFonts w:ascii="Calibri" w:hAnsi="Calibri"/>
                <w:szCs w:val="22"/>
              </w:rPr>
              <w:t>Strategic Considerations</w:t>
            </w:r>
          </w:p>
          <w:p w14:paraId="5CF21779" w14:textId="765B9768" w:rsidR="008542DE" w:rsidRPr="00DA3A87" w:rsidRDefault="008542DE" w:rsidP="008542DE">
            <w:pPr>
              <w:pStyle w:val="PLANNING"/>
              <w:rPr>
                <w:rFonts w:ascii="Calibri" w:hAnsi="Calibri"/>
                <w:szCs w:val="22"/>
              </w:rPr>
            </w:pPr>
            <w:r w:rsidRPr="00DA3A87">
              <w:rPr>
                <w:rFonts w:ascii="Calibri" w:hAnsi="Calibri"/>
                <w:szCs w:val="22"/>
              </w:rPr>
              <w:t>Policy DMG3</w:t>
            </w:r>
            <w:r w:rsidR="00F056A7" w:rsidRPr="00DA3A87">
              <w:rPr>
                <w:rFonts w:ascii="Calibri" w:hAnsi="Calibri"/>
                <w:szCs w:val="22"/>
              </w:rPr>
              <w:t>:</w:t>
            </w:r>
            <w:r w:rsidR="00F056A7" w:rsidRPr="00DA3A87">
              <w:rPr>
                <w:rFonts w:ascii="Calibri" w:hAnsi="Calibri"/>
                <w:szCs w:val="22"/>
              </w:rPr>
              <w:tab/>
            </w:r>
            <w:r w:rsidRPr="00DA3A87">
              <w:rPr>
                <w:rFonts w:ascii="Calibri" w:hAnsi="Calibri"/>
                <w:szCs w:val="22"/>
              </w:rPr>
              <w:t>Transport &amp; Mobility</w:t>
            </w:r>
          </w:p>
          <w:p w14:paraId="5CC2ACE9" w14:textId="1BE8A66D" w:rsidR="00F056A7" w:rsidRPr="00DA3A87" w:rsidRDefault="00F056A7" w:rsidP="00F056A7">
            <w:pPr>
              <w:pStyle w:val="PLANNING"/>
              <w:rPr>
                <w:rFonts w:ascii="Calibri" w:hAnsi="Calibri"/>
                <w:szCs w:val="22"/>
              </w:rPr>
            </w:pPr>
            <w:r w:rsidRPr="00DA3A87">
              <w:rPr>
                <w:rFonts w:ascii="Calibri" w:hAnsi="Calibri"/>
                <w:szCs w:val="22"/>
              </w:rPr>
              <w:t>Policy DME4:</w:t>
            </w:r>
            <w:r w:rsidRPr="00DA3A87">
              <w:rPr>
                <w:rFonts w:ascii="Calibri" w:hAnsi="Calibri"/>
                <w:szCs w:val="22"/>
              </w:rPr>
              <w:tab/>
              <w:t>Protecting Heritage Assets</w:t>
            </w:r>
          </w:p>
          <w:p w14:paraId="56C5C32C" w14:textId="42491EEE" w:rsidR="00F056A7" w:rsidRPr="00DA3A87" w:rsidRDefault="00F056A7" w:rsidP="00F056A7">
            <w:pPr>
              <w:pStyle w:val="PLANNING"/>
              <w:rPr>
                <w:rFonts w:ascii="Calibri" w:hAnsi="Calibri"/>
                <w:szCs w:val="22"/>
              </w:rPr>
            </w:pPr>
            <w:r w:rsidRPr="00DA3A87">
              <w:rPr>
                <w:rFonts w:ascii="Calibri" w:hAnsi="Calibri"/>
                <w:szCs w:val="22"/>
              </w:rPr>
              <w:t>Policy DME6:</w:t>
            </w:r>
            <w:r w:rsidRPr="00DA3A87">
              <w:rPr>
                <w:rFonts w:ascii="Calibri" w:hAnsi="Calibri"/>
                <w:szCs w:val="22"/>
              </w:rPr>
              <w:tab/>
              <w:t>Water Management</w:t>
            </w:r>
          </w:p>
          <w:p w14:paraId="47A0E266" w14:textId="4C9D8DB4" w:rsidR="00F056A7" w:rsidRPr="00DA3A87" w:rsidRDefault="00F056A7" w:rsidP="00F056A7">
            <w:pPr>
              <w:pStyle w:val="PLANNING"/>
              <w:rPr>
                <w:rFonts w:ascii="Calibri" w:hAnsi="Calibri"/>
                <w:szCs w:val="22"/>
              </w:rPr>
            </w:pPr>
            <w:r w:rsidRPr="00DA3A87">
              <w:rPr>
                <w:rFonts w:ascii="Calibri" w:hAnsi="Calibri"/>
                <w:szCs w:val="22"/>
              </w:rPr>
              <w:t>Policy DMH3:</w:t>
            </w:r>
            <w:r w:rsidRPr="00DA3A87">
              <w:rPr>
                <w:rFonts w:ascii="Calibri" w:hAnsi="Calibri"/>
                <w:szCs w:val="22"/>
              </w:rPr>
              <w:tab/>
              <w:t>Dwellings in the Open Countryside and AONB</w:t>
            </w:r>
          </w:p>
          <w:p w14:paraId="1360EE56" w14:textId="77777777" w:rsidR="008542DE" w:rsidRPr="00DA3A87" w:rsidRDefault="008542DE" w:rsidP="008542DE">
            <w:pPr>
              <w:pStyle w:val="PLANNING"/>
              <w:rPr>
                <w:rFonts w:ascii="Calibri" w:hAnsi="Calibri"/>
                <w:szCs w:val="22"/>
              </w:rPr>
            </w:pPr>
          </w:p>
          <w:p w14:paraId="1C00F88E" w14:textId="77777777" w:rsidR="008542DE" w:rsidRPr="00DA3A87" w:rsidRDefault="008542DE" w:rsidP="008542DE">
            <w:pPr>
              <w:rPr>
                <w:rFonts w:ascii="Calibri" w:hAnsi="Calibri"/>
                <w:szCs w:val="22"/>
              </w:rPr>
            </w:pPr>
            <w:r w:rsidRPr="00DA3A87">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F806643" w:rsidR="0046548C" w:rsidRPr="00231180" w:rsidRDefault="00231180" w:rsidP="00C0704D">
            <w:pPr>
              <w:pStyle w:val="PLANNING"/>
              <w:rPr>
                <w:rFonts w:ascii="Calibri" w:hAnsi="Calibri"/>
                <w:b/>
                <w:bCs/>
                <w:szCs w:val="22"/>
              </w:rPr>
            </w:pPr>
            <w:r w:rsidRPr="00231180">
              <w:rPr>
                <w:rFonts w:ascii="Calibri" w:hAnsi="Calibri"/>
                <w:b/>
                <w:bCs/>
                <w:szCs w:val="22"/>
              </w:rPr>
              <w:t>2014/0083:</w:t>
            </w:r>
          </w:p>
          <w:p w14:paraId="0A0158E3" w14:textId="62977D4F" w:rsidR="00231180" w:rsidRPr="00231180" w:rsidRDefault="00231180" w:rsidP="00C0704D">
            <w:pPr>
              <w:pStyle w:val="PLANNING"/>
              <w:rPr>
                <w:rFonts w:ascii="Calibri" w:hAnsi="Calibri"/>
                <w:szCs w:val="22"/>
              </w:rPr>
            </w:pPr>
            <w:r w:rsidRPr="00231180">
              <w:rPr>
                <w:rFonts w:ascii="Calibri" w:hAnsi="Calibri"/>
                <w:szCs w:val="22"/>
              </w:rPr>
              <w:t>Change of use from dwelling (C3) to house in multiple occupation for visiting students (sui generis).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B12FFFC" w14:textId="44E1F02C" w:rsidR="00C0704D" w:rsidRDefault="000F372A"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an existing ‘</w:t>
            </w:r>
            <w:r w:rsidRPr="000F372A">
              <w:rPr>
                <w:rFonts w:ascii="Calibri" w:hAnsi="Calibri"/>
                <w:bCs/>
                <w:szCs w:val="22"/>
              </w:rPr>
              <w:t>house in multiple occupation for visiting students</w:t>
            </w:r>
            <w:r>
              <w:rPr>
                <w:rFonts w:ascii="Calibri" w:hAnsi="Calibri"/>
                <w:bCs/>
                <w:szCs w:val="22"/>
              </w:rPr>
              <w:t xml:space="preserve">’ located within the Forest of Bowland National landscape, with the building being located to the west of the </w:t>
            </w:r>
            <w:r w:rsidRPr="000F372A">
              <w:rPr>
                <w:rFonts w:ascii="Calibri" w:hAnsi="Calibri"/>
                <w:bCs/>
                <w:szCs w:val="22"/>
              </w:rPr>
              <w:t>(Grade II* Listed) Stonyhurst Historic Park and Garden</w:t>
            </w:r>
            <w:r>
              <w:rPr>
                <w:rFonts w:ascii="Calibri" w:hAnsi="Calibri"/>
                <w:bCs/>
                <w:szCs w:val="22"/>
              </w:rPr>
              <w:t xml:space="preserve"> and being located outside of any defined settlement limits.</w:t>
            </w:r>
          </w:p>
          <w:p w14:paraId="62370E9F" w14:textId="12CE32D8" w:rsidR="000F372A" w:rsidRPr="006C2BFA" w:rsidRDefault="000F372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75B52E9" w14:textId="5AD37D0B" w:rsidR="00463DFB" w:rsidRDefault="00463DFB" w:rsidP="004C31EC">
            <w:pPr>
              <w:jc w:val="both"/>
              <w:rPr>
                <w:rFonts w:ascii="Calibri" w:hAnsi="Calibri"/>
                <w:szCs w:val="22"/>
              </w:rPr>
            </w:pPr>
            <w:r w:rsidRPr="00463DFB">
              <w:rPr>
                <w:rFonts w:ascii="Calibri" w:hAnsi="Calibri"/>
                <w:szCs w:val="22"/>
              </w:rPr>
              <w:t xml:space="preserve">The application seeks consent for the change of use from a house in multiple occupation for visiting students (sui generis) to a residential dwelling.  </w:t>
            </w:r>
            <w:r w:rsidR="007A70A8">
              <w:rPr>
                <w:rFonts w:ascii="Calibri" w:hAnsi="Calibri"/>
                <w:szCs w:val="22"/>
              </w:rPr>
              <w:t xml:space="preserve">The submitted details do not propose any external alterations, with only internal reconfiguration of the building being proposed to facilitate the use of the building as a three-bedroomed </w:t>
            </w:r>
            <w:r w:rsidR="00B46EF2">
              <w:rPr>
                <w:rFonts w:ascii="Calibri" w:hAnsi="Calibri"/>
                <w:szCs w:val="22"/>
              </w:rPr>
              <w:t xml:space="preserve">residential </w:t>
            </w:r>
            <w:r w:rsidR="007A70A8">
              <w:rPr>
                <w:rFonts w:ascii="Calibri" w:hAnsi="Calibri"/>
                <w:szCs w:val="22"/>
              </w:rPr>
              <w:t>dwelling.</w:t>
            </w:r>
          </w:p>
          <w:p w14:paraId="1B20488F" w14:textId="2E40A982" w:rsidR="00B24446" w:rsidRPr="00D54E67" w:rsidRDefault="00B24446" w:rsidP="002F2580">
            <w:pPr>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76BA51E" w14:textId="4B1565E8" w:rsidR="00463DFB" w:rsidRDefault="00463DFB" w:rsidP="00463DFB">
            <w:pPr>
              <w:jc w:val="both"/>
              <w:rPr>
                <w:rFonts w:ascii="Calibri" w:hAnsi="Calibri"/>
                <w:szCs w:val="22"/>
              </w:rPr>
            </w:pPr>
            <w:r>
              <w:rPr>
                <w:rFonts w:ascii="Calibri" w:hAnsi="Calibri"/>
                <w:szCs w:val="22"/>
              </w:rPr>
              <w:t>The application seeks consent for the c</w:t>
            </w:r>
            <w:r w:rsidRPr="00B24446">
              <w:rPr>
                <w:rFonts w:ascii="Calibri" w:hAnsi="Calibri"/>
                <w:szCs w:val="22"/>
              </w:rPr>
              <w:t xml:space="preserve">hange of use from </w:t>
            </w:r>
            <w:r>
              <w:rPr>
                <w:rFonts w:ascii="Calibri" w:hAnsi="Calibri"/>
                <w:szCs w:val="22"/>
              </w:rPr>
              <w:t xml:space="preserve">a </w:t>
            </w:r>
            <w:r w:rsidRPr="00B24446">
              <w:rPr>
                <w:rFonts w:ascii="Calibri" w:hAnsi="Calibri"/>
                <w:szCs w:val="22"/>
              </w:rPr>
              <w:t xml:space="preserve">house in multiple occupation for visiting students (sui generis) to </w:t>
            </w:r>
            <w:r>
              <w:rPr>
                <w:rFonts w:ascii="Calibri" w:hAnsi="Calibri"/>
                <w:szCs w:val="22"/>
              </w:rPr>
              <w:t xml:space="preserve">a residential dwelling.  Given the proposal would result in the creation of a residential </w:t>
            </w:r>
            <w:r w:rsidR="00570E69">
              <w:rPr>
                <w:rFonts w:ascii="Calibri" w:hAnsi="Calibri"/>
                <w:szCs w:val="22"/>
              </w:rPr>
              <w:t>dwelling</w:t>
            </w:r>
            <w:r>
              <w:rPr>
                <w:rFonts w:ascii="Calibri" w:hAnsi="Calibri"/>
                <w:szCs w:val="22"/>
              </w:rPr>
              <w:t xml:space="preserve"> outside of defined settlement limits p</w:t>
            </w:r>
            <w:r w:rsidRPr="004C31EC">
              <w:rPr>
                <w:rFonts w:ascii="Calibri" w:hAnsi="Calibri"/>
                <w:szCs w:val="22"/>
              </w:rPr>
              <w:t xml:space="preserve">olicies DMH3 and DMG2 are fully engaged for the purposes of assessing the </w:t>
            </w:r>
            <w:r>
              <w:rPr>
                <w:rFonts w:ascii="Calibri" w:hAnsi="Calibri"/>
                <w:szCs w:val="22"/>
              </w:rPr>
              <w:t>compatibility of the principle of the development with the adopted development plan.</w:t>
            </w:r>
          </w:p>
          <w:p w14:paraId="47AA27A5" w14:textId="77777777" w:rsidR="00463DFB" w:rsidRDefault="00463DFB" w:rsidP="00463DFB">
            <w:pPr>
              <w:jc w:val="both"/>
              <w:rPr>
                <w:rFonts w:ascii="Calibri" w:hAnsi="Calibri"/>
                <w:szCs w:val="22"/>
              </w:rPr>
            </w:pPr>
          </w:p>
          <w:p w14:paraId="65BFC42C" w14:textId="77777777" w:rsidR="00463DFB" w:rsidRDefault="00463DFB" w:rsidP="00463DFB">
            <w:pPr>
              <w:jc w:val="both"/>
              <w:rPr>
                <w:rFonts w:ascii="Calibri" w:hAnsi="Calibri"/>
                <w:szCs w:val="22"/>
              </w:rPr>
            </w:pPr>
            <w:r w:rsidRPr="004C31EC">
              <w:rPr>
                <w:rFonts w:ascii="Calibri" w:hAnsi="Calibri"/>
                <w:szCs w:val="22"/>
              </w:rPr>
              <w:t xml:space="preserve">Policies DMH3 and DMG2 of the Ribble Valley Core Strategy seeks to restrict residential development within the open countryside and AONB to that which meets a number of explicit criterion, with Key Statement DS1 setting out the overall spatial aspirations for general </w:t>
            </w:r>
            <w:r>
              <w:rPr>
                <w:rFonts w:ascii="Calibri" w:hAnsi="Calibri"/>
                <w:szCs w:val="22"/>
              </w:rPr>
              <w:t xml:space="preserve">(including residential) </w:t>
            </w:r>
            <w:r w:rsidRPr="004C31EC">
              <w:rPr>
                <w:rFonts w:ascii="Calibri" w:hAnsi="Calibri"/>
                <w:szCs w:val="22"/>
              </w:rPr>
              <w:t xml:space="preserve">development within the Borough.  </w:t>
            </w:r>
          </w:p>
          <w:p w14:paraId="08D5C705" w14:textId="77777777" w:rsidR="00463DFB" w:rsidRDefault="00463DFB" w:rsidP="00463DFB">
            <w:pPr>
              <w:jc w:val="both"/>
              <w:rPr>
                <w:rFonts w:ascii="Calibri" w:hAnsi="Calibri"/>
                <w:szCs w:val="22"/>
              </w:rPr>
            </w:pPr>
          </w:p>
          <w:p w14:paraId="0C40C809" w14:textId="10851C4E" w:rsidR="00463DFB" w:rsidRPr="004C31EC" w:rsidRDefault="00463DFB" w:rsidP="00463DFB">
            <w:pPr>
              <w:jc w:val="both"/>
              <w:rPr>
                <w:rFonts w:ascii="Calibri" w:hAnsi="Calibri"/>
                <w:szCs w:val="22"/>
              </w:rPr>
            </w:pPr>
            <w:r w:rsidRPr="004C31EC">
              <w:rPr>
                <w:rFonts w:ascii="Calibri" w:hAnsi="Calibri"/>
                <w:szCs w:val="22"/>
              </w:rPr>
              <w:t>Given the proposal site is located outside of any defined settlement limits, being upon land that benefits from a</w:t>
            </w:r>
            <w:r w:rsidR="000F372A">
              <w:rPr>
                <w:rFonts w:ascii="Calibri" w:hAnsi="Calibri"/>
                <w:szCs w:val="22"/>
              </w:rPr>
              <w:t xml:space="preserve"> ‘National Landscape’ </w:t>
            </w:r>
            <w:r w:rsidRPr="000F372A">
              <w:rPr>
                <w:rFonts w:ascii="Calibri" w:hAnsi="Calibri"/>
                <w:szCs w:val="22"/>
              </w:rPr>
              <w:t>designation</w:t>
            </w:r>
            <w:r w:rsidRPr="004C31EC">
              <w:rPr>
                <w:rFonts w:ascii="Calibri" w:hAnsi="Calibri"/>
                <w:szCs w:val="22"/>
              </w:rPr>
              <w:t>, Policy DMG2 is primarily, but not solely, engaged for the purposes of assessment of the application in relation to the spatial aspirations for new housing growth within the borough.</w:t>
            </w:r>
          </w:p>
          <w:p w14:paraId="2C46C41B" w14:textId="77777777" w:rsidR="00463DFB" w:rsidRPr="004C31EC" w:rsidRDefault="00463DFB" w:rsidP="00463DFB">
            <w:pPr>
              <w:jc w:val="both"/>
              <w:rPr>
                <w:rFonts w:ascii="Calibri" w:hAnsi="Calibri"/>
                <w:szCs w:val="22"/>
              </w:rPr>
            </w:pPr>
          </w:p>
          <w:p w14:paraId="31DE1A8C" w14:textId="77777777" w:rsidR="00463DFB" w:rsidRPr="004C31EC" w:rsidRDefault="00463DFB" w:rsidP="00463DFB">
            <w:pPr>
              <w:jc w:val="both"/>
              <w:rPr>
                <w:rFonts w:ascii="Calibri" w:hAnsi="Calibri"/>
                <w:szCs w:val="22"/>
              </w:rPr>
            </w:pPr>
            <w:r w:rsidRPr="004C31EC">
              <w:rPr>
                <w:rFonts w:ascii="Calibri" w:hAnsi="Calibri"/>
                <w:szCs w:val="22"/>
              </w:rPr>
              <w:t xml:space="preserve">Policy DMG2 is two-fold in its approach to guiding development. The primary part of the policy DMG2(1) is engaged where development proposals are located ‘in’ principal and tier 1 settlements with the second part of the policy DMG2(2) being engaged in circumstances when proposed development is located ‘outside’ defined settlement areas or within tier 2 villages, with each part of the policy therefore being engaged in isolation and independent of the other dependant on the locational aspects of a proposal.  </w:t>
            </w:r>
          </w:p>
          <w:p w14:paraId="30AD456D" w14:textId="77777777" w:rsidR="00463DFB" w:rsidRDefault="00463DFB" w:rsidP="00463DFB">
            <w:pPr>
              <w:jc w:val="both"/>
              <w:rPr>
                <w:rFonts w:ascii="Calibri" w:hAnsi="Calibri"/>
                <w:szCs w:val="22"/>
              </w:rPr>
            </w:pPr>
          </w:p>
          <w:p w14:paraId="024D34E7" w14:textId="77777777" w:rsidR="00463DFB" w:rsidRPr="004C31EC" w:rsidRDefault="00463DFB" w:rsidP="00463DFB">
            <w:pPr>
              <w:jc w:val="both"/>
              <w:rPr>
                <w:rFonts w:ascii="Calibri" w:hAnsi="Calibri"/>
                <w:szCs w:val="22"/>
              </w:rPr>
            </w:pPr>
            <w:r w:rsidRPr="004C31EC">
              <w:rPr>
                <w:rFonts w:ascii="Calibri" w:hAnsi="Calibri"/>
                <w:szCs w:val="22"/>
              </w:rPr>
              <w:t xml:space="preserve">The mechanics and engagement of the policy are clear in this respect insofar that it contains explicit triggers as to when the former or latter criterion are applied and the triggers are purely locational and clearly based on a proposals relationship to defined settlement boundaries and whether, in this case, such a proposal is ‘in’ or ‘outside’ a defined settlement.  </w:t>
            </w:r>
          </w:p>
          <w:p w14:paraId="66F32E46" w14:textId="77777777" w:rsidR="00463DFB" w:rsidRPr="004C31EC" w:rsidRDefault="00463DFB" w:rsidP="00463DFB">
            <w:pPr>
              <w:jc w:val="both"/>
              <w:rPr>
                <w:rFonts w:ascii="Calibri" w:hAnsi="Calibri"/>
                <w:szCs w:val="22"/>
              </w:rPr>
            </w:pPr>
          </w:p>
          <w:p w14:paraId="1A4321A7" w14:textId="77777777" w:rsidR="00463DFB" w:rsidRPr="004C31EC" w:rsidRDefault="00463DFB" w:rsidP="00463DFB">
            <w:pPr>
              <w:jc w:val="both"/>
              <w:rPr>
                <w:rFonts w:ascii="Calibri" w:hAnsi="Calibri"/>
                <w:szCs w:val="22"/>
              </w:rPr>
            </w:pPr>
            <w:r>
              <w:rPr>
                <w:rFonts w:ascii="Calibri" w:hAnsi="Calibri"/>
                <w:szCs w:val="22"/>
              </w:rPr>
              <w:t xml:space="preserve">Given the </w:t>
            </w:r>
            <w:r w:rsidRPr="004C31EC">
              <w:rPr>
                <w:rFonts w:ascii="Calibri" w:hAnsi="Calibri"/>
                <w:szCs w:val="22"/>
              </w:rPr>
              <w:t xml:space="preserve">proposal is located outside of any defined settlement boundary, it is the secondary element of Policy DMG2 that is engaged (Policy DMG2(2)) which states that: </w:t>
            </w:r>
          </w:p>
          <w:p w14:paraId="1C6ED591" w14:textId="77777777" w:rsidR="00463DFB" w:rsidRPr="004C31EC" w:rsidRDefault="00463DFB" w:rsidP="00463DFB">
            <w:pPr>
              <w:jc w:val="both"/>
              <w:rPr>
                <w:rFonts w:ascii="Calibri" w:hAnsi="Calibri"/>
                <w:szCs w:val="22"/>
              </w:rPr>
            </w:pPr>
          </w:p>
          <w:p w14:paraId="6303E39B" w14:textId="77777777" w:rsidR="00463DFB" w:rsidRPr="004C31EC" w:rsidRDefault="00463DFB" w:rsidP="00463DFB">
            <w:pPr>
              <w:jc w:val="both"/>
              <w:rPr>
                <w:rFonts w:ascii="Calibri" w:hAnsi="Calibri"/>
                <w:i/>
                <w:iCs/>
                <w:szCs w:val="22"/>
              </w:rPr>
            </w:pPr>
            <w:r w:rsidRPr="004C31EC">
              <w:rPr>
                <w:rFonts w:ascii="Calibri" w:hAnsi="Calibri"/>
                <w:i/>
                <w:iCs/>
                <w:szCs w:val="22"/>
              </w:rPr>
              <w:t>Within the tier 2 villages and outside the defined settlement areas development must meet at least one of the following considerations:</w:t>
            </w:r>
          </w:p>
          <w:p w14:paraId="273F9989" w14:textId="77777777" w:rsidR="00463DFB" w:rsidRPr="004C31EC" w:rsidRDefault="00463DFB" w:rsidP="00463DFB">
            <w:pPr>
              <w:jc w:val="both"/>
              <w:rPr>
                <w:rFonts w:ascii="Calibri" w:hAnsi="Calibri"/>
                <w:i/>
                <w:iCs/>
                <w:szCs w:val="22"/>
              </w:rPr>
            </w:pPr>
          </w:p>
          <w:p w14:paraId="4DF1E9A5" w14:textId="77777777" w:rsidR="00463DFB" w:rsidRPr="004C31EC" w:rsidRDefault="00463DFB" w:rsidP="00463DFB">
            <w:pPr>
              <w:pStyle w:val="ListParagraph"/>
              <w:numPr>
                <w:ilvl w:val="0"/>
                <w:numId w:val="2"/>
              </w:numPr>
              <w:jc w:val="both"/>
              <w:rPr>
                <w:rFonts w:ascii="Calibri" w:hAnsi="Calibri"/>
                <w:i/>
                <w:iCs/>
                <w:szCs w:val="22"/>
              </w:rPr>
            </w:pPr>
            <w:r w:rsidRPr="004C31EC">
              <w:rPr>
                <w:rFonts w:ascii="Calibri" w:hAnsi="Calibri"/>
                <w:i/>
                <w:iCs/>
                <w:szCs w:val="22"/>
              </w:rPr>
              <w:t>The development should be essential to the local economy or social wellbeing of the area.</w:t>
            </w:r>
          </w:p>
          <w:p w14:paraId="549D46B7" w14:textId="77777777" w:rsidR="00463DFB" w:rsidRPr="004C31EC" w:rsidRDefault="00463DFB" w:rsidP="00463DFB">
            <w:pPr>
              <w:pStyle w:val="ListParagraph"/>
              <w:numPr>
                <w:ilvl w:val="0"/>
                <w:numId w:val="2"/>
              </w:numPr>
              <w:jc w:val="both"/>
              <w:rPr>
                <w:rFonts w:ascii="Calibri" w:hAnsi="Calibri"/>
                <w:i/>
                <w:iCs/>
                <w:szCs w:val="22"/>
              </w:rPr>
            </w:pPr>
            <w:r w:rsidRPr="004C31EC">
              <w:rPr>
                <w:rFonts w:ascii="Calibri" w:hAnsi="Calibri"/>
                <w:i/>
                <w:iCs/>
                <w:szCs w:val="22"/>
              </w:rPr>
              <w:t xml:space="preserve">The development is needed for the purposes of forestry or agriculture. </w:t>
            </w:r>
          </w:p>
          <w:p w14:paraId="30AECA46" w14:textId="77777777" w:rsidR="00463DFB" w:rsidRPr="004C31EC" w:rsidRDefault="00463DFB" w:rsidP="00463DFB">
            <w:pPr>
              <w:pStyle w:val="ListParagraph"/>
              <w:numPr>
                <w:ilvl w:val="0"/>
                <w:numId w:val="2"/>
              </w:numPr>
              <w:jc w:val="both"/>
              <w:rPr>
                <w:rFonts w:ascii="Calibri" w:hAnsi="Calibri"/>
                <w:i/>
                <w:iCs/>
                <w:szCs w:val="22"/>
              </w:rPr>
            </w:pPr>
            <w:r w:rsidRPr="004C31EC">
              <w:rPr>
                <w:rFonts w:ascii="Calibri" w:hAnsi="Calibri"/>
                <w:i/>
                <w:iCs/>
                <w:szCs w:val="22"/>
              </w:rPr>
              <w:t xml:space="preserve">The development is for local needs housing which meets an identified need and is secured as such.  </w:t>
            </w:r>
          </w:p>
          <w:p w14:paraId="3C92B992" w14:textId="77777777" w:rsidR="00463DFB" w:rsidRPr="004C31EC" w:rsidRDefault="00463DFB" w:rsidP="00463DFB">
            <w:pPr>
              <w:pStyle w:val="ListParagraph"/>
              <w:numPr>
                <w:ilvl w:val="0"/>
                <w:numId w:val="2"/>
              </w:numPr>
              <w:jc w:val="both"/>
              <w:rPr>
                <w:rFonts w:ascii="Calibri" w:hAnsi="Calibri"/>
                <w:i/>
                <w:iCs/>
                <w:szCs w:val="22"/>
              </w:rPr>
            </w:pPr>
            <w:r w:rsidRPr="004C31EC">
              <w:rPr>
                <w:rFonts w:ascii="Calibri" w:hAnsi="Calibri"/>
                <w:i/>
                <w:iCs/>
                <w:szCs w:val="22"/>
              </w:rPr>
              <w:lastRenderedPageBreak/>
              <w:t>The development is for small scale tourism or recreational developments appropriate to a rural area.</w:t>
            </w:r>
          </w:p>
          <w:p w14:paraId="63E5DD38" w14:textId="77777777" w:rsidR="00463DFB" w:rsidRPr="004C31EC" w:rsidRDefault="00463DFB" w:rsidP="00463DFB">
            <w:pPr>
              <w:pStyle w:val="ListParagraph"/>
              <w:numPr>
                <w:ilvl w:val="0"/>
                <w:numId w:val="2"/>
              </w:numPr>
              <w:jc w:val="both"/>
              <w:rPr>
                <w:rFonts w:ascii="Calibri" w:hAnsi="Calibri"/>
                <w:i/>
                <w:iCs/>
                <w:szCs w:val="22"/>
              </w:rPr>
            </w:pPr>
            <w:r w:rsidRPr="004C31EC">
              <w:rPr>
                <w:rFonts w:ascii="Calibri" w:hAnsi="Calibri"/>
                <w:i/>
                <w:iCs/>
                <w:szCs w:val="22"/>
              </w:rPr>
              <w:t>The development is for small‐scale uses appropriate to a rural area where a local need or benefit can be demonstrated.</w:t>
            </w:r>
          </w:p>
          <w:p w14:paraId="04649C9E" w14:textId="77777777" w:rsidR="00463DFB" w:rsidRPr="004C31EC" w:rsidRDefault="00463DFB" w:rsidP="00463DFB">
            <w:pPr>
              <w:jc w:val="both"/>
              <w:rPr>
                <w:rFonts w:ascii="Calibri" w:hAnsi="Calibri"/>
                <w:szCs w:val="22"/>
              </w:rPr>
            </w:pPr>
          </w:p>
          <w:p w14:paraId="22D902C3" w14:textId="77777777" w:rsidR="00463DFB" w:rsidRPr="004C31EC" w:rsidRDefault="00463DFB" w:rsidP="00463DFB">
            <w:pPr>
              <w:jc w:val="both"/>
              <w:rPr>
                <w:rFonts w:ascii="Calibri" w:hAnsi="Calibri"/>
                <w:szCs w:val="22"/>
              </w:rPr>
            </w:pPr>
            <w:r w:rsidRPr="004C31EC">
              <w:rPr>
                <w:rFonts w:ascii="Calibri" w:hAnsi="Calibri"/>
                <w:szCs w:val="22"/>
              </w:rPr>
              <w:t xml:space="preserve">Given the site is located outside of any defined settlement limits, DMH3 is also engaged in parallel with Policy DMG2.  In this respect Policy DMH3 states that: </w:t>
            </w:r>
          </w:p>
          <w:p w14:paraId="7A4BB081" w14:textId="77777777" w:rsidR="00463DFB" w:rsidRPr="004C31EC" w:rsidRDefault="00463DFB" w:rsidP="00463DFB">
            <w:pPr>
              <w:jc w:val="both"/>
              <w:rPr>
                <w:rFonts w:ascii="Calibri" w:hAnsi="Calibri"/>
                <w:szCs w:val="22"/>
              </w:rPr>
            </w:pPr>
          </w:p>
          <w:p w14:paraId="44BF3182" w14:textId="77777777" w:rsidR="00463DFB" w:rsidRPr="004C31EC" w:rsidRDefault="00463DFB" w:rsidP="00463DFB">
            <w:pPr>
              <w:jc w:val="both"/>
              <w:rPr>
                <w:rFonts w:ascii="Calibri" w:hAnsi="Calibri"/>
                <w:i/>
                <w:iCs/>
                <w:szCs w:val="22"/>
              </w:rPr>
            </w:pPr>
            <w:r w:rsidRPr="004C31EC">
              <w:rPr>
                <w:rFonts w:ascii="Calibri" w:hAnsi="Calibri"/>
                <w:i/>
                <w:iCs/>
                <w:szCs w:val="22"/>
              </w:rPr>
              <w:t>Within areas defined as open countryside or AONB on the proposals map, residential development will be limited to:</w:t>
            </w:r>
          </w:p>
          <w:p w14:paraId="75DB30C0" w14:textId="77777777" w:rsidR="00463DFB" w:rsidRPr="004C31EC" w:rsidRDefault="00463DFB" w:rsidP="00463DFB">
            <w:pPr>
              <w:jc w:val="both"/>
              <w:rPr>
                <w:rFonts w:ascii="Calibri" w:hAnsi="Calibri"/>
                <w:i/>
                <w:iCs/>
                <w:szCs w:val="22"/>
              </w:rPr>
            </w:pPr>
          </w:p>
          <w:p w14:paraId="74EA1E7F" w14:textId="77777777" w:rsidR="00463DFB" w:rsidRPr="004C31EC" w:rsidRDefault="00463DFB" w:rsidP="00463DFB">
            <w:pPr>
              <w:pStyle w:val="ListParagraph"/>
              <w:numPr>
                <w:ilvl w:val="0"/>
                <w:numId w:val="3"/>
              </w:numPr>
              <w:jc w:val="both"/>
              <w:rPr>
                <w:rFonts w:ascii="Calibri" w:hAnsi="Calibri"/>
                <w:i/>
                <w:iCs/>
                <w:szCs w:val="22"/>
              </w:rPr>
            </w:pPr>
            <w:r w:rsidRPr="004C31EC">
              <w:rPr>
                <w:rFonts w:ascii="Calibri" w:hAnsi="Calibri"/>
                <w:i/>
                <w:iCs/>
                <w:szCs w:val="22"/>
              </w:rPr>
              <w:t xml:space="preserve">Development essential for the purposes of agriculture or residential development which meets an identified local need. In assessing any proposal for an agricultural, forestry or other essential workers dwellings a functional and financial test will be applied.  </w:t>
            </w:r>
          </w:p>
          <w:p w14:paraId="54A0EBF1" w14:textId="77777777" w:rsidR="00463DFB" w:rsidRPr="004C31EC" w:rsidRDefault="00463DFB" w:rsidP="00463DFB">
            <w:pPr>
              <w:pStyle w:val="ListParagraph"/>
              <w:numPr>
                <w:ilvl w:val="0"/>
                <w:numId w:val="3"/>
              </w:numPr>
              <w:jc w:val="both"/>
              <w:rPr>
                <w:rFonts w:ascii="Calibri" w:hAnsi="Calibri"/>
                <w:i/>
                <w:iCs/>
                <w:szCs w:val="22"/>
              </w:rPr>
            </w:pPr>
            <w:r w:rsidRPr="004C31EC">
              <w:rPr>
                <w:rFonts w:ascii="Calibri" w:hAnsi="Calibri"/>
                <w:i/>
                <w:iCs/>
                <w:szCs w:val="22"/>
              </w:rPr>
              <w:t>The appropriate conversion of buildings to dwellings providing they are suitably located and their form and general design are in keeping with their surroundings. buildings must be structurally sound and capable of conversion without the need for complete or substantial reconstruction.</w:t>
            </w:r>
          </w:p>
          <w:p w14:paraId="3C88557E" w14:textId="77777777" w:rsidR="00463DFB" w:rsidRDefault="00463DFB" w:rsidP="00463DFB">
            <w:pPr>
              <w:pStyle w:val="ListParagraph"/>
              <w:numPr>
                <w:ilvl w:val="0"/>
                <w:numId w:val="3"/>
              </w:numPr>
              <w:jc w:val="both"/>
              <w:rPr>
                <w:rFonts w:ascii="Calibri" w:hAnsi="Calibri"/>
                <w:i/>
                <w:iCs/>
                <w:szCs w:val="22"/>
              </w:rPr>
            </w:pPr>
            <w:r w:rsidRPr="004C31EC">
              <w:rPr>
                <w:rFonts w:ascii="Calibri" w:hAnsi="Calibri"/>
                <w:i/>
                <w:iCs/>
                <w:szCs w:val="22"/>
              </w:rPr>
              <w:t>The rebuilding or replacement of existing dwellings [subject to a number of criteria].</w:t>
            </w:r>
          </w:p>
          <w:p w14:paraId="55448D8D" w14:textId="77777777" w:rsidR="00463DFB" w:rsidRDefault="00463DFB" w:rsidP="00463DFB">
            <w:pPr>
              <w:jc w:val="both"/>
              <w:rPr>
                <w:rFonts w:ascii="Calibri" w:hAnsi="Calibri"/>
                <w:i/>
                <w:iCs/>
                <w:szCs w:val="22"/>
              </w:rPr>
            </w:pPr>
          </w:p>
          <w:p w14:paraId="41F73EB4" w14:textId="77777777" w:rsidR="00463DFB" w:rsidRDefault="00463DFB" w:rsidP="00463DFB">
            <w:pPr>
              <w:jc w:val="both"/>
              <w:rPr>
                <w:rFonts w:ascii="Calibri" w:hAnsi="Calibri"/>
                <w:szCs w:val="22"/>
              </w:rPr>
            </w:pPr>
            <w:r>
              <w:rPr>
                <w:rFonts w:ascii="Calibri" w:hAnsi="Calibri"/>
                <w:szCs w:val="22"/>
              </w:rPr>
              <w:t xml:space="preserve">Taking account of the above, in normal circumstances the proposal would result in direct conflict with the requirements of policies DMG2 and DMH3 insofar that </w:t>
            </w:r>
            <w:r w:rsidRPr="007507F5">
              <w:rPr>
                <w:rFonts w:ascii="Calibri" w:hAnsi="Calibri"/>
                <w:szCs w:val="22"/>
              </w:rPr>
              <w:t>the proposal could not be argued as being ‘essential to the local economy or social wellbeing of the area’ nor could it be considered that the proposal ‘is needed for the purposes of forestry or agriculture’</w:t>
            </w:r>
            <w:r>
              <w:rPr>
                <w:rFonts w:ascii="Calibri" w:hAnsi="Calibri"/>
                <w:szCs w:val="22"/>
              </w:rPr>
              <w:t>, nor would the proposal represent ‘conversion’ as such Policy DMH4 (could not be engaged in support of the principle of the development.</w:t>
            </w:r>
          </w:p>
          <w:p w14:paraId="452D491F" w14:textId="77777777" w:rsidR="00463DFB" w:rsidRDefault="00463DFB" w:rsidP="00463DFB">
            <w:pPr>
              <w:jc w:val="both"/>
              <w:rPr>
                <w:rFonts w:ascii="Calibri" w:hAnsi="Calibri"/>
                <w:szCs w:val="22"/>
              </w:rPr>
            </w:pPr>
          </w:p>
          <w:p w14:paraId="755AF9E8" w14:textId="77777777" w:rsidR="00463DFB" w:rsidRDefault="00463DFB" w:rsidP="00463DFB">
            <w:pPr>
              <w:jc w:val="both"/>
              <w:rPr>
                <w:rFonts w:ascii="Calibri" w:hAnsi="Calibri"/>
                <w:szCs w:val="22"/>
              </w:rPr>
            </w:pPr>
            <w:r>
              <w:rPr>
                <w:rFonts w:ascii="Calibri" w:hAnsi="Calibri"/>
                <w:szCs w:val="22"/>
              </w:rPr>
              <w:t xml:space="preserve">However, considerations must be given in respect of the historic use of the building.  In this respect the building was utilised as a C3 residential dwelling prior to consent being granted for conversion </w:t>
            </w:r>
            <w:r w:rsidRPr="00463DFB">
              <w:rPr>
                <w:rFonts w:ascii="Calibri" w:hAnsi="Calibri"/>
                <w:szCs w:val="22"/>
              </w:rPr>
              <w:t xml:space="preserve">to </w:t>
            </w:r>
            <w:r>
              <w:rPr>
                <w:rFonts w:ascii="Calibri" w:hAnsi="Calibri"/>
                <w:szCs w:val="22"/>
              </w:rPr>
              <w:t xml:space="preserve">a </w:t>
            </w:r>
            <w:r w:rsidRPr="00463DFB">
              <w:rPr>
                <w:rFonts w:ascii="Calibri" w:hAnsi="Calibri"/>
                <w:szCs w:val="22"/>
              </w:rPr>
              <w:t>house in multiple occupation for visiting students (sui generis)</w:t>
            </w:r>
            <w:r>
              <w:rPr>
                <w:rFonts w:ascii="Calibri" w:hAnsi="Calibri"/>
                <w:szCs w:val="22"/>
              </w:rPr>
              <w:t xml:space="preserve"> pursuant to planning permission </w:t>
            </w:r>
            <w:r w:rsidRPr="00463DFB">
              <w:rPr>
                <w:rFonts w:ascii="Calibri" w:hAnsi="Calibri"/>
                <w:szCs w:val="22"/>
              </w:rPr>
              <w:t>2014/0083</w:t>
            </w:r>
            <w:r>
              <w:rPr>
                <w:rFonts w:ascii="Calibri" w:hAnsi="Calibri"/>
                <w:szCs w:val="22"/>
              </w:rPr>
              <w:t>.</w:t>
            </w:r>
          </w:p>
          <w:p w14:paraId="169D732A" w14:textId="77777777" w:rsidR="00562945" w:rsidRDefault="00562945" w:rsidP="00463DFB">
            <w:pPr>
              <w:jc w:val="both"/>
              <w:rPr>
                <w:rFonts w:ascii="Calibri" w:hAnsi="Calibri"/>
                <w:szCs w:val="22"/>
              </w:rPr>
            </w:pPr>
          </w:p>
          <w:p w14:paraId="1193F497" w14:textId="5AB6EF89" w:rsidR="00562945" w:rsidRDefault="00562945" w:rsidP="00463DFB">
            <w:pPr>
              <w:jc w:val="both"/>
              <w:rPr>
                <w:rFonts w:ascii="Calibri" w:hAnsi="Calibri"/>
                <w:szCs w:val="22"/>
              </w:rPr>
            </w:pPr>
            <w:r w:rsidRPr="00562945">
              <w:rPr>
                <w:rFonts w:ascii="Calibri" w:hAnsi="Calibri"/>
                <w:szCs w:val="22"/>
              </w:rPr>
              <w:t>In light of the above, the authority considered that Policies DMG2 and DMH3 should not be engaged in this instance, in that the proposal represents a return to the original use of the building to that of C3 residential use following the intervening use of the building as a house in multiple occupation (Sui Generis).</w:t>
            </w:r>
          </w:p>
          <w:p w14:paraId="27B643DB" w14:textId="77777777" w:rsidR="00570E69" w:rsidRDefault="00570E69" w:rsidP="00463DFB">
            <w:pPr>
              <w:jc w:val="both"/>
              <w:rPr>
                <w:rFonts w:ascii="Calibri" w:hAnsi="Calibri"/>
                <w:szCs w:val="22"/>
              </w:rPr>
            </w:pPr>
          </w:p>
          <w:p w14:paraId="7C4DB8BB" w14:textId="10AB2513" w:rsidR="00570E69" w:rsidRPr="00562945" w:rsidRDefault="00570E69" w:rsidP="00463DFB">
            <w:pPr>
              <w:jc w:val="both"/>
              <w:rPr>
                <w:rFonts w:ascii="Calibri" w:hAnsi="Calibri"/>
                <w:szCs w:val="22"/>
              </w:rPr>
            </w:pPr>
            <w:r>
              <w:rPr>
                <w:rFonts w:ascii="Calibri" w:hAnsi="Calibri"/>
                <w:szCs w:val="22"/>
              </w:rPr>
              <w:t>With regards to policy DMG3 and paragraph 84 of the NPPF which seeks to prevent new homes in an isolated location, it is not considered that the proposed use will result in an increase in coming and goings of traffic or an increase in reliance on private motor vehicle compared to the current use. As such, although in an unsustainable location, there is no material change from the current situation.</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42E070C"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Listed Building(s) and Setting</w:t>
            </w:r>
            <w:r w:rsidR="0046548C">
              <w:rPr>
                <w:rFonts w:ascii="Calibri" w:hAnsi="Calibri"/>
                <w:b/>
                <w:szCs w:val="22"/>
              </w:rPr>
              <w:t xml:space="preserve"> (Where Applicable)</w:t>
            </w:r>
            <w:r>
              <w:rPr>
                <w:rFonts w:ascii="Calibri" w:hAnsi="Calibri"/>
                <w:b/>
                <w:szCs w:val="22"/>
              </w:rPr>
              <w:t>:</w:t>
            </w:r>
          </w:p>
          <w:p w14:paraId="6A2BDA66" w14:textId="77777777" w:rsidR="008542DE" w:rsidRDefault="008542DE" w:rsidP="0046548C">
            <w:pPr>
              <w:contextualSpacing/>
              <w:rPr>
                <w:rFonts w:ascii="Calibri" w:hAnsi="Calibri"/>
                <w:b/>
              </w:rPr>
            </w:pPr>
          </w:p>
          <w:p w14:paraId="4111C580" w14:textId="02A96087" w:rsidR="007A6024" w:rsidRDefault="007A6024" w:rsidP="00B43B7F">
            <w:pPr>
              <w:contextualSpacing/>
              <w:jc w:val="both"/>
              <w:rPr>
                <w:rFonts w:asciiTheme="minorHAnsi" w:hAnsiTheme="minorHAnsi" w:cstheme="minorHAnsi"/>
                <w:bCs/>
                <w:color w:val="000000"/>
                <w:szCs w:val="22"/>
                <w:shd w:val="clear" w:color="auto" w:fill="FFFFFF"/>
              </w:rPr>
            </w:pPr>
            <w:r w:rsidRPr="007A6024">
              <w:rPr>
                <w:rFonts w:asciiTheme="minorHAnsi" w:hAnsiTheme="minorHAnsi" w:cstheme="minorHAnsi"/>
                <w:bCs/>
                <w:szCs w:val="22"/>
              </w:rPr>
              <w:t xml:space="preserve">The building lies to the west of the (Grade II* Listed) Stonyhurst Historic Park and Garden (List Entry </w:t>
            </w:r>
            <w:r w:rsidRPr="007A6024">
              <w:rPr>
                <w:rFonts w:asciiTheme="minorHAnsi" w:hAnsiTheme="minorHAnsi" w:cstheme="minorHAnsi"/>
                <w:bCs/>
                <w:color w:val="000000"/>
                <w:szCs w:val="22"/>
                <w:shd w:val="clear" w:color="auto" w:fill="FFFFFF"/>
              </w:rPr>
              <w:t>1000953).</w:t>
            </w:r>
            <w:r w:rsidR="00B43B7F">
              <w:rPr>
                <w:rFonts w:asciiTheme="minorHAnsi" w:hAnsiTheme="minorHAnsi" w:cstheme="minorHAnsi"/>
                <w:bCs/>
                <w:color w:val="000000"/>
                <w:szCs w:val="22"/>
                <w:shd w:val="clear" w:color="auto" w:fill="FFFFFF"/>
              </w:rPr>
              <w:t xml:space="preserve">  However, given the proposal does not result </w:t>
            </w:r>
            <w:r w:rsidR="006B65DD">
              <w:rPr>
                <w:rFonts w:asciiTheme="minorHAnsi" w:hAnsiTheme="minorHAnsi" w:cstheme="minorHAnsi"/>
                <w:bCs/>
                <w:color w:val="000000"/>
                <w:szCs w:val="22"/>
                <w:shd w:val="clear" w:color="auto" w:fill="FFFFFF"/>
              </w:rPr>
              <w:t>in any physical operational development, it is not considered that the proposal will result in any adverse impacts upon the character of the adjacent Grade II* Designated Heritage Asset.</w:t>
            </w:r>
          </w:p>
          <w:p w14:paraId="493B9CA6" w14:textId="77777777" w:rsidR="006B65DD" w:rsidRDefault="006B65DD" w:rsidP="00B43B7F">
            <w:pPr>
              <w:contextualSpacing/>
              <w:jc w:val="both"/>
              <w:rPr>
                <w:rFonts w:asciiTheme="minorHAnsi" w:hAnsiTheme="minorHAnsi" w:cstheme="minorHAnsi"/>
                <w:bCs/>
                <w:szCs w:val="22"/>
              </w:rPr>
            </w:pPr>
          </w:p>
          <w:p w14:paraId="558E64C4" w14:textId="77777777" w:rsidR="0046548C" w:rsidRDefault="00231A64" w:rsidP="00231A64">
            <w:pPr>
              <w:contextualSpacing/>
              <w:jc w:val="both"/>
              <w:rPr>
                <w:rFonts w:asciiTheme="minorHAnsi" w:hAnsiTheme="minorHAnsi" w:cstheme="minorHAnsi"/>
                <w:bCs/>
                <w:szCs w:val="22"/>
              </w:rPr>
            </w:pPr>
            <w:r w:rsidRPr="00231A64">
              <w:rPr>
                <w:rFonts w:asciiTheme="minorHAnsi" w:hAnsiTheme="minorHAnsi" w:cstheme="minorHAnsi"/>
                <w:bCs/>
                <w:szCs w:val="22"/>
              </w:rPr>
              <w:t>As such, taking account of the above matters, it is not considered that the proposed development raises any significant direct conflict(s) with Key Statement EN5 or Policies DMG1 or DME4 of the Ribble valley Core Strategy, nor any significant measurable conflicts with the aims and objectives of the Planning (Listed Building and Conservation Areas) Act 1990 nor Paragraphs 131, 135, or 205 - 213 of the National Planning Policy Framework.</w:t>
            </w:r>
          </w:p>
          <w:p w14:paraId="632BE018" w14:textId="46A02E15" w:rsidR="00231A64" w:rsidRPr="00231A64" w:rsidRDefault="00231A64" w:rsidP="00231A64">
            <w:pPr>
              <w:contextualSpacing/>
              <w:jc w:val="both"/>
              <w:rPr>
                <w:rFonts w:asciiTheme="minorHAnsi" w:hAnsiTheme="minorHAnsi" w:cstheme="minorHAnsi"/>
                <w:bCs/>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9BE4770" w14:textId="493E2B6A" w:rsidR="00ED00B7" w:rsidRDefault="00671473" w:rsidP="00671473">
            <w:pPr>
              <w:contextualSpacing/>
              <w:jc w:val="both"/>
              <w:rPr>
                <w:rFonts w:ascii="Calibri" w:hAnsi="Calibri"/>
                <w:szCs w:val="22"/>
              </w:rPr>
            </w:pPr>
            <w:r>
              <w:rPr>
                <w:rFonts w:ascii="Calibri" w:hAnsi="Calibri"/>
                <w:szCs w:val="22"/>
              </w:rPr>
              <w:lastRenderedPageBreak/>
              <w:t xml:space="preserve">The building to which the application relates is located in a relatively remote location, surrounded by woodland, devoid of any direct relationship with any existing nearby residential receptors.  As such, the change of use from that of a </w:t>
            </w:r>
            <w:r w:rsidRPr="00671473">
              <w:rPr>
                <w:rFonts w:ascii="Calibri" w:hAnsi="Calibri"/>
                <w:szCs w:val="22"/>
              </w:rPr>
              <w:t>house in multiple occupation for visiting students to</w:t>
            </w:r>
            <w:r>
              <w:rPr>
                <w:rFonts w:ascii="Calibri" w:hAnsi="Calibri"/>
                <w:szCs w:val="22"/>
              </w:rPr>
              <w:t xml:space="preserve"> a residential</w:t>
            </w:r>
            <w:r w:rsidRPr="00671473">
              <w:rPr>
                <w:rFonts w:ascii="Calibri" w:hAnsi="Calibri"/>
                <w:szCs w:val="22"/>
              </w:rPr>
              <w:t xml:space="preserve"> dwelling </w:t>
            </w:r>
            <w:r>
              <w:rPr>
                <w:rFonts w:ascii="Calibri" w:hAnsi="Calibri"/>
                <w:szCs w:val="22"/>
              </w:rPr>
              <w:t>is unlikely to result in any measurable adverse impact(s) upon existing residential amenity.</w:t>
            </w:r>
          </w:p>
          <w:p w14:paraId="331B6CDC" w14:textId="77777777" w:rsidR="00671473" w:rsidRDefault="00671473" w:rsidP="00671473">
            <w:pPr>
              <w:contextualSpacing/>
              <w:jc w:val="both"/>
              <w:rPr>
                <w:rFonts w:ascii="Calibri" w:hAnsi="Calibri"/>
                <w:szCs w:val="22"/>
              </w:rPr>
            </w:pPr>
          </w:p>
          <w:p w14:paraId="644873E0" w14:textId="5839DCE2" w:rsidR="00671473" w:rsidRDefault="000E40F0" w:rsidP="00671473">
            <w:pPr>
              <w:contextualSpacing/>
              <w:jc w:val="both"/>
              <w:rPr>
                <w:rFonts w:ascii="Calibri" w:hAnsi="Calibri"/>
                <w:szCs w:val="22"/>
              </w:rPr>
            </w:pPr>
            <w:r w:rsidRPr="000E40F0">
              <w:rPr>
                <w:rFonts w:ascii="Calibri" w:hAnsi="Calibri"/>
                <w:szCs w:val="22"/>
              </w:rPr>
              <w:t>Taking account of the above, the proposal raises no significant measurable conflict with Policy DMG1 of the Ribble Valley Core Strategy which seeks to protect existing residential amenity and ensure adequate levels of residential amenity for future occupiers of proposed residential development(s)</w:t>
            </w:r>
            <w:r>
              <w:rPr>
                <w:rFonts w:ascii="Calibri" w:hAnsi="Calibri"/>
                <w:szCs w:val="22"/>
              </w:rPr>
              <w:t>.</w:t>
            </w:r>
          </w:p>
          <w:p w14:paraId="0DB485A3" w14:textId="29CEF55B" w:rsidR="00671473" w:rsidRPr="00C0704D" w:rsidRDefault="00671473" w:rsidP="00671473">
            <w:pPr>
              <w:contextualSpacing/>
              <w:jc w:val="both"/>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14A0B7D" w14:textId="479B6967" w:rsidR="00C0704D" w:rsidRPr="00943B16" w:rsidRDefault="00463DFB" w:rsidP="00943B16">
            <w:pPr>
              <w:contextualSpacing/>
              <w:jc w:val="both"/>
              <w:rPr>
                <w:rFonts w:ascii="Calibri" w:hAnsi="Calibri"/>
                <w:bCs/>
                <w:szCs w:val="22"/>
              </w:rPr>
            </w:pPr>
            <w:r w:rsidRPr="00943B16">
              <w:rPr>
                <w:rFonts w:ascii="Calibri" w:hAnsi="Calibri"/>
                <w:bCs/>
                <w:szCs w:val="22"/>
              </w:rPr>
              <w:t xml:space="preserve">Given the submitted details do not propose any external alterations to the property it is not considered that the proposal will result in any measurable adverse impact(s) upon the character or visual amenities of the immediate area, Forest of Bowland National Landscape nor the </w:t>
            </w:r>
            <w:r w:rsidR="00943B16" w:rsidRPr="00943B16">
              <w:rPr>
                <w:rFonts w:ascii="Calibri" w:hAnsi="Calibri"/>
                <w:bCs/>
                <w:szCs w:val="22"/>
              </w:rPr>
              <w:t xml:space="preserve">adjacent </w:t>
            </w:r>
            <w:r w:rsidR="00943B16">
              <w:rPr>
                <w:rFonts w:ascii="Calibri" w:hAnsi="Calibri"/>
                <w:bCs/>
                <w:szCs w:val="22"/>
              </w:rPr>
              <w:t>(</w:t>
            </w:r>
            <w:r w:rsidR="00943B16" w:rsidRPr="00943B16">
              <w:rPr>
                <w:rFonts w:ascii="Calibri" w:hAnsi="Calibri"/>
                <w:bCs/>
                <w:szCs w:val="22"/>
              </w:rPr>
              <w:t>Grade II</w:t>
            </w:r>
            <w:r w:rsidR="00943B16">
              <w:rPr>
                <w:rFonts w:ascii="Calibri" w:hAnsi="Calibri"/>
                <w:bCs/>
                <w:szCs w:val="22"/>
              </w:rPr>
              <w:t xml:space="preserve">* Listed) </w:t>
            </w:r>
            <w:r w:rsidR="00943B16" w:rsidRPr="00943B16">
              <w:rPr>
                <w:rFonts w:ascii="Calibri" w:hAnsi="Calibri"/>
                <w:bCs/>
                <w:szCs w:val="22"/>
              </w:rPr>
              <w:t>Stonyhurst Historic Park and Garden.</w:t>
            </w:r>
          </w:p>
          <w:p w14:paraId="10A3648A" w14:textId="77777777" w:rsidR="00463DFB" w:rsidRDefault="00463DFB" w:rsidP="005E1C6C">
            <w:pPr>
              <w:contextualSpacing/>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1FD3FD2" w14:textId="485FDFE8" w:rsidR="00943B16" w:rsidRPr="007B2515" w:rsidRDefault="00943B16" w:rsidP="00EA09F9">
            <w:pPr>
              <w:pStyle w:val="Header"/>
              <w:tabs>
                <w:tab w:val="clear" w:pos="4153"/>
                <w:tab w:val="clear" w:pos="8306"/>
              </w:tabs>
              <w:contextualSpacing/>
              <w:jc w:val="both"/>
              <w:rPr>
                <w:rFonts w:ascii="Calibri" w:hAnsi="Calibri"/>
                <w:bCs/>
                <w:szCs w:val="22"/>
              </w:rPr>
            </w:pPr>
            <w:r w:rsidRPr="007B2515">
              <w:rPr>
                <w:rFonts w:ascii="Calibri" w:hAnsi="Calibri"/>
                <w:bCs/>
                <w:szCs w:val="22"/>
              </w:rPr>
              <w:t xml:space="preserve">The proposal seeks change of use to re-establish the previous use as a residential dwelling from that of a house in multiple occupation for visiting students.  As such the proposed change of use is unlikely to result in any form of intensification over and above that of the current and previous use(s).  In this respect it is not considered that the proposal will result in any measurable impact(s) upon the immediate </w:t>
            </w:r>
            <w:r w:rsidR="007B2515" w:rsidRPr="007B2515">
              <w:rPr>
                <w:rFonts w:ascii="Calibri" w:hAnsi="Calibri"/>
                <w:bCs/>
                <w:szCs w:val="22"/>
              </w:rPr>
              <w:t>n</w:t>
            </w:r>
            <w:r w:rsidRPr="007B2515">
              <w:rPr>
                <w:rFonts w:ascii="Calibri" w:hAnsi="Calibri"/>
                <w:bCs/>
                <w:szCs w:val="22"/>
              </w:rPr>
              <w:t>or wider highways network.</w:t>
            </w:r>
          </w:p>
          <w:p w14:paraId="79EAD03B" w14:textId="77777777" w:rsidR="007B2515" w:rsidRPr="007B2515" w:rsidRDefault="007B2515" w:rsidP="00EA09F9">
            <w:pPr>
              <w:pStyle w:val="Header"/>
              <w:tabs>
                <w:tab w:val="clear" w:pos="4153"/>
                <w:tab w:val="clear" w:pos="8306"/>
              </w:tabs>
              <w:contextualSpacing/>
              <w:jc w:val="both"/>
              <w:rPr>
                <w:rFonts w:ascii="Calibri" w:hAnsi="Calibri"/>
                <w:bCs/>
                <w:szCs w:val="22"/>
              </w:rPr>
            </w:pPr>
          </w:p>
          <w:p w14:paraId="7250C7F6" w14:textId="2AFDAF69" w:rsidR="007B2515" w:rsidRPr="007B2515" w:rsidRDefault="007B2515" w:rsidP="00EA09F9">
            <w:pPr>
              <w:pStyle w:val="Header"/>
              <w:tabs>
                <w:tab w:val="clear" w:pos="4153"/>
                <w:tab w:val="clear" w:pos="8306"/>
              </w:tabs>
              <w:contextualSpacing/>
              <w:jc w:val="both"/>
              <w:rPr>
                <w:rFonts w:ascii="Calibri" w:hAnsi="Calibri"/>
                <w:bCs/>
                <w:szCs w:val="22"/>
              </w:rPr>
            </w:pPr>
            <w:r w:rsidRPr="007B2515">
              <w:rPr>
                <w:rFonts w:ascii="Calibri" w:hAnsi="Calibri"/>
                <w:bCs/>
                <w:szCs w:val="22"/>
              </w:rPr>
              <w:t>As such the proposal raises no significant measurable conflict(s) with Key Statement DMI2 or Policy DMG3 which seek to ensure the continued safe operation of the highways network and to ensure adequate pedestrian infrastructure is brought forward to accommodate development.</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9ADEE91" w14:textId="77777777" w:rsidR="00C0704D" w:rsidRPr="00777C99" w:rsidRDefault="00777C99" w:rsidP="00E46243">
            <w:pPr>
              <w:contextualSpacing/>
              <w:rPr>
                <w:rFonts w:ascii="Calibri" w:hAnsi="Calibri"/>
                <w:bCs/>
                <w:szCs w:val="22"/>
              </w:rPr>
            </w:pPr>
            <w:r w:rsidRPr="00777C99">
              <w:rPr>
                <w:rFonts w:ascii="Calibri" w:hAnsi="Calibri"/>
                <w:bCs/>
                <w:szCs w:val="22"/>
              </w:rPr>
              <w:t>No implications resultant from the proposal.</w:t>
            </w:r>
          </w:p>
          <w:p w14:paraId="6337C4D8" w14:textId="6D5709AF" w:rsidR="00777C99" w:rsidRDefault="00777C99"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562945" w:rsidRPr="00D2449B" w:rsidRDefault="00562945">
      <w:pPr>
        <w:rPr>
          <w:rFonts w:ascii="Calibri" w:hAnsi="Calibri"/>
          <w:szCs w:val="22"/>
        </w:rPr>
      </w:pPr>
    </w:p>
    <w:sectPr w:rsidR="0056294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1089D"/>
    <w:multiLevelType w:val="hybridMultilevel"/>
    <w:tmpl w:val="5476C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BC3064"/>
    <w:multiLevelType w:val="hybridMultilevel"/>
    <w:tmpl w:val="3C88C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682390111">
    <w:abstractNumId w:val="1"/>
  </w:num>
  <w:num w:numId="3" w16cid:durableId="208518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C3802"/>
    <w:rsid w:val="000E40F0"/>
    <w:rsid w:val="000F372A"/>
    <w:rsid w:val="00130035"/>
    <w:rsid w:val="00143551"/>
    <w:rsid w:val="001D4F7A"/>
    <w:rsid w:val="00231180"/>
    <w:rsid w:val="00231A64"/>
    <w:rsid w:val="00250879"/>
    <w:rsid w:val="00282E3A"/>
    <w:rsid w:val="0029334A"/>
    <w:rsid w:val="002954E5"/>
    <w:rsid w:val="002A01CF"/>
    <w:rsid w:val="002C6277"/>
    <w:rsid w:val="002F2580"/>
    <w:rsid w:val="00321B6E"/>
    <w:rsid w:val="00440CB6"/>
    <w:rsid w:val="00463DFB"/>
    <w:rsid w:val="0046548C"/>
    <w:rsid w:val="004947BB"/>
    <w:rsid w:val="00497407"/>
    <w:rsid w:val="004A5EA9"/>
    <w:rsid w:val="004C17BB"/>
    <w:rsid w:val="004C2434"/>
    <w:rsid w:val="004C31EC"/>
    <w:rsid w:val="004F0649"/>
    <w:rsid w:val="00510FA2"/>
    <w:rsid w:val="00556ECD"/>
    <w:rsid w:val="00562945"/>
    <w:rsid w:val="00570E69"/>
    <w:rsid w:val="005E1C6C"/>
    <w:rsid w:val="005E65DF"/>
    <w:rsid w:val="00671473"/>
    <w:rsid w:val="00692B60"/>
    <w:rsid w:val="006A71AD"/>
    <w:rsid w:val="006B65DD"/>
    <w:rsid w:val="006C2BFA"/>
    <w:rsid w:val="006F6849"/>
    <w:rsid w:val="0070054B"/>
    <w:rsid w:val="007507F5"/>
    <w:rsid w:val="00761D2C"/>
    <w:rsid w:val="00773A66"/>
    <w:rsid w:val="00776AE2"/>
    <w:rsid w:val="00777C99"/>
    <w:rsid w:val="007A6024"/>
    <w:rsid w:val="007A70A8"/>
    <w:rsid w:val="007B2515"/>
    <w:rsid w:val="007C791C"/>
    <w:rsid w:val="007D7DF4"/>
    <w:rsid w:val="007E0D23"/>
    <w:rsid w:val="007F16D6"/>
    <w:rsid w:val="00811771"/>
    <w:rsid w:val="00824DB6"/>
    <w:rsid w:val="00837F4F"/>
    <w:rsid w:val="0085007E"/>
    <w:rsid w:val="008542DE"/>
    <w:rsid w:val="008A28C8"/>
    <w:rsid w:val="00943B16"/>
    <w:rsid w:val="009F4443"/>
    <w:rsid w:val="00A42E82"/>
    <w:rsid w:val="00A579BB"/>
    <w:rsid w:val="00A63D55"/>
    <w:rsid w:val="00A95D89"/>
    <w:rsid w:val="00B24446"/>
    <w:rsid w:val="00B43B7F"/>
    <w:rsid w:val="00B46EF2"/>
    <w:rsid w:val="00B93EB5"/>
    <w:rsid w:val="00BD3F03"/>
    <w:rsid w:val="00C0704D"/>
    <w:rsid w:val="00C25722"/>
    <w:rsid w:val="00C618DB"/>
    <w:rsid w:val="00D11007"/>
    <w:rsid w:val="00D17EB1"/>
    <w:rsid w:val="00D2449B"/>
    <w:rsid w:val="00D54E67"/>
    <w:rsid w:val="00DA3A87"/>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Strong">
    <w:name w:val="Strong"/>
    <w:basedOn w:val="DefaultParagraphFont"/>
    <w:uiPriority w:val="22"/>
    <w:qFormat/>
    <w:rsid w:val="000C3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2024-02-15T14:12:00Z</cp:lastPrinted>
  <dcterms:created xsi:type="dcterms:W3CDTF">2024-02-15T14:13:00Z</dcterms:created>
  <dcterms:modified xsi:type="dcterms:W3CDTF">2024-02-15T14:13:00Z</dcterms:modified>
</cp:coreProperties>
</file>