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696"/>
        <w:gridCol w:w="602"/>
        <w:gridCol w:w="699"/>
        <w:gridCol w:w="579"/>
        <w:gridCol w:w="1030"/>
        <w:gridCol w:w="1030"/>
        <w:gridCol w:w="1031"/>
      </w:tblGrid>
      <w:tr w:rsidR="004A5EA9" w:rsidRPr="00D2449B" w14:paraId="230E00AF" w14:textId="77777777" w:rsidTr="00FB73A7">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FB73A7">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7071AA0F" w:rsidR="00837F4F" w:rsidRPr="00D2449B" w:rsidRDefault="004E4D6E" w:rsidP="00D2449B">
            <w:pPr>
              <w:jc w:val="center"/>
              <w:rPr>
                <w:rFonts w:ascii="Calibri" w:hAnsi="Calibri"/>
                <w:b/>
                <w:szCs w:val="22"/>
              </w:rPr>
            </w:pPr>
            <w:r>
              <w:rPr>
                <w:rFonts w:ascii="Calibri" w:hAnsi="Calibri"/>
                <w:b/>
                <w:szCs w:val="22"/>
              </w:rPr>
              <w:t>EP</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59E42747" w:rsidR="00837F4F" w:rsidRPr="00D2449B" w:rsidRDefault="004E4D6E" w:rsidP="00D2449B">
            <w:pPr>
              <w:jc w:val="center"/>
              <w:rPr>
                <w:rFonts w:ascii="Calibri" w:hAnsi="Calibri"/>
                <w:b/>
                <w:szCs w:val="22"/>
              </w:rPr>
            </w:pPr>
            <w:r>
              <w:rPr>
                <w:rFonts w:ascii="Calibri" w:hAnsi="Calibri"/>
                <w:b/>
                <w:szCs w:val="22"/>
              </w:rPr>
              <w:t>15/02/2024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0B62B881" w:rsidR="00837F4F" w:rsidRPr="00D2449B" w:rsidRDefault="00576649"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2CAC1E95" w:rsidR="00837F4F" w:rsidRPr="00D2449B" w:rsidRDefault="00576649" w:rsidP="00D2449B">
            <w:pPr>
              <w:jc w:val="center"/>
              <w:rPr>
                <w:rFonts w:ascii="Calibri" w:hAnsi="Calibri"/>
                <w:b/>
                <w:szCs w:val="22"/>
              </w:rPr>
            </w:pPr>
            <w:r>
              <w:rPr>
                <w:rFonts w:ascii="Calibri" w:hAnsi="Calibri"/>
                <w:b/>
                <w:szCs w:val="22"/>
              </w:rPr>
              <w:t>15.2.24</w:t>
            </w:r>
          </w:p>
        </w:tc>
      </w:tr>
      <w:tr w:rsidR="004A5EA9" w:rsidRPr="00D2449B" w14:paraId="2094A164" w14:textId="77777777" w:rsidTr="00FB73A7">
        <w:trPr>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FB73A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3C481DB8"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FB73A7">
              <w:rPr>
                <w:rFonts w:ascii="Calibri" w:hAnsi="Calibri"/>
                <w:szCs w:val="22"/>
              </w:rPr>
              <w:t>23/1006</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FB73A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51169A33" w:rsidR="00824DB6" w:rsidRPr="00C0704D" w:rsidRDefault="00FB73A7" w:rsidP="002C6277">
            <w:pPr>
              <w:rPr>
                <w:rFonts w:ascii="Calibri" w:hAnsi="Calibri"/>
                <w:szCs w:val="22"/>
              </w:rPr>
            </w:pPr>
            <w:r>
              <w:rPr>
                <w:rFonts w:ascii="Calibri" w:hAnsi="Calibri"/>
                <w:szCs w:val="22"/>
              </w:rPr>
              <w:t>24/01/2024</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2F94727A" w:rsidR="00824DB6" w:rsidRPr="00C0704D" w:rsidRDefault="00FB73A7"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FB73A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1326E064" w:rsidR="004A5EA9" w:rsidRPr="00250879" w:rsidRDefault="00FB73A7" w:rsidP="00811771">
            <w:pPr>
              <w:rPr>
                <w:rFonts w:ascii="Calibri" w:hAnsi="Calibri"/>
                <w:color w:val="548DD4" w:themeColor="text2" w:themeTint="99"/>
                <w:szCs w:val="22"/>
              </w:rPr>
            </w:pPr>
            <w:r w:rsidRPr="00576649">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FB73A7">
        <w:trPr>
          <w:jc w:val="center"/>
        </w:trPr>
        <w:tc>
          <w:tcPr>
            <w:tcW w:w="6017"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FB73A7">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FB73A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5B4B8E69" w:rsidR="004A5EA9" w:rsidRPr="002C6277" w:rsidRDefault="00FB73A7">
            <w:pPr>
              <w:rPr>
                <w:rFonts w:ascii="Calibri" w:hAnsi="Calibri"/>
                <w:szCs w:val="22"/>
              </w:rPr>
            </w:pPr>
            <w:r>
              <w:rPr>
                <w:rFonts w:ascii="Calibri" w:hAnsi="Calibri"/>
                <w:szCs w:val="22"/>
              </w:rPr>
              <w:t xml:space="preserve">Proposed single-storey extension to existing outbuilding. </w:t>
            </w:r>
          </w:p>
        </w:tc>
      </w:tr>
      <w:tr w:rsidR="002A01CF" w:rsidRPr="00D2449B" w14:paraId="52988241" w14:textId="77777777" w:rsidTr="00FB73A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13F7B808" w:rsidR="002A01CF" w:rsidRPr="002C6277" w:rsidRDefault="00FB73A7" w:rsidP="00A42E82">
            <w:pPr>
              <w:rPr>
                <w:rFonts w:ascii="Calibri" w:hAnsi="Calibri"/>
                <w:szCs w:val="22"/>
              </w:rPr>
            </w:pPr>
            <w:r>
              <w:rPr>
                <w:rFonts w:ascii="Calibri" w:hAnsi="Calibri"/>
                <w:szCs w:val="22"/>
              </w:rPr>
              <w:t xml:space="preserve">Roslyn, Whalley Road Simonstone BB12 7HT. </w:t>
            </w:r>
          </w:p>
        </w:tc>
      </w:tr>
      <w:tr w:rsidR="00A95D89" w:rsidRPr="00D2449B" w14:paraId="3FB99B2E" w14:textId="77777777" w:rsidTr="00FB73A7">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FB73A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FB73A7">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049592D7" w:rsidR="002A01CF" w:rsidRPr="00C30E83" w:rsidRDefault="00C30E83">
            <w:pPr>
              <w:rPr>
                <w:rFonts w:ascii="Calibri" w:hAnsi="Calibri"/>
                <w:bCs/>
                <w:szCs w:val="22"/>
              </w:rPr>
            </w:pPr>
            <w:r w:rsidRPr="00C30E83">
              <w:rPr>
                <w:rFonts w:ascii="Calibri" w:hAnsi="Calibri"/>
                <w:bCs/>
                <w:szCs w:val="22"/>
              </w:rPr>
              <w:t xml:space="preserve">No comments received. </w:t>
            </w:r>
          </w:p>
        </w:tc>
      </w:tr>
      <w:tr w:rsidR="00C618DB" w:rsidRPr="00D2449B" w14:paraId="639E958B" w14:textId="77777777" w:rsidTr="00FB73A7">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FB73A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FB73A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9481ED3" w:rsidR="002A01CF" w:rsidRPr="00D2449B" w:rsidRDefault="00C30E83">
            <w:pPr>
              <w:rPr>
                <w:rFonts w:ascii="Calibri" w:hAnsi="Calibri"/>
                <w:b/>
                <w:szCs w:val="22"/>
              </w:rPr>
            </w:pPr>
            <w:r>
              <w:rPr>
                <w:rFonts w:ascii="Calibri" w:hAnsi="Calibri"/>
                <w:b/>
                <w:szCs w:val="22"/>
              </w:rPr>
              <w:t>N/A</w:t>
            </w:r>
          </w:p>
        </w:tc>
      </w:tr>
      <w:tr w:rsidR="00C0704D" w:rsidRPr="00D2449B" w14:paraId="62663AAF" w14:textId="77777777" w:rsidTr="00FB73A7">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FB73A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FB73A7">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24CB2CFE" w:rsidR="00C0704D" w:rsidRPr="00C0704D" w:rsidRDefault="00C30E83"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FB73A7">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FB73A7">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FB73A7">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44ECF738" w:rsidR="008542DE" w:rsidRPr="00C618DB" w:rsidRDefault="008542DE" w:rsidP="008542DE">
            <w:pPr>
              <w:pStyle w:val="PLANNING"/>
              <w:rPr>
                <w:rFonts w:ascii="Calibri" w:hAnsi="Calibri"/>
                <w:szCs w:val="22"/>
              </w:rPr>
            </w:pPr>
            <w:r w:rsidRPr="00C618DB">
              <w:rPr>
                <w:rFonts w:ascii="Calibri" w:hAnsi="Calibri"/>
                <w:szCs w:val="22"/>
              </w:rPr>
              <w:t>Key Statement DS1</w:t>
            </w:r>
            <w:r w:rsidR="00F056A7">
              <w:rPr>
                <w:rFonts w:ascii="Calibri" w:hAnsi="Calibri"/>
                <w:szCs w:val="22"/>
              </w:rPr>
              <w:t>:</w:t>
            </w:r>
            <w:r w:rsidR="00F056A7">
              <w:rPr>
                <w:rFonts w:ascii="Calibri" w:hAnsi="Calibri"/>
                <w:szCs w:val="22"/>
              </w:rPr>
              <w:tab/>
            </w:r>
            <w:r w:rsidRPr="00C618DB">
              <w:rPr>
                <w:rFonts w:ascii="Calibri" w:hAnsi="Calibri"/>
                <w:szCs w:val="22"/>
              </w:rPr>
              <w:t>Development Strategy</w:t>
            </w:r>
          </w:p>
          <w:p w14:paraId="63DD9EED" w14:textId="51D4E806" w:rsidR="008542DE" w:rsidRDefault="008542DE" w:rsidP="008542DE">
            <w:pPr>
              <w:pStyle w:val="PLANNING"/>
              <w:rPr>
                <w:rFonts w:ascii="Calibri" w:hAnsi="Calibri"/>
                <w:szCs w:val="22"/>
              </w:rPr>
            </w:pPr>
            <w:r w:rsidRPr="00C618DB">
              <w:rPr>
                <w:rFonts w:ascii="Calibri" w:hAnsi="Calibri"/>
                <w:szCs w:val="22"/>
              </w:rPr>
              <w:t>Key Statement DS2</w:t>
            </w:r>
            <w:r w:rsidR="00F056A7">
              <w:rPr>
                <w:rFonts w:ascii="Calibri" w:hAnsi="Calibri"/>
                <w:szCs w:val="22"/>
              </w:rPr>
              <w:t xml:space="preserve">: </w:t>
            </w:r>
            <w:r w:rsidR="00F056A7">
              <w:rPr>
                <w:rFonts w:ascii="Calibri" w:hAnsi="Calibri"/>
                <w:szCs w:val="22"/>
              </w:rPr>
              <w:tab/>
            </w:r>
            <w:r w:rsidRPr="00C618DB">
              <w:rPr>
                <w:rFonts w:ascii="Calibri" w:hAnsi="Calibri"/>
                <w:szCs w:val="22"/>
              </w:rPr>
              <w:t>Sustainable Development</w:t>
            </w:r>
          </w:p>
          <w:p w14:paraId="4CF76C47" w14:textId="77777777" w:rsidR="0046548C" w:rsidRPr="00C618DB" w:rsidRDefault="0046548C" w:rsidP="008542DE">
            <w:pPr>
              <w:pStyle w:val="PLANNING"/>
              <w:rPr>
                <w:rFonts w:ascii="Calibri" w:hAnsi="Calibri"/>
                <w:szCs w:val="22"/>
              </w:rPr>
            </w:pPr>
          </w:p>
          <w:p w14:paraId="1636F1D2" w14:textId="7E41133F" w:rsidR="008542DE" w:rsidRPr="00C618DB" w:rsidRDefault="008542DE" w:rsidP="008542DE">
            <w:pPr>
              <w:pStyle w:val="PLANNING"/>
              <w:rPr>
                <w:rFonts w:ascii="Calibri" w:hAnsi="Calibri"/>
                <w:szCs w:val="22"/>
              </w:rPr>
            </w:pPr>
            <w:r w:rsidRPr="00C618DB">
              <w:rPr>
                <w:rFonts w:ascii="Calibri" w:hAnsi="Calibri"/>
                <w:szCs w:val="22"/>
              </w:rPr>
              <w:t>Policy DMG1</w:t>
            </w:r>
            <w:r w:rsidR="00F056A7">
              <w:rPr>
                <w:rFonts w:ascii="Calibri" w:hAnsi="Calibri"/>
                <w:szCs w:val="22"/>
              </w:rPr>
              <w:t>:</w:t>
            </w:r>
            <w:r w:rsidR="00F056A7">
              <w:rPr>
                <w:rFonts w:ascii="Calibri" w:hAnsi="Calibri"/>
                <w:szCs w:val="22"/>
              </w:rPr>
              <w:tab/>
            </w:r>
            <w:r w:rsidRPr="00C618DB">
              <w:rPr>
                <w:rFonts w:ascii="Calibri" w:hAnsi="Calibri"/>
                <w:szCs w:val="22"/>
              </w:rPr>
              <w:t>General Considerations</w:t>
            </w:r>
          </w:p>
          <w:p w14:paraId="54E7D563" w14:textId="33429D12" w:rsidR="008542DE" w:rsidRPr="00C618DB" w:rsidRDefault="008542DE" w:rsidP="008542DE">
            <w:pPr>
              <w:pStyle w:val="PLANNING"/>
              <w:rPr>
                <w:rFonts w:ascii="Calibri" w:hAnsi="Calibri"/>
                <w:szCs w:val="22"/>
              </w:rPr>
            </w:pPr>
            <w:r w:rsidRPr="00C618DB">
              <w:rPr>
                <w:rFonts w:ascii="Calibri" w:hAnsi="Calibri"/>
                <w:szCs w:val="22"/>
              </w:rPr>
              <w:t>Policy DMG2</w:t>
            </w:r>
            <w:r w:rsidR="00F056A7">
              <w:rPr>
                <w:rFonts w:ascii="Calibri" w:hAnsi="Calibri"/>
                <w:szCs w:val="22"/>
              </w:rPr>
              <w:t>:</w:t>
            </w:r>
            <w:r w:rsidR="00F056A7">
              <w:rPr>
                <w:rFonts w:ascii="Calibri" w:hAnsi="Calibri"/>
                <w:szCs w:val="22"/>
              </w:rPr>
              <w:tab/>
            </w:r>
            <w:r w:rsidRPr="00C618DB">
              <w:rPr>
                <w:rFonts w:ascii="Calibri" w:hAnsi="Calibri"/>
                <w:szCs w:val="22"/>
              </w:rPr>
              <w:t>Strategic Considerations</w:t>
            </w:r>
          </w:p>
          <w:p w14:paraId="20F9F1F6" w14:textId="42A373D0" w:rsidR="00F056A7" w:rsidRDefault="00F056A7" w:rsidP="00F056A7">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60A75D09" w14:textId="77777777" w:rsidR="00F056A7" w:rsidRPr="00C618DB" w:rsidRDefault="00F056A7" w:rsidP="00F056A7">
            <w:pPr>
              <w:pStyle w:val="PLANNING"/>
              <w:rPr>
                <w:rFonts w:ascii="Calibri" w:hAnsi="Calibri"/>
                <w:szCs w:val="22"/>
              </w:rPr>
            </w:pP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FB73A7">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0E12E4A3" w14:textId="363E8BDD" w:rsidR="0046548C" w:rsidRPr="00EF4945" w:rsidRDefault="00EF4945" w:rsidP="00C0704D">
            <w:pPr>
              <w:pStyle w:val="PLANNING"/>
              <w:rPr>
                <w:rFonts w:ascii="Calibri" w:hAnsi="Calibri"/>
                <w:szCs w:val="22"/>
              </w:rPr>
            </w:pPr>
            <w:r w:rsidRPr="00EF4945">
              <w:rPr>
                <w:rFonts w:ascii="Calibri" w:hAnsi="Calibri"/>
                <w:szCs w:val="22"/>
              </w:rPr>
              <w:t>No relevant planning history.</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FB73A7">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FB73A7">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FB73A7">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2FDEAC04" w14:textId="44D7E982" w:rsidR="00EF4945" w:rsidRDefault="00EF4945" w:rsidP="00EF4945">
            <w:pPr>
              <w:pStyle w:val="Header"/>
              <w:tabs>
                <w:tab w:val="left" w:pos="720"/>
              </w:tabs>
              <w:jc w:val="both"/>
              <w:rPr>
                <w:rFonts w:ascii="Calibri" w:hAnsi="Calibri"/>
                <w:bCs/>
                <w:szCs w:val="22"/>
              </w:rPr>
            </w:pPr>
            <w:r>
              <w:rPr>
                <w:rFonts w:ascii="Calibri" w:hAnsi="Calibri"/>
                <w:bCs/>
                <w:szCs w:val="22"/>
              </w:rPr>
              <w:t>The application relates to a detached property, situated to the northern side of Whalley Road, with the property benefiting from an existing detached outbuilding. The site to which the application relates is located within the defined settlement area of Simonstone and the surrounding area is predominantly residential in character, with an area of open countryside is located to the south of the site, to the opposing side of Whalley Road.</w:t>
            </w:r>
          </w:p>
          <w:p w14:paraId="62370E9F" w14:textId="77777777" w:rsidR="00C0704D" w:rsidRPr="006C2BFA" w:rsidRDefault="00C0704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FB73A7">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2FF46C2D" w14:textId="77777777" w:rsidR="00C0704D" w:rsidRDefault="00FB73A7" w:rsidP="002F2580">
            <w:pPr>
              <w:rPr>
                <w:rFonts w:ascii="Calibri" w:hAnsi="Calibri"/>
                <w:szCs w:val="22"/>
              </w:rPr>
            </w:pPr>
            <w:r>
              <w:rPr>
                <w:rFonts w:ascii="Calibri" w:hAnsi="Calibri"/>
                <w:szCs w:val="22"/>
              </w:rPr>
              <w:t xml:space="preserve">Consent is sought for the rection of a single storey extension to the existing detached outbuilding that is sited within the rear curtilage of the application dwelling. </w:t>
            </w:r>
            <w:r w:rsidR="00593B6A">
              <w:rPr>
                <w:rFonts w:ascii="Calibri" w:hAnsi="Calibri"/>
                <w:szCs w:val="22"/>
              </w:rPr>
              <w:t xml:space="preserve">The outbuilding was previously a garage which was converted for use as a home gym. </w:t>
            </w:r>
          </w:p>
          <w:p w14:paraId="1B20488F" w14:textId="7EDC063A" w:rsidR="00593B6A" w:rsidRPr="00D54E67" w:rsidRDefault="00593B6A" w:rsidP="002F2580">
            <w:pPr>
              <w:rPr>
                <w:rFonts w:ascii="Calibri" w:hAnsi="Calibri"/>
                <w:szCs w:val="22"/>
              </w:rPr>
            </w:pPr>
          </w:p>
        </w:tc>
      </w:tr>
      <w:tr w:rsidR="00C0704D" w:rsidRPr="00D2449B" w14:paraId="617768FF" w14:textId="77777777" w:rsidTr="00FB73A7">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5E27F040" w14:textId="77777777" w:rsidR="004E4D6E" w:rsidRDefault="004E4D6E" w:rsidP="004E4D6E">
            <w:pPr>
              <w:rPr>
                <w:rFonts w:asciiTheme="minorHAnsi" w:hAnsiTheme="minorHAnsi" w:cstheme="minorHAnsi"/>
              </w:rPr>
            </w:pPr>
            <w:r w:rsidRPr="006075FB">
              <w:rPr>
                <w:rFonts w:asciiTheme="minorHAnsi" w:hAnsiTheme="minorHAnsi" w:cstheme="minorHAnsi"/>
              </w:rPr>
              <w:t xml:space="preserve">Policy DMG1 of the Ribble Valley Vore Strategy states that development must </w:t>
            </w:r>
          </w:p>
          <w:p w14:paraId="3D38AFC7" w14:textId="77777777" w:rsidR="004E4D6E" w:rsidRPr="006075FB" w:rsidRDefault="004E4D6E" w:rsidP="004E4D6E">
            <w:pPr>
              <w:rPr>
                <w:rFonts w:asciiTheme="minorHAnsi" w:hAnsiTheme="minorHAnsi" w:cstheme="minorHAnsi"/>
              </w:rPr>
            </w:pPr>
          </w:p>
          <w:p w14:paraId="42BC27AE" w14:textId="77777777" w:rsidR="004E4D6E" w:rsidRPr="006075FB" w:rsidRDefault="004E4D6E" w:rsidP="004E4D6E">
            <w:pPr>
              <w:pStyle w:val="ListParagraph"/>
              <w:numPr>
                <w:ilvl w:val="0"/>
                <w:numId w:val="2"/>
              </w:numPr>
              <w:rPr>
                <w:rFonts w:asciiTheme="minorHAnsi" w:hAnsiTheme="minorHAnsi" w:cstheme="minorHAnsi"/>
                <w:i/>
                <w:iCs/>
              </w:rPr>
            </w:pPr>
            <w:r w:rsidRPr="006075FB">
              <w:rPr>
                <w:rFonts w:asciiTheme="minorHAnsi" w:hAnsiTheme="minorHAnsi" w:cstheme="minorHAnsi"/>
                <w:i/>
                <w:iCs/>
              </w:rPr>
              <w:t xml:space="preserve">be sympathetic to existing and proposed land uses in terms of its size, intensity and nature as well as scale, massing, style, features and building materials. </w:t>
            </w:r>
          </w:p>
          <w:p w14:paraId="474B1581" w14:textId="77777777" w:rsidR="004E4D6E" w:rsidRPr="006075FB" w:rsidRDefault="004E4D6E" w:rsidP="004E4D6E">
            <w:pPr>
              <w:pStyle w:val="ListParagraph"/>
              <w:numPr>
                <w:ilvl w:val="0"/>
                <w:numId w:val="2"/>
              </w:numPr>
              <w:rPr>
                <w:rFonts w:asciiTheme="minorHAnsi" w:hAnsiTheme="minorHAnsi" w:cstheme="minorHAnsi"/>
                <w:i/>
                <w:iCs/>
              </w:rPr>
            </w:pPr>
            <w:r w:rsidRPr="006075FB">
              <w:rPr>
                <w:rFonts w:asciiTheme="minorHAnsi" w:hAnsiTheme="minorHAnsi" w:cstheme="minorHAnsi"/>
                <w:i/>
                <w:iCs/>
              </w:rPr>
              <w:t>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w:t>
            </w:r>
          </w:p>
          <w:p w14:paraId="51FC4621" w14:textId="77777777" w:rsidR="004E4D6E" w:rsidRDefault="004E4D6E" w:rsidP="00C0704D">
            <w:pPr>
              <w:contextualSpacing/>
              <w:rPr>
                <w:rFonts w:ascii="Calibri" w:hAnsi="Calibri"/>
                <w:szCs w:val="22"/>
              </w:rPr>
            </w:pPr>
          </w:p>
          <w:p w14:paraId="2565979D" w14:textId="7AF2DC59" w:rsidR="00B308F8" w:rsidRDefault="00C30E83" w:rsidP="00C0704D">
            <w:pPr>
              <w:contextualSpacing/>
              <w:rPr>
                <w:rFonts w:ascii="Calibri" w:hAnsi="Calibri"/>
                <w:szCs w:val="22"/>
              </w:rPr>
            </w:pPr>
            <w:r>
              <w:rPr>
                <w:rFonts w:ascii="Calibri" w:hAnsi="Calibri"/>
                <w:szCs w:val="22"/>
              </w:rPr>
              <w:t xml:space="preserve">The application dwelling has three adjoining neighbours, one to either side as well as one to the rear. The neighbouring property to the rear, known as No.4 Lawrence Avenue, benefits form the slight elevated position as consequently the proposed extension to the outbuilding will not inflict any sense of overbearing or loss of light. The neighbour to the Southeast of the application site, No.2 </w:t>
            </w:r>
            <w:r w:rsidR="00B308F8">
              <w:rPr>
                <w:rFonts w:ascii="Calibri" w:hAnsi="Calibri"/>
                <w:szCs w:val="22"/>
              </w:rPr>
              <w:t>Lawrence</w:t>
            </w:r>
            <w:r>
              <w:rPr>
                <w:rFonts w:ascii="Calibri" w:hAnsi="Calibri"/>
                <w:szCs w:val="22"/>
              </w:rPr>
              <w:t xml:space="preserve"> Avenue</w:t>
            </w:r>
            <w:r w:rsidR="00B308F8">
              <w:rPr>
                <w:rFonts w:ascii="Calibri" w:hAnsi="Calibri"/>
                <w:szCs w:val="22"/>
              </w:rPr>
              <w:t xml:space="preserve">, will be unaffected by the proposed development given the existing outbuilding will provide complete screening of the extension. The opposite adjoining neighbour, Mayfield, is a in excess of 10 metres away from the proposed development, this is sufficient to mitigate any potential for overbearing impact of loss of light. </w:t>
            </w:r>
          </w:p>
          <w:p w14:paraId="0DB485A3" w14:textId="1E751425" w:rsidR="00ED00B7" w:rsidRPr="00C0704D" w:rsidRDefault="00ED00B7" w:rsidP="00C0704D">
            <w:pPr>
              <w:contextualSpacing/>
              <w:rPr>
                <w:rFonts w:ascii="Calibri" w:hAnsi="Calibri"/>
                <w:szCs w:val="22"/>
              </w:rPr>
            </w:pPr>
          </w:p>
        </w:tc>
      </w:tr>
      <w:tr w:rsidR="00C0704D" w:rsidRPr="00D2449B" w14:paraId="6754C065" w14:textId="77777777" w:rsidTr="00FB73A7">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10299CA0" w14:textId="75CEC2C3" w:rsidR="00C0704D" w:rsidRDefault="0061335B" w:rsidP="005E1C6C">
            <w:pPr>
              <w:contextualSpacing/>
              <w:rPr>
                <w:rFonts w:ascii="Calibri" w:hAnsi="Calibri"/>
                <w:bCs/>
                <w:szCs w:val="22"/>
              </w:rPr>
            </w:pPr>
            <w:r w:rsidRPr="0061335B">
              <w:rPr>
                <w:rFonts w:ascii="Calibri" w:hAnsi="Calibri"/>
                <w:bCs/>
                <w:szCs w:val="22"/>
              </w:rPr>
              <w:t>The proposed development is sited at the rear of the application dwelling; however it is partially visible from Whalley Road itself. The initial submission comprised a roof height of 3.5m which was 0.1m shorter than ridge height of the existing building. It was considered that this read as disproport</w:t>
            </w:r>
            <w:r w:rsidR="004E4D6E">
              <w:rPr>
                <w:rFonts w:ascii="Calibri" w:hAnsi="Calibri"/>
                <w:bCs/>
                <w:szCs w:val="22"/>
              </w:rPr>
              <w:t xml:space="preserve">ionate </w:t>
            </w:r>
            <w:r w:rsidRPr="0061335B">
              <w:rPr>
                <w:rFonts w:ascii="Calibri" w:hAnsi="Calibri"/>
                <w:bCs/>
                <w:szCs w:val="22"/>
              </w:rPr>
              <w:t xml:space="preserve">and following discussion the extension has been reduced in height slightly to 2.9m. Whilst a pitched roof profile on the extension would have been preferred, the reduction in height allows for the extension to read as more proportionate in relation the </w:t>
            </w:r>
            <w:r w:rsidR="004E4D6E">
              <w:rPr>
                <w:rFonts w:ascii="Calibri" w:hAnsi="Calibri"/>
                <w:bCs/>
                <w:szCs w:val="22"/>
              </w:rPr>
              <w:t xml:space="preserve">existing </w:t>
            </w:r>
            <w:r w:rsidRPr="0061335B">
              <w:rPr>
                <w:rFonts w:ascii="Calibri" w:hAnsi="Calibri"/>
                <w:bCs/>
                <w:szCs w:val="22"/>
              </w:rPr>
              <w:t xml:space="preserve">building. This paired with its partially screened location means it is not considered there would be grounds for refusal on design. </w:t>
            </w:r>
          </w:p>
          <w:p w14:paraId="24988B2D" w14:textId="77777777" w:rsidR="004E4D6E" w:rsidRDefault="004E4D6E" w:rsidP="005E1C6C">
            <w:pPr>
              <w:contextualSpacing/>
              <w:rPr>
                <w:rFonts w:ascii="Calibri" w:hAnsi="Calibri"/>
                <w:bCs/>
                <w:szCs w:val="22"/>
              </w:rPr>
            </w:pPr>
          </w:p>
          <w:p w14:paraId="637D9F4A" w14:textId="65BBD241" w:rsidR="004E4D6E" w:rsidRPr="0061335B" w:rsidRDefault="004E4D6E" w:rsidP="005E1C6C">
            <w:pPr>
              <w:contextualSpacing/>
              <w:rPr>
                <w:rFonts w:ascii="Calibri" w:hAnsi="Calibri"/>
                <w:bCs/>
                <w:szCs w:val="22"/>
              </w:rPr>
            </w:pPr>
            <w:r>
              <w:rPr>
                <w:rFonts w:ascii="Calibri" w:hAnsi="Calibri"/>
                <w:bCs/>
                <w:szCs w:val="22"/>
              </w:rPr>
              <w:t xml:space="preserve">In respect of materials the development will be constructed in coursed stone and render with black uPVC windows which is consistent with the existing outbuilding. It is therefore considered that the proposal will integrate sufficiently into the street scene. </w:t>
            </w:r>
          </w:p>
          <w:p w14:paraId="10A3648A" w14:textId="0ABA5395" w:rsidR="0061335B" w:rsidRDefault="0061335B" w:rsidP="005E1C6C">
            <w:pPr>
              <w:contextualSpacing/>
              <w:rPr>
                <w:rFonts w:ascii="Calibri" w:hAnsi="Calibri"/>
                <w:b/>
                <w:szCs w:val="22"/>
              </w:rPr>
            </w:pPr>
          </w:p>
        </w:tc>
      </w:tr>
      <w:tr w:rsidR="00824DB6" w:rsidRPr="00D2449B" w14:paraId="673C0DDB" w14:textId="77777777" w:rsidTr="00FB73A7">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6EF25DF9" w14:textId="77EE3C2F" w:rsidR="00824DB6" w:rsidRDefault="00EF4945" w:rsidP="00EA09F9">
            <w:pPr>
              <w:pStyle w:val="Header"/>
              <w:tabs>
                <w:tab w:val="clear" w:pos="4153"/>
                <w:tab w:val="clear" w:pos="8306"/>
              </w:tabs>
              <w:contextualSpacing/>
              <w:jc w:val="both"/>
              <w:rPr>
                <w:rFonts w:ascii="Calibri" w:hAnsi="Calibri"/>
                <w:b/>
                <w:szCs w:val="22"/>
              </w:rPr>
            </w:pPr>
            <w:r w:rsidRPr="00EF4945">
              <w:rPr>
                <w:rFonts w:ascii="Calibri" w:hAnsi="Calibri"/>
                <w:bCs/>
                <w:szCs w:val="22"/>
              </w:rPr>
              <w:t>LCC Highways have not been consulted in relation to the proposal given it will not impact highway safety or amenity</w:t>
            </w:r>
            <w:r>
              <w:rPr>
                <w:rFonts w:ascii="Calibri" w:hAnsi="Calibri"/>
                <w:b/>
                <w:szCs w:val="22"/>
              </w:rPr>
              <w:t xml:space="preserve">. </w:t>
            </w:r>
          </w:p>
          <w:p w14:paraId="337694ED" w14:textId="612A5375" w:rsidR="00EF4945" w:rsidRDefault="00EF4945"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FB73A7">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14C69491" w14:textId="6CC4749D" w:rsidR="00C0704D" w:rsidRPr="0061335B" w:rsidRDefault="0061335B" w:rsidP="00E46243">
            <w:pPr>
              <w:contextualSpacing/>
              <w:rPr>
                <w:rFonts w:ascii="Calibri" w:hAnsi="Calibri"/>
                <w:bCs/>
                <w:szCs w:val="22"/>
              </w:rPr>
            </w:pPr>
            <w:r w:rsidRPr="0061335B">
              <w:rPr>
                <w:rFonts w:ascii="Calibri" w:hAnsi="Calibri"/>
                <w:bCs/>
                <w:szCs w:val="22"/>
              </w:rPr>
              <w:t xml:space="preserve">No ecological constraints identified. </w:t>
            </w:r>
          </w:p>
          <w:p w14:paraId="6337C4D8" w14:textId="36695195" w:rsidR="0061335B" w:rsidRDefault="0061335B" w:rsidP="00E46243">
            <w:pPr>
              <w:contextualSpacing/>
              <w:rPr>
                <w:rFonts w:ascii="Calibri" w:hAnsi="Calibri"/>
                <w:b/>
                <w:szCs w:val="22"/>
              </w:rPr>
            </w:pPr>
          </w:p>
        </w:tc>
      </w:tr>
      <w:tr w:rsidR="00C0704D" w:rsidRPr="00D2449B" w14:paraId="0A9D02B4" w14:textId="77777777" w:rsidTr="00FB73A7">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634C557C"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FB73A7">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lastRenderedPageBreak/>
              <w:t>RECOMMENDATION</w:t>
            </w:r>
            <w:r w:rsidRPr="00D2449B">
              <w:rPr>
                <w:rFonts w:ascii="Calibri" w:hAnsi="Calibri"/>
                <w:szCs w:val="22"/>
              </w:rPr>
              <w:t>:</w:t>
            </w:r>
          </w:p>
        </w:tc>
        <w:tc>
          <w:tcPr>
            <w:tcW w:w="7488"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FB73A7">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761D2C">
              <w:rPr>
                <w:rFonts w:asciiTheme="minorHAnsi" w:hAnsiTheme="minorHAnsi"/>
                <w:bCs/>
                <w:szCs w:val="22"/>
              </w:rPr>
              <w:t>granted subject to the imposition of conditions.</w:t>
            </w:r>
          </w:p>
        </w:tc>
      </w:tr>
    </w:tbl>
    <w:p w14:paraId="513FB541" w14:textId="77777777" w:rsidR="004E4D6E" w:rsidRPr="00D2449B" w:rsidRDefault="004E4D6E">
      <w:pPr>
        <w:rPr>
          <w:rFonts w:ascii="Calibri" w:hAnsi="Calibri"/>
          <w:szCs w:val="22"/>
        </w:rPr>
      </w:pPr>
    </w:p>
    <w:sectPr w:rsidR="004E4D6E"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5C69EE"/>
    <w:multiLevelType w:val="hybridMultilevel"/>
    <w:tmpl w:val="5BFC2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456721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130035"/>
    <w:rsid w:val="001D4F7A"/>
    <w:rsid w:val="00250879"/>
    <w:rsid w:val="00282E3A"/>
    <w:rsid w:val="0029334A"/>
    <w:rsid w:val="002954E5"/>
    <w:rsid w:val="002A01CF"/>
    <w:rsid w:val="002C6277"/>
    <w:rsid w:val="002F2580"/>
    <w:rsid w:val="00321B6E"/>
    <w:rsid w:val="00440CB6"/>
    <w:rsid w:val="0046548C"/>
    <w:rsid w:val="004947BB"/>
    <w:rsid w:val="00497407"/>
    <w:rsid w:val="004A5EA9"/>
    <w:rsid w:val="004C2434"/>
    <w:rsid w:val="004E4D6E"/>
    <w:rsid w:val="004F0649"/>
    <w:rsid w:val="00510FA2"/>
    <w:rsid w:val="00556ECD"/>
    <w:rsid w:val="00576649"/>
    <w:rsid w:val="00593B6A"/>
    <w:rsid w:val="005E1C6C"/>
    <w:rsid w:val="005E65DF"/>
    <w:rsid w:val="0061335B"/>
    <w:rsid w:val="00692B60"/>
    <w:rsid w:val="006A71AD"/>
    <w:rsid w:val="006C2BFA"/>
    <w:rsid w:val="006F6849"/>
    <w:rsid w:val="0070054B"/>
    <w:rsid w:val="00761D2C"/>
    <w:rsid w:val="00773A66"/>
    <w:rsid w:val="00776AE2"/>
    <w:rsid w:val="00787597"/>
    <w:rsid w:val="007C791C"/>
    <w:rsid w:val="007D7DF4"/>
    <w:rsid w:val="007E0D23"/>
    <w:rsid w:val="007F16D6"/>
    <w:rsid w:val="00811771"/>
    <w:rsid w:val="00824DB6"/>
    <w:rsid w:val="00837F4F"/>
    <w:rsid w:val="008542DE"/>
    <w:rsid w:val="008A28C8"/>
    <w:rsid w:val="009F4443"/>
    <w:rsid w:val="00A42E82"/>
    <w:rsid w:val="00A579BB"/>
    <w:rsid w:val="00A63D55"/>
    <w:rsid w:val="00A95D89"/>
    <w:rsid w:val="00B308F8"/>
    <w:rsid w:val="00B93EB5"/>
    <w:rsid w:val="00BD3F03"/>
    <w:rsid w:val="00C0704D"/>
    <w:rsid w:val="00C25722"/>
    <w:rsid w:val="00C30E83"/>
    <w:rsid w:val="00C618DB"/>
    <w:rsid w:val="00CF3729"/>
    <w:rsid w:val="00D11007"/>
    <w:rsid w:val="00D17EB1"/>
    <w:rsid w:val="00D2449B"/>
    <w:rsid w:val="00D54E67"/>
    <w:rsid w:val="00DD62F6"/>
    <w:rsid w:val="00E46243"/>
    <w:rsid w:val="00E5338D"/>
    <w:rsid w:val="00E66534"/>
    <w:rsid w:val="00E72F6C"/>
    <w:rsid w:val="00EA09F9"/>
    <w:rsid w:val="00EC23C7"/>
    <w:rsid w:val="00ED00B7"/>
    <w:rsid w:val="00EF44E6"/>
    <w:rsid w:val="00EF4945"/>
    <w:rsid w:val="00F056A7"/>
    <w:rsid w:val="00FB73A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80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694</Words>
  <Characters>3960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2024-02-15T15:02:00Z</cp:lastPrinted>
  <dcterms:created xsi:type="dcterms:W3CDTF">2024-02-15T15:06:00Z</dcterms:created>
  <dcterms:modified xsi:type="dcterms:W3CDTF">2024-02-15T15:06:00Z</dcterms:modified>
</cp:coreProperties>
</file>