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26"/>
        <w:gridCol w:w="137"/>
        <w:gridCol w:w="36"/>
        <w:gridCol w:w="658"/>
        <w:gridCol w:w="193"/>
        <w:gridCol w:w="474"/>
        <w:gridCol w:w="685"/>
        <w:gridCol w:w="696"/>
        <w:gridCol w:w="602"/>
        <w:gridCol w:w="904"/>
        <w:gridCol w:w="551"/>
        <w:gridCol w:w="971"/>
        <w:gridCol w:w="998"/>
        <w:gridCol w:w="1006"/>
      </w:tblGrid>
      <w:tr w:rsidR="004A5EA9" w:rsidRPr="00D2449B" w14:paraId="230E00AF"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16B0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1C9A9CB" w:rsidR="00837F4F" w:rsidRPr="00D2449B" w:rsidRDefault="00330CB7"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E7661A" w:rsidR="00837F4F" w:rsidRPr="00D2449B" w:rsidRDefault="00330CB7" w:rsidP="00D2449B">
            <w:pPr>
              <w:jc w:val="center"/>
              <w:rPr>
                <w:rFonts w:ascii="Calibri" w:hAnsi="Calibri"/>
                <w:b/>
                <w:szCs w:val="22"/>
              </w:rPr>
            </w:pPr>
            <w:r>
              <w:rPr>
                <w:rFonts w:ascii="Calibri" w:hAnsi="Calibri"/>
                <w:b/>
                <w:szCs w:val="22"/>
              </w:rPr>
              <w:t>02/04/2024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AFAC20B" w:rsidR="00837F4F" w:rsidRPr="00D2449B" w:rsidRDefault="00CC603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E2A62CB" w:rsidR="00837F4F" w:rsidRPr="00D2449B" w:rsidRDefault="00CC6036" w:rsidP="00D2449B">
            <w:pPr>
              <w:jc w:val="center"/>
              <w:rPr>
                <w:rFonts w:ascii="Calibri" w:hAnsi="Calibri"/>
                <w:b/>
                <w:szCs w:val="22"/>
              </w:rPr>
            </w:pPr>
            <w:r>
              <w:rPr>
                <w:rFonts w:ascii="Calibri" w:hAnsi="Calibri"/>
                <w:b/>
                <w:szCs w:val="22"/>
              </w:rPr>
              <w:t>3.4.24</w:t>
            </w:r>
          </w:p>
        </w:tc>
      </w:tr>
      <w:tr w:rsidR="004A5EA9" w:rsidRPr="00D2449B" w14:paraId="2094A164" w14:textId="77777777" w:rsidTr="00516B08">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16B0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2AC2F9C" w:rsidR="004A5EA9" w:rsidRPr="00406EBD" w:rsidRDefault="004A5EA9" w:rsidP="008542DE">
            <w:pPr>
              <w:rPr>
                <w:rFonts w:ascii="Calibri" w:hAnsi="Calibri"/>
                <w:color w:val="FF0000"/>
                <w:szCs w:val="22"/>
              </w:rPr>
            </w:pPr>
            <w:r w:rsidRPr="00516B08">
              <w:rPr>
                <w:rFonts w:ascii="Calibri" w:hAnsi="Calibri"/>
                <w:szCs w:val="22"/>
              </w:rPr>
              <w:t>20</w:t>
            </w:r>
            <w:r w:rsidR="00516B08" w:rsidRPr="00516B08">
              <w:rPr>
                <w:rFonts w:ascii="Calibri" w:hAnsi="Calibri"/>
                <w:szCs w:val="22"/>
              </w:rPr>
              <w:t>23</w:t>
            </w:r>
            <w:r w:rsidR="00C0704D" w:rsidRPr="00516B08">
              <w:rPr>
                <w:rFonts w:ascii="Calibri" w:hAnsi="Calibri"/>
                <w:szCs w:val="22"/>
              </w:rPr>
              <w:t>/</w:t>
            </w:r>
            <w:r w:rsidR="00516B08" w:rsidRPr="00516B08">
              <w:rPr>
                <w:rFonts w:ascii="Calibri" w:hAnsi="Calibri"/>
                <w:szCs w:val="22"/>
              </w:rPr>
              <w:t>1013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5B2744A1">
                  <wp:simplePos x="0" y="0"/>
                  <wp:positionH relativeFrom="column">
                    <wp:posOffset>-40005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16B0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2010605" w:rsidR="00824DB6" w:rsidRPr="00C0704D" w:rsidRDefault="00516B08" w:rsidP="002C6277">
            <w:pPr>
              <w:rPr>
                <w:rFonts w:ascii="Calibri" w:hAnsi="Calibri"/>
                <w:szCs w:val="22"/>
              </w:rPr>
            </w:pPr>
            <w:r>
              <w:rPr>
                <w:rFonts w:ascii="Calibri" w:hAnsi="Calibri"/>
                <w:szCs w:val="22"/>
              </w:rPr>
              <w:t>24/01/2024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4E1732A" w:rsidR="00824DB6" w:rsidRPr="00C0704D" w:rsidRDefault="00516B08" w:rsidP="002C6277">
            <w:pPr>
              <w:rPr>
                <w:rFonts w:ascii="Calibri" w:hAnsi="Calibri"/>
                <w:szCs w:val="22"/>
              </w:rPr>
            </w:pPr>
            <w:r>
              <w:rPr>
                <w:rFonts w:ascii="Calibri" w:hAnsi="Calibri"/>
                <w:szCs w:val="22"/>
              </w:rPr>
              <w:t>24/01/2024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16B0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CC6036" w:rsidRDefault="00D2449B">
            <w:pPr>
              <w:rPr>
                <w:rFonts w:ascii="Calibri" w:hAnsi="Calibri"/>
                <w:b/>
                <w:szCs w:val="22"/>
              </w:rPr>
            </w:pPr>
            <w:r w:rsidRPr="00CC6036">
              <w:rPr>
                <w:rFonts w:ascii="Calibri" w:hAnsi="Calibri"/>
                <w:b/>
                <w:szCs w:val="22"/>
              </w:rPr>
              <w:t>Officer</w:t>
            </w:r>
            <w:r w:rsidR="004A5EA9" w:rsidRPr="00CC6036">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96B11C7" w:rsidR="004A5EA9" w:rsidRPr="00CC6036" w:rsidRDefault="00516B08" w:rsidP="00811771">
            <w:pPr>
              <w:rPr>
                <w:rFonts w:ascii="Calibri" w:hAnsi="Calibri"/>
                <w:szCs w:val="22"/>
              </w:rPr>
            </w:pPr>
            <w:r w:rsidRPr="00CC603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16B08">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16B08">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16B0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CB3F83" w:rsidR="004A5EA9" w:rsidRPr="002C6277" w:rsidRDefault="00516B08">
            <w:pPr>
              <w:rPr>
                <w:rFonts w:ascii="Calibri" w:hAnsi="Calibri"/>
                <w:szCs w:val="22"/>
              </w:rPr>
            </w:pPr>
            <w:r>
              <w:rPr>
                <w:rFonts w:ascii="Calibri" w:hAnsi="Calibri"/>
                <w:szCs w:val="22"/>
              </w:rPr>
              <w:t xml:space="preserve">Proposed replacement timber windows in the existing openings and replacement double doors to the rear. </w:t>
            </w:r>
          </w:p>
        </w:tc>
      </w:tr>
      <w:tr w:rsidR="002A01CF" w:rsidRPr="00D2449B" w14:paraId="52988241" w14:textId="77777777" w:rsidTr="00516B0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61C91EA" w:rsidR="002A01CF" w:rsidRPr="002C6277" w:rsidRDefault="00516B08" w:rsidP="00A42E82">
            <w:pPr>
              <w:rPr>
                <w:rFonts w:ascii="Calibri" w:hAnsi="Calibri"/>
                <w:szCs w:val="22"/>
              </w:rPr>
            </w:pPr>
            <w:r>
              <w:rPr>
                <w:rFonts w:ascii="Calibri" w:hAnsi="Calibri"/>
                <w:szCs w:val="22"/>
              </w:rPr>
              <w:t>3 The Square, Church Lane Whalley BB7 9SU.</w:t>
            </w:r>
          </w:p>
        </w:tc>
      </w:tr>
      <w:tr w:rsidR="00A95D89" w:rsidRPr="00D2449B" w14:paraId="3FB99B2E" w14:textId="77777777" w:rsidTr="00516B08">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16B0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1858846" w:rsidR="002A01CF" w:rsidRPr="00295A61" w:rsidRDefault="00330CB7">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516B08">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16B0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16B0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2216BD6" w:rsidR="002A01CF" w:rsidRPr="00D2449B" w:rsidRDefault="00516B08">
            <w:pPr>
              <w:rPr>
                <w:rFonts w:ascii="Calibri" w:hAnsi="Calibri"/>
                <w:b/>
                <w:szCs w:val="22"/>
              </w:rPr>
            </w:pPr>
            <w:r>
              <w:rPr>
                <w:rFonts w:ascii="Calibri" w:hAnsi="Calibri"/>
                <w:b/>
                <w:szCs w:val="22"/>
              </w:rPr>
              <w:t>N/A</w:t>
            </w:r>
          </w:p>
        </w:tc>
      </w:tr>
      <w:tr w:rsidR="00C0704D" w:rsidRPr="00D2449B" w14:paraId="62663AAF"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16B0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49D76A3" w:rsidR="00C0704D" w:rsidRPr="00C0704D" w:rsidRDefault="00330CB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16B08">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FE0680A" w14:textId="77777777" w:rsidR="00406EBD" w:rsidRDefault="00406EBD" w:rsidP="00406EBD">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81E7041" w14:textId="77777777" w:rsidR="00406EBD" w:rsidRDefault="00406EBD" w:rsidP="00406EBD">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55AB0DE4" w14:textId="4116A88E" w:rsidR="00406EBD" w:rsidRPr="00C618DB" w:rsidRDefault="00406EBD" w:rsidP="00406EBD">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E40D07A" w14:textId="77777777" w:rsidR="00406EBD" w:rsidRDefault="00406EBD" w:rsidP="00406EBD">
            <w:pPr>
              <w:pStyle w:val="PLANNING"/>
              <w:rPr>
                <w:rFonts w:ascii="Calibri" w:hAnsi="Calibri"/>
                <w:szCs w:val="22"/>
              </w:rPr>
            </w:pPr>
          </w:p>
          <w:p w14:paraId="378A9A55" w14:textId="77777777" w:rsidR="00406EBD" w:rsidRPr="00C618DB" w:rsidRDefault="00406EBD" w:rsidP="00406EBD">
            <w:pPr>
              <w:pStyle w:val="PLANNING"/>
              <w:rPr>
                <w:rFonts w:ascii="Calibri" w:hAnsi="Calibri"/>
                <w:szCs w:val="22"/>
              </w:rPr>
            </w:pPr>
            <w:r w:rsidRPr="00D11007">
              <w:rPr>
                <w:rFonts w:ascii="Calibri" w:hAnsi="Calibri"/>
                <w:szCs w:val="22"/>
              </w:rPr>
              <w:t>Planning (Listed Buildings and Conservation Areas) Act</w:t>
            </w: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355D4D01" w:rsidR="00406EBD" w:rsidRPr="008A3D9E" w:rsidRDefault="008A3D9E" w:rsidP="00C0704D">
            <w:pPr>
              <w:pStyle w:val="PLANNING"/>
              <w:rPr>
                <w:rFonts w:ascii="Calibri" w:hAnsi="Calibri"/>
                <w:szCs w:val="22"/>
              </w:rPr>
            </w:pPr>
            <w:r w:rsidRPr="008A3D9E">
              <w:rPr>
                <w:rFonts w:ascii="Calibri" w:hAnsi="Calibri"/>
                <w:szCs w:val="22"/>
              </w:rPr>
              <w:t xml:space="preserve">No recent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516B08">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085B2EB" w14:textId="4CABEC7E" w:rsidR="00406EBD" w:rsidRDefault="00330CB7" w:rsidP="00406EBD">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Grade II Listed mid-terraced property in Whalley. The property is also sited within Whalley Conservation Area. There are a number of other Listed buildings in the immediate vicinity, inclusive of the neighbouring No.2 and No.4 The Square. </w:t>
            </w:r>
          </w:p>
          <w:p w14:paraId="62370E9F" w14:textId="6623294A" w:rsidR="00330CB7" w:rsidRPr="006C2BFA" w:rsidRDefault="00330CB7"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B608822" w14:textId="794C629E" w:rsidR="00C0704D" w:rsidRDefault="00330CB7" w:rsidP="00406EBD">
            <w:pPr>
              <w:pStyle w:val="Header"/>
              <w:tabs>
                <w:tab w:val="clear" w:pos="4153"/>
                <w:tab w:val="clear" w:pos="8306"/>
              </w:tabs>
              <w:jc w:val="both"/>
              <w:rPr>
                <w:rFonts w:ascii="Calibri" w:hAnsi="Calibri"/>
                <w:szCs w:val="22"/>
              </w:rPr>
            </w:pPr>
            <w:r>
              <w:rPr>
                <w:rFonts w:ascii="Calibri" w:hAnsi="Calibri"/>
                <w:szCs w:val="22"/>
              </w:rPr>
              <w:t xml:space="preserve">This application seeks Listed Building Consent </w:t>
            </w:r>
            <w:r w:rsidR="009E32C3">
              <w:rPr>
                <w:rFonts w:ascii="Calibri" w:hAnsi="Calibri"/>
                <w:szCs w:val="22"/>
              </w:rPr>
              <w:t xml:space="preserve">for the replacement of the existing windows and rear double doors with timber framed alternatives. </w:t>
            </w:r>
          </w:p>
          <w:p w14:paraId="1B20488F" w14:textId="0B61CEB3" w:rsidR="009E32C3" w:rsidRPr="00D54E67" w:rsidRDefault="009E32C3" w:rsidP="00406EBD">
            <w:pPr>
              <w:pStyle w:val="Header"/>
              <w:tabs>
                <w:tab w:val="clear" w:pos="4153"/>
                <w:tab w:val="clear" w:pos="8306"/>
              </w:tabs>
              <w:jc w:val="both"/>
              <w:rPr>
                <w:rFonts w:ascii="Calibri" w:hAnsi="Calibri"/>
                <w:szCs w:val="22"/>
              </w:rPr>
            </w:pPr>
          </w:p>
        </w:tc>
      </w:tr>
      <w:tr w:rsidR="00406EBD" w:rsidRPr="00D2449B" w14:paraId="2B574C1E"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9B4B14" w14:textId="77777777"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Impact upon Listed Building(s) and Setting (Where Applicable):</w:t>
            </w:r>
          </w:p>
          <w:p w14:paraId="34644BDB" w14:textId="77777777" w:rsidR="00406EBD" w:rsidRDefault="00406EBD" w:rsidP="00440CB6">
            <w:pPr>
              <w:pStyle w:val="Header"/>
              <w:tabs>
                <w:tab w:val="clear" w:pos="4153"/>
                <w:tab w:val="clear" w:pos="8306"/>
              </w:tabs>
              <w:jc w:val="both"/>
              <w:rPr>
                <w:rFonts w:ascii="Calibri" w:hAnsi="Calibri"/>
                <w:b/>
                <w:szCs w:val="22"/>
              </w:rPr>
            </w:pPr>
          </w:p>
          <w:p w14:paraId="563D59E5" w14:textId="47D44301" w:rsidR="001E46AB" w:rsidRDefault="001E46AB" w:rsidP="001E46AB">
            <w:pPr>
              <w:jc w:val="both"/>
              <w:rPr>
                <w:rFonts w:ascii="Calibri" w:hAnsi="Calibri"/>
                <w:szCs w:val="22"/>
              </w:rPr>
            </w:pPr>
            <w:r>
              <w:rPr>
                <w:rFonts w:ascii="Calibri" w:hAnsi="Calibri"/>
                <w:szCs w:val="22"/>
              </w:rPr>
              <w:t xml:space="preserve">The application relates to a Grade II Designated Heritage Asset with the building also being located within the designated </w:t>
            </w:r>
            <w:r w:rsidR="00B336DA">
              <w:rPr>
                <w:rFonts w:ascii="Calibri" w:hAnsi="Calibri"/>
                <w:szCs w:val="22"/>
              </w:rPr>
              <w:t>Whalley</w:t>
            </w:r>
            <w:r>
              <w:rPr>
                <w:rFonts w:ascii="Calibri" w:hAnsi="Calibri"/>
                <w:szCs w:val="22"/>
              </w:rPr>
              <w:t xml:space="preserve"> Conservation Area.</w:t>
            </w:r>
          </w:p>
          <w:p w14:paraId="0AAE9636" w14:textId="77777777" w:rsidR="001E46AB" w:rsidRDefault="001E46AB" w:rsidP="001E46AB">
            <w:pPr>
              <w:jc w:val="both"/>
              <w:rPr>
                <w:rFonts w:ascii="Calibri" w:hAnsi="Calibri"/>
                <w:szCs w:val="22"/>
              </w:rPr>
            </w:pPr>
          </w:p>
          <w:p w14:paraId="66C55E4C" w14:textId="77777777" w:rsidR="001E46AB" w:rsidRDefault="001E46AB" w:rsidP="001E46AB">
            <w:pPr>
              <w:jc w:val="both"/>
              <w:rPr>
                <w:rFonts w:ascii="Calibri" w:hAnsi="Calibri"/>
                <w:szCs w:val="22"/>
              </w:rPr>
            </w:pPr>
            <w:r>
              <w:rPr>
                <w:rFonts w:ascii="Calibri" w:hAnsi="Calibri"/>
                <w:szCs w:val="22"/>
              </w:rPr>
              <w:t xml:space="preserve">As such due consideration must be given in respect of the statutory duties imposed under the Section 66(1) of the Planning (Listed Building and Conservation Areas) Act 1990 in relation to the preservation of the special character of heritage assets, including their setting.  In this respect the act states that: </w:t>
            </w:r>
          </w:p>
          <w:p w14:paraId="3CBF6ACB" w14:textId="77777777" w:rsidR="001E46AB" w:rsidRDefault="001E46AB" w:rsidP="001E46AB">
            <w:pPr>
              <w:rPr>
                <w:rFonts w:ascii="Calibri" w:hAnsi="Calibri"/>
                <w:color w:val="FF0000"/>
                <w:szCs w:val="22"/>
              </w:rPr>
            </w:pPr>
          </w:p>
          <w:p w14:paraId="1670B7C7" w14:textId="77777777" w:rsidR="001E46AB" w:rsidRDefault="001E46AB" w:rsidP="001E46AB">
            <w:pPr>
              <w:jc w:val="both"/>
              <w:rPr>
                <w:rFonts w:ascii="Calibri" w:hAnsi="Calibri"/>
                <w:i/>
                <w:iCs/>
                <w:szCs w:val="22"/>
              </w:rPr>
            </w:pPr>
            <w:r>
              <w:rPr>
                <w:rFonts w:ascii="Calibri" w:hAnsi="Calibri"/>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6BFA0A1A" w14:textId="77777777" w:rsidR="001E46AB" w:rsidRDefault="001E46AB" w:rsidP="001E46AB">
            <w:pPr>
              <w:jc w:val="both"/>
              <w:rPr>
                <w:rFonts w:ascii="Calibri" w:hAnsi="Calibri"/>
                <w:i/>
                <w:iCs/>
                <w:szCs w:val="22"/>
              </w:rPr>
            </w:pPr>
          </w:p>
          <w:p w14:paraId="3CB0A900" w14:textId="2B04059C" w:rsidR="001E46AB" w:rsidRDefault="001E46AB" w:rsidP="001E46AB">
            <w:pPr>
              <w:rPr>
                <w:rFonts w:ascii="Calibri" w:hAnsi="Calibri"/>
                <w:szCs w:val="22"/>
              </w:rPr>
            </w:pPr>
            <w:r>
              <w:rPr>
                <w:rFonts w:ascii="Calibri" w:hAnsi="Calibri"/>
                <w:szCs w:val="22"/>
              </w:rPr>
              <w:t>Further to the above, consideration must also be given in respect of the requirements of the National Planning Policy Framework insofar that in the determination of planning applications Local planning Authorities should take account of:</w:t>
            </w:r>
          </w:p>
          <w:p w14:paraId="60503998" w14:textId="77777777" w:rsidR="001E46AB" w:rsidRDefault="001E46AB" w:rsidP="001E46AB">
            <w:pPr>
              <w:rPr>
                <w:rFonts w:ascii="Calibri" w:hAnsi="Calibri"/>
                <w:szCs w:val="22"/>
              </w:rPr>
            </w:pPr>
          </w:p>
          <w:p w14:paraId="00BE58D6" w14:textId="77777777" w:rsidR="001E46AB" w:rsidRDefault="001E46AB" w:rsidP="001E46AB">
            <w:pPr>
              <w:pStyle w:val="ListParagraph"/>
              <w:numPr>
                <w:ilvl w:val="0"/>
                <w:numId w:val="3"/>
              </w:numPr>
              <w:textAlignment w:val="auto"/>
              <w:rPr>
                <w:rFonts w:ascii="Calibri" w:hAnsi="Calibri"/>
                <w:i/>
                <w:iCs/>
                <w:szCs w:val="22"/>
              </w:rPr>
            </w:pPr>
            <w:r>
              <w:rPr>
                <w:rFonts w:ascii="Calibri" w:hAnsi="Calibri"/>
                <w:i/>
                <w:iCs/>
                <w:szCs w:val="22"/>
              </w:rPr>
              <w:t>the desirability of sustaining and enhancing the significance of heritage assets and putting them to viable uses consistent with their conservation;</w:t>
            </w:r>
          </w:p>
          <w:p w14:paraId="2162AA57" w14:textId="77777777" w:rsidR="001E46AB" w:rsidRDefault="001E46AB" w:rsidP="001E46AB">
            <w:pPr>
              <w:pStyle w:val="ListParagraph"/>
              <w:numPr>
                <w:ilvl w:val="0"/>
                <w:numId w:val="3"/>
              </w:numPr>
              <w:textAlignment w:val="auto"/>
              <w:rPr>
                <w:rFonts w:ascii="Calibri" w:hAnsi="Calibri"/>
                <w:i/>
                <w:iCs/>
                <w:szCs w:val="22"/>
              </w:rPr>
            </w:pPr>
            <w:r>
              <w:rPr>
                <w:rFonts w:ascii="Calibri" w:hAnsi="Calibri"/>
                <w:i/>
                <w:iCs/>
                <w:szCs w:val="22"/>
              </w:rPr>
              <w:t>the positive contribution that conservation of heritage assets can make to sustainable communities including their economic vitality; and</w:t>
            </w:r>
          </w:p>
          <w:p w14:paraId="612D7F9B" w14:textId="77777777" w:rsidR="001E46AB" w:rsidRDefault="001E46AB" w:rsidP="001E46AB">
            <w:pPr>
              <w:pStyle w:val="ListParagraph"/>
              <w:numPr>
                <w:ilvl w:val="0"/>
                <w:numId w:val="3"/>
              </w:numPr>
              <w:textAlignment w:val="auto"/>
              <w:rPr>
                <w:rFonts w:ascii="Calibri" w:hAnsi="Calibri"/>
                <w:i/>
                <w:iCs/>
                <w:szCs w:val="22"/>
              </w:rPr>
            </w:pPr>
            <w:r>
              <w:rPr>
                <w:rFonts w:ascii="Calibri" w:hAnsi="Calibri"/>
                <w:i/>
                <w:iCs/>
                <w:szCs w:val="22"/>
              </w:rPr>
              <w:t>the desirability of new development making a positive contribution to local character and distinctiveness.</w:t>
            </w:r>
          </w:p>
          <w:p w14:paraId="298544E6" w14:textId="77777777" w:rsidR="001E46AB" w:rsidRDefault="001E46AB" w:rsidP="001E46AB">
            <w:pPr>
              <w:rPr>
                <w:rFonts w:ascii="Calibri" w:hAnsi="Calibri"/>
                <w:szCs w:val="22"/>
              </w:rPr>
            </w:pPr>
          </w:p>
          <w:p w14:paraId="47E3E9AC" w14:textId="48C6C773" w:rsidR="001E46AB" w:rsidRPr="001E46AB" w:rsidRDefault="001E46AB" w:rsidP="001E46AB">
            <w:pPr>
              <w:rPr>
                <w:rFonts w:ascii="Calibri" w:hAnsi="Calibri"/>
                <w:szCs w:val="22"/>
              </w:rPr>
            </w:pPr>
            <w:r>
              <w:rPr>
                <w:rFonts w:ascii="Calibri" w:hAnsi="Calibri"/>
                <w:szCs w:val="22"/>
              </w:rPr>
              <w:t>Paragraphs 20</w:t>
            </w:r>
            <w:r w:rsidR="00B336DA">
              <w:rPr>
                <w:rFonts w:ascii="Calibri" w:hAnsi="Calibri"/>
                <w:szCs w:val="22"/>
              </w:rPr>
              <w:t>6</w:t>
            </w:r>
            <w:r>
              <w:rPr>
                <w:rFonts w:ascii="Calibri" w:hAnsi="Calibri"/>
                <w:szCs w:val="22"/>
              </w:rPr>
              <w:t xml:space="preserve"> and 20</w:t>
            </w:r>
            <w:r w:rsidR="00B336DA">
              <w:rPr>
                <w:rFonts w:ascii="Calibri" w:hAnsi="Calibri"/>
                <w:szCs w:val="22"/>
              </w:rPr>
              <w:t>7</w:t>
            </w:r>
            <w:r>
              <w:rPr>
                <w:rFonts w:ascii="Calibri" w:hAnsi="Calibri"/>
                <w:szCs w:val="22"/>
              </w:rPr>
              <w:t xml:space="preserve"> of the Framework are also relevant, they state that:</w:t>
            </w:r>
          </w:p>
          <w:p w14:paraId="14B4CAB1" w14:textId="77777777" w:rsidR="001E46AB" w:rsidRDefault="001E46AB" w:rsidP="001E46AB">
            <w:pPr>
              <w:jc w:val="both"/>
              <w:rPr>
                <w:rFonts w:ascii="Calibri" w:hAnsi="Calibri"/>
                <w:i/>
                <w:iCs/>
                <w:szCs w:val="22"/>
              </w:rPr>
            </w:pPr>
          </w:p>
          <w:p w14:paraId="68921CCB" w14:textId="7429C05B" w:rsidR="001E46AB" w:rsidRDefault="001E46AB" w:rsidP="001E46AB">
            <w:pPr>
              <w:rPr>
                <w:rFonts w:ascii="Calibri" w:hAnsi="Calibri"/>
                <w:szCs w:val="22"/>
              </w:rPr>
            </w:pPr>
            <w:r>
              <w:rPr>
                <w:rFonts w:ascii="Calibri" w:hAnsi="Calibri"/>
                <w:szCs w:val="22"/>
              </w:rPr>
              <w:t>Paragraph 20</w:t>
            </w:r>
            <w:r w:rsidR="00B336DA">
              <w:rPr>
                <w:rFonts w:ascii="Calibri" w:hAnsi="Calibri"/>
                <w:szCs w:val="22"/>
              </w:rPr>
              <w:t>6</w:t>
            </w:r>
            <w:r>
              <w:rPr>
                <w:rFonts w:ascii="Calibri" w:hAnsi="Calibri"/>
                <w:szCs w:val="22"/>
              </w:rPr>
              <w:t>:</w:t>
            </w:r>
          </w:p>
          <w:p w14:paraId="3EBAF306" w14:textId="48678345" w:rsidR="001E46AB" w:rsidRDefault="001E46AB" w:rsidP="001E46AB">
            <w:pPr>
              <w:jc w:val="both"/>
              <w:rPr>
                <w:rFonts w:ascii="Calibri" w:hAnsi="Calibri"/>
                <w:i/>
                <w:iCs/>
                <w:szCs w:val="22"/>
              </w:rPr>
            </w:pPr>
            <w:r>
              <w:rPr>
                <w:rFonts w:ascii="Calibri" w:hAnsi="Calibri"/>
                <w:i/>
                <w:iCs/>
                <w:szCs w:val="22"/>
              </w:rPr>
              <w:t>Any harm to, or loss of, the significance of a designated heritage asset (from its alteration or destruction, or from development within its setting), should require clear and convincing justification.</w:t>
            </w:r>
          </w:p>
          <w:p w14:paraId="1058EC4B" w14:textId="77777777" w:rsidR="001E46AB" w:rsidRDefault="001E46AB" w:rsidP="001E46AB">
            <w:pPr>
              <w:jc w:val="both"/>
              <w:rPr>
                <w:rFonts w:ascii="Calibri" w:hAnsi="Calibri"/>
                <w:i/>
                <w:iCs/>
                <w:szCs w:val="22"/>
              </w:rPr>
            </w:pPr>
          </w:p>
          <w:p w14:paraId="5D47DCFF" w14:textId="2B6D41E7" w:rsidR="001E46AB" w:rsidRDefault="001E46AB" w:rsidP="001E46AB">
            <w:pPr>
              <w:rPr>
                <w:rFonts w:ascii="Calibri" w:hAnsi="Calibri"/>
                <w:szCs w:val="22"/>
              </w:rPr>
            </w:pPr>
            <w:r>
              <w:rPr>
                <w:rFonts w:ascii="Calibri" w:hAnsi="Calibri"/>
                <w:szCs w:val="22"/>
              </w:rPr>
              <w:t>Paragraph 20</w:t>
            </w:r>
            <w:r w:rsidR="00B336DA">
              <w:rPr>
                <w:rFonts w:ascii="Calibri" w:hAnsi="Calibri"/>
                <w:szCs w:val="22"/>
              </w:rPr>
              <w:t>7</w:t>
            </w:r>
            <w:r>
              <w:rPr>
                <w:rFonts w:ascii="Calibri" w:hAnsi="Calibri"/>
                <w:szCs w:val="22"/>
              </w:rPr>
              <w:t>:</w:t>
            </w:r>
          </w:p>
          <w:p w14:paraId="0FF84D59" w14:textId="7F8CB0BD" w:rsidR="001E46AB" w:rsidRDefault="001E46AB" w:rsidP="001E46AB">
            <w:pPr>
              <w:jc w:val="both"/>
              <w:rPr>
                <w:rFonts w:ascii="Calibri" w:hAnsi="Calibri"/>
                <w:i/>
                <w:iCs/>
                <w:szCs w:val="22"/>
              </w:rPr>
            </w:pPr>
            <w:r>
              <w:rPr>
                <w:rFonts w:ascii="Calibri" w:hAnsi="Calibri"/>
                <w:i/>
                <w:iCs/>
                <w:szCs w:val="22"/>
              </w:rPr>
              <w:t>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w:t>
            </w:r>
          </w:p>
          <w:p w14:paraId="3FE18A31" w14:textId="77777777" w:rsidR="001E46AB" w:rsidRDefault="001E46AB" w:rsidP="00440CB6">
            <w:pPr>
              <w:pStyle w:val="Header"/>
              <w:tabs>
                <w:tab w:val="clear" w:pos="4153"/>
                <w:tab w:val="clear" w:pos="8306"/>
              </w:tabs>
              <w:jc w:val="both"/>
              <w:rPr>
                <w:rFonts w:ascii="Calibri" w:hAnsi="Calibri"/>
                <w:b/>
                <w:szCs w:val="22"/>
              </w:rPr>
            </w:pPr>
          </w:p>
          <w:p w14:paraId="39506850" w14:textId="77777777" w:rsidR="001E46AB" w:rsidRDefault="001E46AB" w:rsidP="001E46AB">
            <w:pPr>
              <w:rPr>
                <w:rFonts w:ascii="Calibri" w:hAnsi="Calibri"/>
                <w:szCs w:val="22"/>
              </w:rPr>
            </w:pPr>
            <w:r>
              <w:rPr>
                <w:rFonts w:ascii="Calibri" w:hAnsi="Calibri"/>
                <w:szCs w:val="22"/>
              </w:rPr>
              <w:t>In parallel with the above primary and national-level legislation, Key Statement EN5 and Policy DME4 of the Ribble Valley Core Strategy are primarily, but not solely, engaged for the purposes of assessing the proposal.  In this respect Key Statement EN5 states that:</w:t>
            </w:r>
          </w:p>
          <w:p w14:paraId="5CBEA199" w14:textId="77777777" w:rsidR="001E46AB" w:rsidRDefault="001E46AB" w:rsidP="001E46AB">
            <w:pPr>
              <w:rPr>
                <w:rFonts w:ascii="Calibri" w:hAnsi="Calibri"/>
                <w:color w:val="FF0000"/>
                <w:szCs w:val="22"/>
              </w:rPr>
            </w:pPr>
          </w:p>
          <w:p w14:paraId="184A50F0" w14:textId="77777777" w:rsidR="001E46AB" w:rsidRDefault="001E46AB" w:rsidP="001E46AB">
            <w:pPr>
              <w:jc w:val="both"/>
              <w:rPr>
                <w:rFonts w:asciiTheme="minorHAnsi" w:hAnsiTheme="minorHAnsi" w:cstheme="minorHAnsi"/>
                <w:i/>
                <w:iCs/>
                <w:szCs w:val="22"/>
              </w:rPr>
            </w:pPr>
            <w:r>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003B006" w14:textId="77777777" w:rsidR="001E46AB" w:rsidRDefault="001E46AB" w:rsidP="00440CB6">
            <w:pPr>
              <w:pStyle w:val="Header"/>
              <w:tabs>
                <w:tab w:val="clear" w:pos="4153"/>
                <w:tab w:val="clear" w:pos="8306"/>
              </w:tabs>
              <w:jc w:val="both"/>
              <w:rPr>
                <w:rFonts w:ascii="Calibri" w:hAnsi="Calibri"/>
                <w:b/>
                <w:szCs w:val="22"/>
              </w:rPr>
            </w:pPr>
          </w:p>
          <w:p w14:paraId="1E54E06E" w14:textId="77777777" w:rsidR="001E46AB" w:rsidRDefault="001E46AB" w:rsidP="001E46AB">
            <w:pPr>
              <w:rPr>
                <w:rFonts w:ascii="Calibri" w:hAnsi="Calibri"/>
                <w:bCs/>
              </w:rPr>
            </w:pPr>
            <w:r>
              <w:rPr>
                <w:rFonts w:ascii="Calibri" w:hAnsi="Calibri"/>
                <w:bCs/>
              </w:rPr>
              <w:t>With Policy DME4 stating, in respect of development within conservation areas or those affecting the listed buildings or their setting, that development will be assessed on the following basis:</w:t>
            </w:r>
          </w:p>
          <w:p w14:paraId="39329150" w14:textId="77777777" w:rsidR="001E46AB" w:rsidRDefault="001E46AB" w:rsidP="001E46AB">
            <w:pPr>
              <w:rPr>
                <w:rFonts w:ascii="Calibri" w:hAnsi="Calibri"/>
                <w:szCs w:val="22"/>
              </w:rPr>
            </w:pPr>
          </w:p>
          <w:p w14:paraId="63FD6A20" w14:textId="77777777" w:rsidR="001E46AB" w:rsidRDefault="001E46AB" w:rsidP="001E46AB">
            <w:pPr>
              <w:jc w:val="both"/>
              <w:rPr>
                <w:rFonts w:ascii="Calibri" w:hAnsi="Calibri"/>
                <w:i/>
                <w:iCs/>
                <w:szCs w:val="22"/>
              </w:rPr>
            </w:pPr>
            <w:r>
              <w:rPr>
                <w:rFonts w:ascii="Calibri" w:hAnsi="Calibri"/>
                <w:i/>
                <w:iCs/>
                <w:szCs w:val="22"/>
              </w:rPr>
              <w:t>1: CONSERVATION AREAS</w:t>
            </w:r>
          </w:p>
          <w:p w14:paraId="0BDD3315" w14:textId="77777777" w:rsidR="001E46AB" w:rsidRDefault="001E46AB" w:rsidP="001E46AB">
            <w:pPr>
              <w:jc w:val="both"/>
              <w:rPr>
                <w:rFonts w:ascii="Calibri" w:hAnsi="Calibri"/>
                <w:i/>
                <w:iCs/>
                <w:szCs w:val="22"/>
              </w:rPr>
            </w:pPr>
          </w:p>
          <w:p w14:paraId="3FFD5DDB" w14:textId="77777777" w:rsidR="001E46AB" w:rsidRDefault="001E46AB" w:rsidP="001E46AB">
            <w:pPr>
              <w:jc w:val="both"/>
              <w:rPr>
                <w:rFonts w:ascii="Calibri" w:hAnsi="Calibri"/>
                <w:i/>
                <w:iCs/>
                <w:szCs w:val="22"/>
              </w:rPr>
            </w:pPr>
            <w:r>
              <w:rPr>
                <w:rFonts w:ascii="Calibri" w:hAnsi="Calibr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606815B" w14:textId="77777777" w:rsidR="001E46AB" w:rsidRDefault="001E46AB" w:rsidP="001E46AB">
            <w:pPr>
              <w:jc w:val="both"/>
              <w:rPr>
                <w:rFonts w:ascii="Calibri" w:hAnsi="Calibri"/>
                <w:i/>
                <w:iCs/>
                <w:szCs w:val="22"/>
              </w:rPr>
            </w:pPr>
          </w:p>
          <w:p w14:paraId="729D885A" w14:textId="77777777" w:rsidR="001E46AB" w:rsidRDefault="001E46AB" w:rsidP="001E46AB">
            <w:pPr>
              <w:jc w:val="both"/>
              <w:rPr>
                <w:rFonts w:ascii="Calibri" w:hAnsi="Calibri"/>
                <w:i/>
                <w:iCs/>
                <w:szCs w:val="22"/>
              </w:rPr>
            </w:pPr>
            <w:r>
              <w:rPr>
                <w:rFonts w:ascii="Calibri" w:hAnsi="Calibri"/>
                <w:i/>
                <w:iCs/>
                <w:szCs w:val="22"/>
              </w:rPr>
              <w:t>In the conservation areas there will be a presumption in favour of the conservation and enhancement of elements that make a positive contribution to the character or appearance of the conservation area.</w:t>
            </w:r>
          </w:p>
          <w:p w14:paraId="2084CE1F" w14:textId="77777777" w:rsidR="001E46AB" w:rsidRDefault="001E46AB" w:rsidP="001E46AB">
            <w:pPr>
              <w:jc w:val="both"/>
              <w:rPr>
                <w:rFonts w:ascii="Calibri" w:hAnsi="Calibri"/>
                <w:i/>
                <w:iCs/>
                <w:szCs w:val="22"/>
              </w:rPr>
            </w:pPr>
          </w:p>
          <w:p w14:paraId="21E4449E" w14:textId="77777777" w:rsidR="001E46AB" w:rsidRDefault="001E46AB" w:rsidP="001E46AB">
            <w:pPr>
              <w:jc w:val="both"/>
              <w:rPr>
                <w:rFonts w:ascii="Calibri" w:hAnsi="Calibri"/>
                <w:i/>
                <w:iCs/>
                <w:szCs w:val="22"/>
              </w:rPr>
            </w:pPr>
            <w:r>
              <w:rPr>
                <w:rFonts w:ascii="Calibri" w:hAnsi="Calibri"/>
                <w:i/>
                <w:iCs/>
                <w:szCs w:val="22"/>
              </w:rPr>
              <w:t>2: LISTED BUILDINGS AND OTHER BUILDINGS OF SIGNIFICANT HERITAGE INTEREST</w:t>
            </w:r>
          </w:p>
          <w:p w14:paraId="4D293492" w14:textId="77777777" w:rsidR="001E46AB" w:rsidRDefault="001E46AB" w:rsidP="001E46AB">
            <w:pPr>
              <w:jc w:val="both"/>
              <w:rPr>
                <w:rFonts w:ascii="Calibri" w:hAnsi="Calibri"/>
                <w:i/>
                <w:iCs/>
                <w:szCs w:val="22"/>
              </w:rPr>
            </w:pPr>
          </w:p>
          <w:p w14:paraId="40D29058" w14:textId="77777777" w:rsidR="001E46AB" w:rsidRDefault="001E46AB" w:rsidP="001E46AB">
            <w:pPr>
              <w:jc w:val="both"/>
              <w:rPr>
                <w:rFonts w:ascii="Calibri" w:hAnsi="Calibri"/>
                <w:i/>
                <w:iCs/>
                <w:szCs w:val="22"/>
              </w:rPr>
            </w:pPr>
            <w:r>
              <w:rPr>
                <w:rFonts w:ascii="Calibri" w:hAnsi="Calibr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41A16560" w14:textId="77777777" w:rsidR="00F72B4B" w:rsidRDefault="00F72B4B" w:rsidP="001E46AB">
            <w:pPr>
              <w:jc w:val="both"/>
              <w:rPr>
                <w:rFonts w:ascii="Calibri" w:hAnsi="Calibri"/>
                <w:i/>
                <w:iCs/>
                <w:szCs w:val="22"/>
              </w:rPr>
            </w:pPr>
          </w:p>
          <w:p w14:paraId="2785C810" w14:textId="20784B3A" w:rsidR="009E32C3" w:rsidRPr="00F72B4B" w:rsidRDefault="00F72B4B" w:rsidP="001E46AB">
            <w:pPr>
              <w:jc w:val="both"/>
              <w:rPr>
                <w:rFonts w:ascii="Calibri" w:hAnsi="Calibri"/>
                <w:szCs w:val="22"/>
              </w:rPr>
            </w:pPr>
            <w:r w:rsidRPr="00F72B4B">
              <w:rPr>
                <w:rFonts w:ascii="Calibri" w:hAnsi="Calibri"/>
                <w:szCs w:val="22"/>
              </w:rPr>
              <w:t>The proposed development would comprise the removal of the exi</w:t>
            </w:r>
            <w:r w:rsidR="00097660">
              <w:rPr>
                <w:rFonts w:ascii="Calibri" w:hAnsi="Calibri"/>
                <w:szCs w:val="22"/>
              </w:rPr>
              <w:t>s</w:t>
            </w:r>
            <w:r w:rsidRPr="00F72B4B">
              <w:rPr>
                <w:rFonts w:ascii="Calibri" w:hAnsi="Calibri"/>
                <w:szCs w:val="22"/>
              </w:rPr>
              <w:t>ting uPVC windows and rear patio doors and their replacement with more traditional timber sash windows. Although, during the sit</w:t>
            </w:r>
            <w:r w:rsidR="00097660">
              <w:rPr>
                <w:rFonts w:ascii="Calibri" w:hAnsi="Calibri"/>
                <w:szCs w:val="22"/>
              </w:rPr>
              <w:t>e</w:t>
            </w:r>
            <w:r w:rsidRPr="00F72B4B">
              <w:rPr>
                <w:rFonts w:ascii="Calibri" w:hAnsi="Calibri"/>
                <w:szCs w:val="22"/>
              </w:rPr>
              <w:t xml:space="preserve"> visit it was considered that the existing front elevation windows appeared to be timber framed as existing. </w:t>
            </w:r>
            <w:r>
              <w:rPr>
                <w:rFonts w:ascii="Calibri" w:hAnsi="Calibri"/>
                <w:szCs w:val="22"/>
              </w:rPr>
              <w:t>Given some of the windows as existing have been replaced with uPVC, without planning consent, the introduction of timber sash windows throughout would improve the appearance of the building and restore its inherent historic fabric.</w:t>
            </w:r>
            <w:r w:rsidR="00097660">
              <w:rPr>
                <w:rFonts w:ascii="Calibri" w:hAnsi="Calibri"/>
                <w:szCs w:val="22"/>
              </w:rPr>
              <w:t xml:space="preserve"> It is therefore considered thar the proposed development will assist in preserving</w:t>
            </w:r>
            <w:r w:rsidR="00330CB7">
              <w:rPr>
                <w:rFonts w:ascii="Calibri" w:hAnsi="Calibri"/>
                <w:szCs w:val="22"/>
              </w:rPr>
              <w:t xml:space="preserve"> and enhancing</w:t>
            </w:r>
            <w:r w:rsidR="00097660">
              <w:rPr>
                <w:rFonts w:ascii="Calibri" w:hAnsi="Calibri"/>
                <w:szCs w:val="22"/>
              </w:rPr>
              <w:t xml:space="preserve"> the character of the listed building and subsequently the character of the wider conservation area. </w:t>
            </w:r>
          </w:p>
          <w:p w14:paraId="349F872A" w14:textId="77777777" w:rsidR="009E32C3" w:rsidRDefault="009E32C3" w:rsidP="001E46AB">
            <w:pPr>
              <w:jc w:val="both"/>
              <w:rPr>
                <w:rFonts w:ascii="Calibri" w:hAnsi="Calibri"/>
                <w:i/>
                <w:iCs/>
                <w:szCs w:val="22"/>
              </w:rPr>
            </w:pPr>
          </w:p>
          <w:p w14:paraId="17F671B3" w14:textId="7D33B596" w:rsidR="009E32C3" w:rsidRPr="009E32C3" w:rsidRDefault="009E32C3" w:rsidP="001E46AB">
            <w:pPr>
              <w:jc w:val="both"/>
              <w:rPr>
                <w:rFonts w:ascii="Calibri" w:hAnsi="Calibri"/>
                <w:bCs/>
              </w:rPr>
            </w:pPr>
            <w:r>
              <w:rPr>
                <w:rFonts w:ascii="Calibri" w:hAnsi="Calibri"/>
                <w:bCs/>
              </w:rPr>
              <w:t xml:space="preserve">In this respect, taking account of the above matters, the proposed development is considered to be in compliance with Key Statement EN5 (Heritage Assets), Policy DME4 (Protecting Heritage Assets) of the Ribble Valley Core Strategy and </w:t>
            </w:r>
            <w:r w:rsidR="00B336DA">
              <w:rPr>
                <w:rFonts w:ascii="Calibri" w:hAnsi="Calibri"/>
                <w:bCs/>
              </w:rPr>
              <w:t>guidance within the</w:t>
            </w:r>
            <w:r>
              <w:rPr>
                <w:rFonts w:ascii="Calibri" w:hAnsi="Calibri"/>
                <w:bCs/>
              </w:rPr>
              <w:t xml:space="preserve"> National Planning Policy Framework.  </w:t>
            </w:r>
          </w:p>
          <w:p w14:paraId="3DF64239" w14:textId="1251C46D" w:rsidR="001E46AB" w:rsidRDefault="001E46AB" w:rsidP="00440CB6">
            <w:pPr>
              <w:pStyle w:val="Header"/>
              <w:tabs>
                <w:tab w:val="clear" w:pos="4153"/>
                <w:tab w:val="clear" w:pos="8306"/>
              </w:tabs>
              <w:jc w:val="both"/>
              <w:rPr>
                <w:rFonts w:ascii="Calibri" w:hAnsi="Calibri"/>
                <w:b/>
                <w:szCs w:val="22"/>
              </w:rPr>
            </w:pPr>
          </w:p>
        </w:tc>
      </w:tr>
      <w:tr w:rsidR="00C0704D" w:rsidRPr="00D2449B" w14:paraId="617768FF"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6573B28" w14:textId="3D860094" w:rsidR="00065833" w:rsidRDefault="008A3D9E" w:rsidP="00406EBD">
            <w:pPr>
              <w:contextualSpacing/>
              <w:rPr>
                <w:rFonts w:ascii="Calibri" w:hAnsi="Calibri"/>
                <w:szCs w:val="22"/>
              </w:rPr>
            </w:pPr>
            <w:r>
              <w:rPr>
                <w:rFonts w:ascii="Calibri" w:hAnsi="Calibri"/>
                <w:szCs w:val="22"/>
              </w:rPr>
              <w:t xml:space="preserve">Given the nature of the proposal, it is not considered that there would be any adverse impact on residential amenity as a result. </w:t>
            </w:r>
          </w:p>
          <w:p w14:paraId="0DB485A3" w14:textId="1C944E65" w:rsidR="00516B08" w:rsidRPr="00C0704D" w:rsidRDefault="00516B08" w:rsidP="00406EBD">
            <w:pPr>
              <w:contextualSpacing/>
              <w:rPr>
                <w:rFonts w:ascii="Calibri" w:hAnsi="Calibri"/>
                <w:szCs w:val="22"/>
              </w:rPr>
            </w:pPr>
          </w:p>
        </w:tc>
      </w:tr>
      <w:tr w:rsidR="00C0704D" w:rsidRPr="00D2449B" w14:paraId="0A9D02B4"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16B0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16B08">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D92"/>
    <w:multiLevelType w:val="hybridMultilevel"/>
    <w:tmpl w:val="0DBE90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1"/>
  </w:num>
  <w:num w:numId="3" w16cid:durableId="346952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97660"/>
    <w:rsid w:val="000A6867"/>
    <w:rsid w:val="000B5CB5"/>
    <w:rsid w:val="00130035"/>
    <w:rsid w:val="001D4F7A"/>
    <w:rsid w:val="001E46AB"/>
    <w:rsid w:val="00250879"/>
    <w:rsid w:val="00282E3A"/>
    <w:rsid w:val="0029334A"/>
    <w:rsid w:val="002954E5"/>
    <w:rsid w:val="00295A61"/>
    <w:rsid w:val="002A01CF"/>
    <w:rsid w:val="002C6277"/>
    <w:rsid w:val="002F2580"/>
    <w:rsid w:val="00321B6E"/>
    <w:rsid w:val="00330CB7"/>
    <w:rsid w:val="00375556"/>
    <w:rsid w:val="00406EBD"/>
    <w:rsid w:val="00440CB6"/>
    <w:rsid w:val="0046548C"/>
    <w:rsid w:val="004947BB"/>
    <w:rsid w:val="00497407"/>
    <w:rsid w:val="004A5EA9"/>
    <w:rsid w:val="004C2434"/>
    <w:rsid w:val="004F0649"/>
    <w:rsid w:val="00510FA2"/>
    <w:rsid w:val="00516B08"/>
    <w:rsid w:val="00556ECD"/>
    <w:rsid w:val="005E1C6C"/>
    <w:rsid w:val="005E65DF"/>
    <w:rsid w:val="00692B60"/>
    <w:rsid w:val="00696B04"/>
    <w:rsid w:val="006A71AD"/>
    <w:rsid w:val="006C2BFA"/>
    <w:rsid w:val="006D4211"/>
    <w:rsid w:val="006F6849"/>
    <w:rsid w:val="0070054B"/>
    <w:rsid w:val="00761D2C"/>
    <w:rsid w:val="00773A66"/>
    <w:rsid w:val="00776AE2"/>
    <w:rsid w:val="007C791C"/>
    <w:rsid w:val="007D0CEC"/>
    <w:rsid w:val="007D7DF4"/>
    <w:rsid w:val="007E0D23"/>
    <w:rsid w:val="007F16D6"/>
    <w:rsid w:val="00811771"/>
    <w:rsid w:val="00824DB6"/>
    <w:rsid w:val="00837F4F"/>
    <w:rsid w:val="008542DE"/>
    <w:rsid w:val="00877C8F"/>
    <w:rsid w:val="008A28C8"/>
    <w:rsid w:val="008A3D9E"/>
    <w:rsid w:val="009E32C3"/>
    <w:rsid w:val="009F4443"/>
    <w:rsid w:val="00A42E82"/>
    <w:rsid w:val="00A579BB"/>
    <w:rsid w:val="00A63D55"/>
    <w:rsid w:val="00A95D89"/>
    <w:rsid w:val="00B336DA"/>
    <w:rsid w:val="00B93EB5"/>
    <w:rsid w:val="00BC6E2A"/>
    <w:rsid w:val="00BD3F03"/>
    <w:rsid w:val="00C0704D"/>
    <w:rsid w:val="00C25722"/>
    <w:rsid w:val="00C618DB"/>
    <w:rsid w:val="00CC6036"/>
    <w:rsid w:val="00D11007"/>
    <w:rsid w:val="00D17EB1"/>
    <w:rsid w:val="00D2449B"/>
    <w:rsid w:val="00D54E67"/>
    <w:rsid w:val="00DD3288"/>
    <w:rsid w:val="00DD62F6"/>
    <w:rsid w:val="00E46243"/>
    <w:rsid w:val="00E66534"/>
    <w:rsid w:val="00E72F6C"/>
    <w:rsid w:val="00EA09F9"/>
    <w:rsid w:val="00EC23C7"/>
    <w:rsid w:val="00ED00B7"/>
    <w:rsid w:val="00EF44E6"/>
    <w:rsid w:val="00F056A7"/>
    <w:rsid w:val="00F62535"/>
    <w:rsid w:val="00F72B4B"/>
    <w:rsid w:val="00FA41F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464739">
      <w:bodyDiv w:val="1"/>
      <w:marLeft w:val="0"/>
      <w:marRight w:val="0"/>
      <w:marTop w:val="0"/>
      <w:marBottom w:val="0"/>
      <w:divBdr>
        <w:top w:val="none" w:sz="0" w:space="0" w:color="auto"/>
        <w:left w:val="none" w:sz="0" w:space="0" w:color="auto"/>
        <w:bottom w:val="none" w:sz="0" w:space="0" w:color="auto"/>
        <w:right w:val="none" w:sz="0" w:space="0" w:color="auto"/>
      </w:divBdr>
    </w:div>
    <w:div w:id="664281379">
      <w:bodyDiv w:val="1"/>
      <w:marLeft w:val="0"/>
      <w:marRight w:val="0"/>
      <w:marTop w:val="0"/>
      <w:marBottom w:val="0"/>
      <w:divBdr>
        <w:top w:val="none" w:sz="0" w:space="0" w:color="auto"/>
        <w:left w:val="none" w:sz="0" w:space="0" w:color="auto"/>
        <w:bottom w:val="none" w:sz="0" w:space="0" w:color="auto"/>
        <w:right w:val="none" w:sz="0" w:space="0" w:color="auto"/>
      </w:divBdr>
    </w:div>
    <w:div w:id="856188225">
      <w:bodyDiv w:val="1"/>
      <w:marLeft w:val="0"/>
      <w:marRight w:val="0"/>
      <w:marTop w:val="0"/>
      <w:marBottom w:val="0"/>
      <w:divBdr>
        <w:top w:val="none" w:sz="0" w:space="0" w:color="auto"/>
        <w:left w:val="none" w:sz="0" w:space="0" w:color="auto"/>
        <w:bottom w:val="none" w:sz="0" w:space="0" w:color="auto"/>
        <w:right w:val="none" w:sz="0" w:space="0" w:color="auto"/>
      </w:divBdr>
    </w:div>
    <w:div w:id="949120641">
      <w:bodyDiv w:val="1"/>
      <w:marLeft w:val="0"/>
      <w:marRight w:val="0"/>
      <w:marTop w:val="0"/>
      <w:marBottom w:val="0"/>
      <w:divBdr>
        <w:top w:val="none" w:sz="0" w:space="0" w:color="auto"/>
        <w:left w:val="none" w:sz="0" w:space="0" w:color="auto"/>
        <w:bottom w:val="none" w:sz="0" w:space="0" w:color="auto"/>
        <w:right w:val="none" w:sz="0" w:space="0" w:color="auto"/>
      </w:divBdr>
    </w:div>
    <w:div w:id="1368138842">
      <w:bodyDiv w:val="1"/>
      <w:marLeft w:val="0"/>
      <w:marRight w:val="0"/>
      <w:marTop w:val="0"/>
      <w:marBottom w:val="0"/>
      <w:divBdr>
        <w:top w:val="none" w:sz="0" w:space="0" w:color="auto"/>
        <w:left w:val="none" w:sz="0" w:space="0" w:color="auto"/>
        <w:bottom w:val="none" w:sz="0" w:space="0" w:color="auto"/>
        <w:right w:val="none" w:sz="0" w:space="0" w:color="auto"/>
      </w:divBdr>
    </w:div>
    <w:div w:id="1730499867">
      <w:bodyDiv w:val="1"/>
      <w:marLeft w:val="0"/>
      <w:marRight w:val="0"/>
      <w:marTop w:val="0"/>
      <w:marBottom w:val="0"/>
      <w:divBdr>
        <w:top w:val="none" w:sz="0" w:space="0" w:color="auto"/>
        <w:left w:val="none" w:sz="0" w:space="0" w:color="auto"/>
        <w:bottom w:val="none" w:sz="0" w:space="0" w:color="auto"/>
        <w:right w:val="none" w:sz="0" w:space="0" w:color="auto"/>
      </w:divBdr>
    </w:div>
    <w:div w:id="20664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2024-04-03T11:07:00Z</cp:lastPrinted>
  <dcterms:created xsi:type="dcterms:W3CDTF">2024-04-03T11:07:00Z</dcterms:created>
  <dcterms:modified xsi:type="dcterms:W3CDTF">2024-04-03T11:07:00Z</dcterms:modified>
</cp:coreProperties>
</file>