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2499D2C" w:rsidR="00837F4F" w:rsidRPr="00D2449B" w:rsidRDefault="00D84147" w:rsidP="00D2449B">
            <w:pPr>
              <w:jc w:val="center"/>
              <w:rPr>
                <w:rFonts w:ascii="Calibri" w:hAnsi="Calibri"/>
                <w:b/>
                <w:szCs w:val="22"/>
              </w:rPr>
            </w:pPr>
            <w:r>
              <w:rPr>
                <w:rFonts w:ascii="Calibri" w:hAnsi="Calibri"/>
                <w:b/>
                <w:szCs w:val="22"/>
              </w:rPr>
              <w:t>05.03.24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2A4A4A1" w:rsidR="00837F4F" w:rsidRPr="00D2449B" w:rsidRDefault="0003584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8E7F798" w:rsidR="00837F4F" w:rsidRPr="00D2449B" w:rsidRDefault="0003584C" w:rsidP="00D2449B">
            <w:pPr>
              <w:jc w:val="center"/>
              <w:rPr>
                <w:rFonts w:ascii="Calibri" w:hAnsi="Calibri"/>
                <w:b/>
                <w:szCs w:val="22"/>
              </w:rPr>
            </w:pPr>
            <w:r>
              <w:rPr>
                <w:rFonts w:ascii="Calibri" w:hAnsi="Calibri"/>
                <w:b/>
                <w:szCs w:val="22"/>
              </w:rPr>
              <w:t>8/3/24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B0514F"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24</w:t>
            </w:r>
            <w:r w:rsidR="00C0704D" w:rsidRPr="0069545C">
              <w:rPr>
                <w:rFonts w:ascii="Calibri" w:hAnsi="Calibri"/>
                <w:szCs w:val="22"/>
              </w:rPr>
              <w:t>/</w:t>
            </w:r>
            <w:r w:rsidR="0069545C" w:rsidRPr="0069545C">
              <w:rPr>
                <w:rFonts w:ascii="Calibri" w:hAnsi="Calibri"/>
                <w:szCs w:val="22"/>
              </w:rPr>
              <w:t>0071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0A468E6" w:rsidR="00824DB6" w:rsidRPr="00C0704D" w:rsidRDefault="0051621E" w:rsidP="002C6277">
            <w:pPr>
              <w:rPr>
                <w:rFonts w:ascii="Calibri" w:hAnsi="Calibri"/>
                <w:szCs w:val="22"/>
              </w:rPr>
            </w:pPr>
            <w:r w:rsidRPr="0069545C">
              <w:rPr>
                <w:rFonts w:ascii="Calibri" w:hAnsi="Calibri"/>
                <w:szCs w:val="22"/>
              </w:rPr>
              <w:t>07/02/24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BEC1B5" w:rsidR="00824DB6" w:rsidRPr="0069545C" w:rsidRDefault="0069545C" w:rsidP="002C6277">
            <w:pPr>
              <w:rPr>
                <w:rFonts w:ascii="Calibri" w:hAnsi="Calibri"/>
                <w:szCs w:val="22"/>
              </w:rPr>
            </w:pPr>
            <w:r w:rsidRPr="0069545C">
              <w:rPr>
                <w:rFonts w:ascii="Calibri" w:hAnsi="Calibri"/>
                <w:szCs w:val="22"/>
              </w:rPr>
              <w:t>07</w:t>
            </w:r>
            <w:r w:rsidR="00824DB6" w:rsidRPr="0069545C">
              <w:rPr>
                <w:rFonts w:ascii="Calibri" w:hAnsi="Calibri"/>
                <w:szCs w:val="22"/>
              </w:rPr>
              <w:t>/</w:t>
            </w:r>
            <w:r w:rsidRPr="0069545C">
              <w:rPr>
                <w:rFonts w:ascii="Calibri" w:hAnsi="Calibri"/>
                <w:szCs w:val="22"/>
              </w:rPr>
              <w:t>02</w:t>
            </w:r>
            <w:r w:rsidR="00824DB6" w:rsidRPr="0069545C">
              <w:rPr>
                <w:rFonts w:ascii="Calibri" w:hAnsi="Calibri"/>
                <w:szCs w:val="22"/>
              </w:rPr>
              <w:t>/</w:t>
            </w:r>
            <w:r w:rsidRPr="0069545C">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726035" w:rsidR="004A5EA9" w:rsidRPr="002C6277" w:rsidRDefault="0069545C" w:rsidP="0069545C">
            <w:pPr>
              <w:jc w:val="both"/>
              <w:rPr>
                <w:rFonts w:ascii="Calibri" w:hAnsi="Calibri"/>
                <w:szCs w:val="22"/>
              </w:rPr>
            </w:pPr>
            <w:r w:rsidRPr="0069545C">
              <w:rPr>
                <w:rFonts w:ascii="Calibri" w:hAnsi="Calibri"/>
                <w:szCs w:val="22"/>
              </w:rPr>
              <w:t>Proposed change of use from Class E (Hairdressers) to 2 residential dwellings (C3).</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C3F63A5" w:rsidR="002A01CF" w:rsidRPr="002C6277" w:rsidRDefault="0069545C" w:rsidP="00A42E82">
            <w:pPr>
              <w:rPr>
                <w:rFonts w:ascii="Calibri" w:hAnsi="Calibri"/>
                <w:szCs w:val="22"/>
              </w:rPr>
            </w:pPr>
            <w:r w:rsidRPr="0069545C">
              <w:rPr>
                <w:rFonts w:ascii="Calibri" w:hAnsi="Calibri"/>
                <w:szCs w:val="22"/>
              </w:rPr>
              <w:t>34 York Street Clitheroe BB7 2DL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9377A6" w14:textId="729EA4E7" w:rsidR="002A01CF" w:rsidRPr="003E4F9F" w:rsidRDefault="003E4F9F" w:rsidP="003E4F9F">
            <w:pPr>
              <w:jc w:val="both"/>
              <w:rPr>
                <w:rFonts w:ascii="Calibri" w:hAnsi="Calibri"/>
                <w:bCs/>
                <w:szCs w:val="22"/>
              </w:rPr>
            </w:pPr>
            <w:r w:rsidRPr="003E4F9F">
              <w:rPr>
                <w:rFonts w:ascii="Calibri" w:hAnsi="Calibri"/>
                <w:bCs/>
                <w:szCs w:val="22"/>
              </w:rPr>
              <w:t>Clithero</w:t>
            </w:r>
            <w:r>
              <w:rPr>
                <w:rFonts w:ascii="Calibri" w:hAnsi="Calibri"/>
                <w:bCs/>
                <w:szCs w:val="22"/>
              </w:rPr>
              <w:t xml:space="preserve">e </w:t>
            </w:r>
            <w:r w:rsidRPr="003E4F9F">
              <w:rPr>
                <w:rFonts w:ascii="Calibri" w:hAnsi="Calibri"/>
                <w:bCs/>
                <w:szCs w:val="22"/>
              </w:rPr>
              <w:t>Town Council have raised no objection to the proposal offering the following observations:</w:t>
            </w:r>
          </w:p>
          <w:p w14:paraId="46B38465" w14:textId="77777777" w:rsidR="003E4F9F" w:rsidRPr="003E4F9F" w:rsidRDefault="003E4F9F" w:rsidP="003E4F9F">
            <w:pPr>
              <w:jc w:val="both"/>
              <w:rPr>
                <w:rFonts w:ascii="Calibri" w:hAnsi="Calibri"/>
                <w:bCs/>
                <w:szCs w:val="22"/>
              </w:rPr>
            </w:pPr>
          </w:p>
          <w:p w14:paraId="0255B066" w14:textId="77777777" w:rsidR="003E4F9F" w:rsidRDefault="003E4F9F" w:rsidP="003E4F9F">
            <w:pPr>
              <w:jc w:val="both"/>
              <w:rPr>
                <w:rFonts w:ascii="Calibri" w:hAnsi="Calibri"/>
                <w:bCs/>
                <w:i/>
                <w:iCs/>
                <w:szCs w:val="22"/>
              </w:rPr>
            </w:pPr>
            <w:r w:rsidRPr="003E4F9F">
              <w:rPr>
                <w:rFonts w:ascii="Calibri" w:hAnsi="Calibri"/>
                <w:bCs/>
                <w:i/>
                <w:iCs/>
                <w:szCs w:val="22"/>
              </w:rPr>
              <w:t>Clitheroe Town Council has no objections to this application but would like to stress that the works carried out should be sympathetic to the preservation of the conservation area and in accordance with the townscape.</w:t>
            </w:r>
          </w:p>
          <w:p w14:paraId="3E1A1B2C" w14:textId="52BE0D28" w:rsidR="003E4F9F" w:rsidRPr="003E4F9F" w:rsidRDefault="003E4F9F" w:rsidP="003E4F9F">
            <w:pPr>
              <w:jc w:val="both"/>
              <w:rPr>
                <w:rFonts w:ascii="Calibri" w:hAnsi="Calibri"/>
                <w:b/>
                <w:i/>
                <w:iCs/>
                <w:szCs w:val="22"/>
              </w:rPr>
            </w:pP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90B9" w14:textId="77777777" w:rsidR="00D76E8A" w:rsidRDefault="00D76E8A" w:rsidP="003E4F9F">
            <w:pPr>
              <w:jc w:val="both"/>
              <w:rPr>
                <w:rFonts w:ascii="Calibri" w:hAnsi="Calibri"/>
                <w:szCs w:val="22"/>
              </w:rPr>
            </w:pPr>
            <w:r>
              <w:rPr>
                <w:rFonts w:ascii="Calibri" w:hAnsi="Calibri"/>
                <w:szCs w:val="22"/>
              </w:rPr>
              <w:t>The Local Highways Authority have raised no objection to the proposal offering the following observations:</w:t>
            </w:r>
          </w:p>
          <w:p w14:paraId="64E9979E" w14:textId="77777777" w:rsidR="00D76E8A" w:rsidRDefault="00D76E8A" w:rsidP="003E4F9F">
            <w:pPr>
              <w:jc w:val="both"/>
              <w:rPr>
                <w:rFonts w:ascii="Calibri" w:hAnsi="Calibri"/>
                <w:szCs w:val="22"/>
              </w:rPr>
            </w:pPr>
          </w:p>
          <w:p w14:paraId="4FD05B8A" w14:textId="53D8F6EE" w:rsidR="00CA7986" w:rsidRPr="00CA7986" w:rsidRDefault="00CA7986" w:rsidP="003E4F9F">
            <w:pPr>
              <w:jc w:val="both"/>
              <w:rPr>
                <w:rFonts w:ascii="Calibri" w:hAnsi="Calibri"/>
                <w:i/>
                <w:iCs/>
                <w:szCs w:val="22"/>
              </w:rPr>
            </w:pPr>
            <w:r w:rsidRPr="00CA7986">
              <w:rPr>
                <w:rFonts w:ascii="Calibri" w:hAnsi="Calibri"/>
                <w:i/>
                <w:iCs/>
                <w:szCs w:val="22"/>
              </w:rPr>
              <w:t>The submitted documents and plans have been reviewed and the following comments are made.  There is no objection to the proposed change of use as it is less usage than the existing class use.</w:t>
            </w:r>
            <w:r w:rsidR="003E4F9F">
              <w:rPr>
                <w:rFonts w:ascii="Calibri" w:hAnsi="Calibri"/>
                <w:i/>
                <w:iCs/>
                <w:szCs w:val="22"/>
              </w:rPr>
              <w:t xml:space="preserve">  </w:t>
            </w:r>
            <w:r w:rsidRPr="00CA7986">
              <w:rPr>
                <w:rFonts w:ascii="Calibri" w:hAnsi="Calibri"/>
                <w:i/>
                <w:iCs/>
                <w:szCs w:val="22"/>
              </w:rPr>
              <w:t xml:space="preserve">As the proposal is near CRGS 6th Form, the timing of the works, to avoid school drop-off and collection, is crucial to maintain safety and to minimise disruption to the highway network. </w:t>
            </w:r>
          </w:p>
          <w:p w14:paraId="50DDDCDD" w14:textId="77777777" w:rsidR="00CA7986" w:rsidRPr="00CA7986" w:rsidRDefault="00CA7986" w:rsidP="003E4F9F">
            <w:pPr>
              <w:jc w:val="both"/>
              <w:rPr>
                <w:rFonts w:ascii="Calibri" w:hAnsi="Calibri"/>
                <w:i/>
                <w:iCs/>
                <w:szCs w:val="22"/>
              </w:rPr>
            </w:pPr>
            <w:r w:rsidRPr="00CA7986">
              <w:rPr>
                <w:rFonts w:ascii="Calibri" w:hAnsi="Calibri"/>
                <w:i/>
                <w:iCs/>
                <w:szCs w:val="22"/>
              </w:rPr>
              <w:t xml:space="preserve"> </w:t>
            </w:r>
          </w:p>
          <w:p w14:paraId="3D10C6C8" w14:textId="4DFBD316" w:rsidR="00D76E8A" w:rsidRPr="00CA7986" w:rsidRDefault="00CA7986" w:rsidP="003E4F9F">
            <w:pPr>
              <w:jc w:val="both"/>
              <w:rPr>
                <w:rFonts w:ascii="Calibri" w:hAnsi="Calibri"/>
                <w:i/>
                <w:iCs/>
                <w:szCs w:val="22"/>
              </w:rPr>
            </w:pPr>
            <w:r w:rsidRPr="00CA7986">
              <w:rPr>
                <w:rFonts w:ascii="Calibri" w:hAnsi="Calibri"/>
                <w:i/>
                <w:iCs/>
                <w:szCs w:val="22"/>
              </w:rPr>
              <w:t>The following condition is requested should the application be approved.</w:t>
            </w:r>
          </w:p>
          <w:p w14:paraId="3EFB25B7" w14:textId="77777777" w:rsidR="00D76E8A" w:rsidRPr="00CA7986" w:rsidRDefault="00D76E8A" w:rsidP="003E4F9F">
            <w:pPr>
              <w:jc w:val="both"/>
              <w:rPr>
                <w:rFonts w:ascii="Calibri" w:hAnsi="Calibri"/>
                <w:i/>
                <w:iCs/>
                <w:szCs w:val="22"/>
              </w:rPr>
            </w:pPr>
          </w:p>
          <w:p w14:paraId="7C326998" w14:textId="54BCD88B" w:rsidR="00CA7986" w:rsidRPr="00CA7986" w:rsidRDefault="00CA7986" w:rsidP="003E4F9F">
            <w:pPr>
              <w:jc w:val="both"/>
              <w:rPr>
                <w:rFonts w:ascii="Calibri" w:hAnsi="Calibri"/>
                <w:i/>
                <w:iCs/>
                <w:szCs w:val="22"/>
              </w:rPr>
            </w:pPr>
            <w:r w:rsidRPr="00CA7986">
              <w:rPr>
                <w:rFonts w:ascii="Calibri" w:hAnsi="Calibri"/>
                <w:i/>
                <w:iCs/>
                <w:szCs w:val="22"/>
              </w:rPr>
              <w:t xml:space="preserve">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 </w:t>
            </w:r>
          </w:p>
          <w:p w14:paraId="084C647D" w14:textId="77777777" w:rsidR="00CA7986" w:rsidRPr="00CA7986" w:rsidRDefault="00CA7986" w:rsidP="00CA7986">
            <w:pPr>
              <w:rPr>
                <w:rFonts w:asciiTheme="minorHAnsi" w:hAnsiTheme="minorHAnsi" w:cstheme="minorHAnsi"/>
                <w:i/>
                <w:iCs/>
                <w:szCs w:val="22"/>
              </w:rPr>
            </w:pPr>
          </w:p>
          <w:p w14:paraId="22F8DC40"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parking of vehicles of site operatives and visitors </w:t>
            </w:r>
          </w:p>
          <w:p w14:paraId="2A773231"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loading and unloading of plant and materials </w:t>
            </w:r>
          </w:p>
          <w:p w14:paraId="1B9CD7AA"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storage of plant and materials used in constructing the development </w:t>
            </w:r>
          </w:p>
          <w:p w14:paraId="0FD5F08B"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erection and maintenance of security hoarding </w:t>
            </w:r>
          </w:p>
          <w:p w14:paraId="2402A086"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Wheel washing facilities </w:t>
            </w:r>
          </w:p>
          <w:p w14:paraId="3F785DFB" w14:textId="77777777" w:rsidR="00CA7986" w:rsidRPr="00CA7986" w:rsidRDefault="00CA7986" w:rsidP="00D74711">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Measures to control the emission of dust and dirt during construction</w:t>
            </w:r>
          </w:p>
          <w:p w14:paraId="21AC90DF" w14:textId="77777777" w:rsidR="003E4F9F" w:rsidRPr="003E4F9F" w:rsidRDefault="00CA7986" w:rsidP="003E4F9F">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rPr>
              <w:t>A scheme for recycling/disposing of waste resulting from demolition and construction works</w:t>
            </w:r>
          </w:p>
          <w:p w14:paraId="0B7C0066" w14:textId="78D515A7" w:rsidR="00CA7986" w:rsidRPr="003E4F9F" w:rsidRDefault="00CA7986" w:rsidP="003E4F9F">
            <w:pPr>
              <w:pStyle w:val="ListParagraph"/>
              <w:numPr>
                <w:ilvl w:val="0"/>
                <w:numId w:val="11"/>
              </w:numPr>
              <w:rPr>
                <w:rFonts w:asciiTheme="minorHAnsi" w:hAnsiTheme="minorHAnsi" w:cstheme="minorHAnsi"/>
                <w:i/>
                <w:iCs/>
                <w:szCs w:val="22"/>
              </w:rPr>
            </w:pPr>
            <w:r w:rsidRPr="003E4F9F">
              <w:rPr>
                <w:rFonts w:asciiTheme="minorHAnsi" w:hAnsiTheme="minorHAnsi" w:cstheme="minorHAnsi"/>
                <w:i/>
                <w:iCs/>
              </w:rPr>
              <w:t>Details of working hours</w:t>
            </w:r>
          </w:p>
          <w:p w14:paraId="377FD342" w14:textId="5B19E53B"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rPr>
              <w:t>Routing of delivery vehicles to/from site</w:t>
            </w:r>
          </w:p>
          <w:p w14:paraId="6149AC5C" w14:textId="7F8C7B64" w:rsidR="00CA7986" w:rsidRPr="00CA7986" w:rsidRDefault="00CA7986" w:rsidP="00CA7986">
            <w:pPr>
              <w:pStyle w:val="ListParagraph"/>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C7465F" w14:textId="77777777" w:rsidR="00C0704D" w:rsidRDefault="00C0704D" w:rsidP="00692B60">
            <w:pPr>
              <w:rPr>
                <w:rFonts w:ascii="Calibri" w:hAnsi="Calibri"/>
                <w:szCs w:val="22"/>
              </w:rPr>
            </w:pPr>
          </w:p>
          <w:p w14:paraId="3BCB0C08" w14:textId="5043CA26" w:rsidR="00CA7986" w:rsidRDefault="003E4F9F" w:rsidP="00692B60">
            <w:pPr>
              <w:rPr>
                <w:rFonts w:ascii="Calibri" w:hAnsi="Calibri"/>
                <w:szCs w:val="22"/>
              </w:rPr>
            </w:pPr>
            <w:r>
              <w:rPr>
                <w:rFonts w:ascii="Calibri" w:hAnsi="Calibri"/>
                <w:szCs w:val="22"/>
              </w:rPr>
              <w:lastRenderedPageBreak/>
              <w:t>Three letters of representation have been received offering the following observations:</w:t>
            </w:r>
          </w:p>
          <w:p w14:paraId="5951C974" w14:textId="77777777" w:rsidR="003E4F9F" w:rsidRDefault="003E4F9F" w:rsidP="00692B60">
            <w:pPr>
              <w:rPr>
                <w:rFonts w:ascii="Calibri" w:hAnsi="Calibri"/>
                <w:szCs w:val="22"/>
              </w:rPr>
            </w:pPr>
          </w:p>
          <w:p w14:paraId="37F95652" w14:textId="6C10A642" w:rsidR="003E4F9F" w:rsidRDefault="003E4F9F" w:rsidP="003E4F9F">
            <w:pPr>
              <w:pStyle w:val="ListParagraph"/>
              <w:numPr>
                <w:ilvl w:val="0"/>
                <w:numId w:val="12"/>
              </w:numPr>
              <w:rPr>
                <w:rFonts w:ascii="Calibri" w:hAnsi="Calibri"/>
                <w:szCs w:val="22"/>
              </w:rPr>
            </w:pPr>
            <w:r>
              <w:rPr>
                <w:rFonts w:ascii="Calibri" w:hAnsi="Calibri"/>
                <w:szCs w:val="22"/>
              </w:rPr>
              <w:t>Concerns over lack of parking provision</w:t>
            </w:r>
          </w:p>
          <w:p w14:paraId="512E3676" w14:textId="5B8E6B13" w:rsidR="003E4F9F" w:rsidRDefault="003E4F9F" w:rsidP="003E4F9F">
            <w:pPr>
              <w:pStyle w:val="ListParagraph"/>
              <w:numPr>
                <w:ilvl w:val="0"/>
                <w:numId w:val="12"/>
              </w:numPr>
              <w:rPr>
                <w:rFonts w:ascii="Calibri" w:hAnsi="Calibri"/>
                <w:szCs w:val="22"/>
              </w:rPr>
            </w:pPr>
            <w:r>
              <w:rPr>
                <w:rFonts w:ascii="Calibri" w:hAnsi="Calibri"/>
                <w:szCs w:val="22"/>
              </w:rPr>
              <w:t>Reduction in commercial properties on York Street</w:t>
            </w:r>
          </w:p>
          <w:p w14:paraId="0612B954" w14:textId="385E9F61" w:rsidR="0058040A" w:rsidRDefault="0058040A" w:rsidP="003E4F9F">
            <w:pPr>
              <w:pStyle w:val="ListParagraph"/>
              <w:numPr>
                <w:ilvl w:val="0"/>
                <w:numId w:val="12"/>
              </w:numPr>
              <w:rPr>
                <w:rFonts w:ascii="Calibri" w:hAnsi="Calibri"/>
                <w:szCs w:val="22"/>
              </w:rPr>
            </w:pPr>
            <w:r>
              <w:rPr>
                <w:rFonts w:ascii="Calibri" w:hAnsi="Calibri"/>
                <w:szCs w:val="22"/>
              </w:rPr>
              <w:t>No objection to the refurbishment and renovation of a neglected property</w:t>
            </w:r>
          </w:p>
          <w:p w14:paraId="24D72CA2" w14:textId="2BE06C82" w:rsidR="003E4F9F" w:rsidRDefault="003E4F9F" w:rsidP="003E4F9F">
            <w:pPr>
              <w:pStyle w:val="ListParagraph"/>
              <w:numPr>
                <w:ilvl w:val="0"/>
                <w:numId w:val="12"/>
              </w:numPr>
              <w:rPr>
                <w:rFonts w:ascii="Calibri" w:hAnsi="Calibri"/>
                <w:szCs w:val="22"/>
              </w:rPr>
            </w:pPr>
            <w:r>
              <w:rPr>
                <w:rFonts w:ascii="Calibri" w:hAnsi="Calibri"/>
                <w:szCs w:val="22"/>
              </w:rPr>
              <w:t>Proposal will exacerbate parking problems in the area</w:t>
            </w:r>
          </w:p>
          <w:p w14:paraId="04EB49CA" w14:textId="583BCA45" w:rsidR="003E4F9F" w:rsidRPr="003E4F9F" w:rsidRDefault="003E4F9F" w:rsidP="003E4F9F">
            <w:pPr>
              <w:pStyle w:val="ListParagraph"/>
              <w:numPr>
                <w:ilvl w:val="0"/>
                <w:numId w:val="12"/>
              </w:numPr>
              <w:rPr>
                <w:rFonts w:ascii="Calibri" w:hAnsi="Calibri"/>
                <w:szCs w:val="22"/>
              </w:rPr>
            </w:pPr>
            <w:r>
              <w:rPr>
                <w:rFonts w:ascii="Calibri" w:hAnsi="Calibri"/>
                <w:szCs w:val="22"/>
              </w:rPr>
              <w:t>Concerns in respect of the methodology and application(s) of internal works that may compromise the fabric of neighbouring properties and the fabric of the existing building</w:t>
            </w:r>
          </w:p>
          <w:p w14:paraId="581BB273" w14:textId="5F2013EE" w:rsidR="00CA7986" w:rsidRPr="00C0704D" w:rsidRDefault="00CA7986"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C968DA6" w14:textId="288CE997" w:rsidR="00F056A7" w:rsidRDefault="00F056A7" w:rsidP="008542DE">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624B830D" w14:textId="34AABC7D" w:rsidR="00F056A7" w:rsidRDefault="00F056A7" w:rsidP="00F056A7">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4246FCBE" w14:textId="13271ED0"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0C6E1CF2" w14:textId="1A50ABBC"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FF7F461" w:rsidR="0046548C" w:rsidRPr="00612AB3" w:rsidRDefault="00612AB3" w:rsidP="00C0704D">
            <w:pPr>
              <w:pStyle w:val="PLANNING"/>
              <w:rPr>
                <w:rFonts w:ascii="Calibri" w:hAnsi="Calibri"/>
                <w:szCs w:val="22"/>
              </w:rPr>
            </w:pPr>
            <w:r w:rsidRPr="00612AB3">
              <w:rPr>
                <w:rFonts w:ascii="Calibri" w:hAnsi="Calibri"/>
                <w:szCs w:val="22"/>
              </w:rPr>
              <w:t>No recent 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0C16298" w14:textId="142C1F46" w:rsidR="00C0704D" w:rsidRDefault="0019713D" w:rsidP="00B93EB5">
            <w:pPr>
              <w:pStyle w:val="Header"/>
              <w:tabs>
                <w:tab w:val="clear" w:pos="4153"/>
                <w:tab w:val="clear" w:pos="8306"/>
              </w:tabs>
              <w:contextualSpacing/>
              <w:jc w:val="both"/>
              <w:rPr>
                <w:rFonts w:ascii="Calibri" w:hAnsi="Calibri"/>
                <w:bCs/>
                <w:szCs w:val="22"/>
              </w:rPr>
            </w:pPr>
            <w:r w:rsidRPr="0019713D">
              <w:rPr>
                <w:rFonts w:ascii="Calibri" w:hAnsi="Calibri"/>
                <w:bCs/>
                <w:szCs w:val="22"/>
              </w:rPr>
              <w:t>The application relates to a building which forms part of a group Grade II Listed Buildings (34-38 York Street - List Entry 1164450)</w:t>
            </w:r>
            <w:r>
              <w:rPr>
                <w:rFonts w:ascii="Calibri" w:hAnsi="Calibri"/>
                <w:bCs/>
                <w:szCs w:val="22"/>
              </w:rPr>
              <w:t>.  The building is also located within the designated Clitheroe Conservation Area</w:t>
            </w:r>
            <w:r w:rsidR="001E2D62">
              <w:rPr>
                <w:rFonts w:ascii="Calibri" w:hAnsi="Calibri"/>
                <w:bCs/>
                <w:szCs w:val="22"/>
              </w:rPr>
              <w:t>, being within the defined settlement limits of Clitheroe located to the east of and outside of the defined ‘Main Centre Boundary’.</w:t>
            </w:r>
          </w:p>
          <w:p w14:paraId="7173B839" w14:textId="77777777" w:rsidR="001E2D62" w:rsidRDefault="001E2D62" w:rsidP="00B93EB5">
            <w:pPr>
              <w:pStyle w:val="Header"/>
              <w:tabs>
                <w:tab w:val="clear" w:pos="4153"/>
                <w:tab w:val="clear" w:pos="8306"/>
              </w:tabs>
              <w:contextualSpacing/>
              <w:jc w:val="both"/>
              <w:rPr>
                <w:rFonts w:ascii="Calibri" w:hAnsi="Calibri"/>
                <w:bCs/>
                <w:szCs w:val="22"/>
              </w:rPr>
            </w:pPr>
          </w:p>
          <w:p w14:paraId="6C3B7888" w14:textId="49D45D36" w:rsidR="001E2D62" w:rsidRDefault="00580869" w:rsidP="00B93EB5">
            <w:pPr>
              <w:pStyle w:val="Header"/>
              <w:tabs>
                <w:tab w:val="clear" w:pos="4153"/>
                <w:tab w:val="clear" w:pos="8306"/>
              </w:tabs>
              <w:contextualSpacing/>
              <w:jc w:val="both"/>
              <w:rPr>
                <w:rFonts w:ascii="Calibri" w:hAnsi="Calibri"/>
                <w:bCs/>
                <w:szCs w:val="22"/>
              </w:rPr>
            </w:pPr>
            <w:r>
              <w:rPr>
                <w:rFonts w:ascii="Calibri" w:hAnsi="Calibri"/>
                <w:bCs/>
                <w:szCs w:val="22"/>
              </w:rPr>
              <w:t>The area is largely residential in character save that for The Grand Theatre located to the south-west of the application site and a small number of various commercial uses both within and located outside of the fringe/extents of the defined Main Centre Boundary.</w:t>
            </w:r>
          </w:p>
          <w:p w14:paraId="62370E9F" w14:textId="0DD23507" w:rsidR="0019713D" w:rsidRPr="006C2BFA" w:rsidRDefault="0019713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2DCBE7B" w14:textId="19446700" w:rsidR="00C0704D" w:rsidRDefault="00324056" w:rsidP="002F2580">
            <w:pPr>
              <w:rPr>
                <w:rFonts w:ascii="Calibri" w:hAnsi="Calibri"/>
                <w:color w:val="FF0000"/>
                <w:szCs w:val="22"/>
              </w:rPr>
            </w:pPr>
            <w:r>
              <w:rPr>
                <w:rFonts w:ascii="Calibri" w:hAnsi="Calibri"/>
                <w:szCs w:val="22"/>
              </w:rPr>
              <w:lastRenderedPageBreak/>
              <w:t xml:space="preserve">The application seeks consent for the </w:t>
            </w:r>
            <w:r w:rsidR="00EE5131">
              <w:rPr>
                <w:rFonts w:ascii="Calibri" w:hAnsi="Calibri"/>
                <w:szCs w:val="22"/>
              </w:rPr>
              <w:t>change of use of the existing building to facilitate the creation of two residential apartments.</w:t>
            </w:r>
            <w:r w:rsidR="00794673">
              <w:rPr>
                <w:rFonts w:ascii="Calibri" w:hAnsi="Calibri"/>
                <w:szCs w:val="22"/>
              </w:rPr>
              <w:t xml:space="preserve">  </w:t>
            </w:r>
            <w:r w:rsidR="00794673" w:rsidRPr="009D69F1">
              <w:rPr>
                <w:rFonts w:ascii="Calibri" w:hAnsi="Calibri"/>
                <w:szCs w:val="22"/>
              </w:rPr>
              <w:t xml:space="preserve">The submitted details propose that </w:t>
            </w:r>
            <w:r w:rsidR="00C80B9D" w:rsidRPr="009D69F1">
              <w:rPr>
                <w:rFonts w:ascii="Calibri" w:hAnsi="Calibri"/>
                <w:szCs w:val="22"/>
              </w:rPr>
              <w:t>‘apartment 1’ will be a one-bedroomed apartment accommodated over ground-floor and ‘lower-ground’ floors, with the living room being accommodated at ground floor and the bedroom, shower/toilet and kitchen/dining area being within the basement (lower-ground floor).</w:t>
            </w:r>
          </w:p>
          <w:p w14:paraId="3654DDF6" w14:textId="77777777" w:rsidR="00C80B9D" w:rsidRDefault="00C80B9D" w:rsidP="002F2580">
            <w:pPr>
              <w:rPr>
                <w:rFonts w:ascii="Calibri" w:hAnsi="Calibri"/>
                <w:szCs w:val="22"/>
              </w:rPr>
            </w:pPr>
          </w:p>
          <w:p w14:paraId="113B15DE" w14:textId="2CEE57DF" w:rsidR="00C80B9D" w:rsidRDefault="00C80B9D" w:rsidP="002F2580">
            <w:pPr>
              <w:rPr>
                <w:rFonts w:ascii="Calibri" w:hAnsi="Calibri"/>
                <w:szCs w:val="22"/>
              </w:rPr>
            </w:pPr>
            <w:r>
              <w:rPr>
                <w:rFonts w:ascii="Calibri" w:hAnsi="Calibri"/>
                <w:szCs w:val="22"/>
              </w:rPr>
              <w:t xml:space="preserve">‘Apartment 02’ will be accessed via a shared lobby at ground floor with the kitchen and living area being accommodated within the first floor and the bedroom, </w:t>
            </w:r>
            <w:r w:rsidRPr="009D69F1">
              <w:rPr>
                <w:rFonts w:ascii="Calibri" w:hAnsi="Calibri"/>
                <w:szCs w:val="22"/>
              </w:rPr>
              <w:t>shower/toilet being accommodated within the second floor of the building.</w:t>
            </w:r>
          </w:p>
          <w:p w14:paraId="601A278C" w14:textId="77777777" w:rsidR="00EE5131" w:rsidRDefault="00EE5131" w:rsidP="002F2580">
            <w:pPr>
              <w:rPr>
                <w:rFonts w:ascii="Calibri" w:hAnsi="Calibri"/>
                <w:szCs w:val="22"/>
              </w:rPr>
            </w:pPr>
          </w:p>
          <w:p w14:paraId="5CD212EF" w14:textId="6C422A43" w:rsidR="00EE5131" w:rsidRDefault="00EE5131" w:rsidP="002F2580">
            <w:pPr>
              <w:rPr>
                <w:rFonts w:ascii="Calibri" w:hAnsi="Calibri"/>
                <w:szCs w:val="22"/>
              </w:rPr>
            </w:pPr>
            <w:r>
              <w:rPr>
                <w:rFonts w:ascii="Calibri" w:hAnsi="Calibri"/>
                <w:szCs w:val="22"/>
              </w:rPr>
              <w:t xml:space="preserve">The submitted details </w:t>
            </w:r>
            <w:r w:rsidR="00794673">
              <w:rPr>
                <w:rFonts w:ascii="Calibri" w:hAnsi="Calibri"/>
                <w:szCs w:val="22"/>
              </w:rPr>
              <w:t xml:space="preserve">further </w:t>
            </w:r>
            <w:r>
              <w:rPr>
                <w:rFonts w:ascii="Calibri" w:hAnsi="Calibri"/>
                <w:szCs w:val="22"/>
              </w:rPr>
              <w:t>summarise the extent(s) of the works to be undertaken as follows:</w:t>
            </w:r>
          </w:p>
          <w:p w14:paraId="56F60005" w14:textId="77777777" w:rsidR="00EE5131" w:rsidRDefault="00EE5131" w:rsidP="002F2580">
            <w:pPr>
              <w:rPr>
                <w:rFonts w:ascii="Calibri" w:hAnsi="Calibri"/>
                <w:szCs w:val="22"/>
              </w:rPr>
            </w:pPr>
          </w:p>
          <w:p w14:paraId="58CA5583" w14:textId="00D5CC8C" w:rsidR="00EE5131" w:rsidRDefault="00EE5131" w:rsidP="00EE5131">
            <w:pPr>
              <w:pStyle w:val="ListParagraph"/>
              <w:numPr>
                <w:ilvl w:val="0"/>
                <w:numId w:val="10"/>
              </w:numPr>
              <w:rPr>
                <w:rFonts w:ascii="Calibri" w:hAnsi="Calibri"/>
                <w:szCs w:val="22"/>
              </w:rPr>
            </w:pPr>
            <w:r w:rsidRPr="00EE5131">
              <w:rPr>
                <w:rFonts w:ascii="Calibri" w:hAnsi="Calibri"/>
                <w:szCs w:val="22"/>
              </w:rPr>
              <w:t>Replacement windows and doors</w:t>
            </w:r>
          </w:p>
          <w:p w14:paraId="58D43597" w14:textId="20478E67" w:rsidR="00EE5131" w:rsidRDefault="00EE5131" w:rsidP="00EE5131">
            <w:pPr>
              <w:pStyle w:val="ListParagraph"/>
              <w:numPr>
                <w:ilvl w:val="0"/>
                <w:numId w:val="10"/>
              </w:numPr>
              <w:rPr>
                <w:rFonts w:ascii="Calibri" w:hAnsi="Calibri"/>
                <w:szCs w:val="22"/>
              </w:rPr>
            </w:pPr>
            <w:r>
              <w:rPr>
                <w:rFonts w:ascii="Calibri" w:hAnsi="Calibri"/>
                <w:szCs w:val="22"/>
              </w:rPr>
              <w:t>Upgrading the fire resistance of the structure</w:t>
            </w:r>
          </w:p>
          <w:p w14:paraId="43187117" w14:textId="51C721E1" w:rsidR="00EE5131" w:rsidRDefault="00EE5131" w:rsidP="00EE5131">
            <w:pPr>
              <w:pStyle w:val="ListParagraph"/>
              <w:numPr>
                <w:ilvl w:val="0"/>
                <w:numId w:val="10"/>
              </w:numPr>
              <w:rPr>
                <w:rFonts w:ascii="Calibri" w:hAnsi="Calibri"/>
                <w:szCs w:val="22"/>
              </w:rPr>
            </w:pPr>
            <w:r>
              <w:rPr>
                <w:rFonts w:ascii="Calibri" w:hAnsi="Calibri"/>
                <w:szCs w:val="22"/>
              </w:rPr>
              <w:t xml:space="preserve">Upgrading the thermal </w:t>
            </w:r>
            <w:r w:rsidR="00794673">
              <w:rPr>
                <w:rFonts w:ascii="Calibri" w:hAnsi="Calibri"/>
                <w:szCs w:val="22"/>
              </w:rPr>
              <w:t>insulation</w:t>
            </w:r>
            <w:r>
              <w:rPr>
                <w:rFonts w:ascii="Calibri" w:hAnsi="Calibri"/>
                <w:szCs w:val="22"/>
              </w:rPr>
              <w:t xml:space="preserve"> of the building</w:t>
            </w:r>
          </w:p>
          <w:p w14:paraId="283B1596" w14:textId="60CCE506" w:rsidR="00EE5131" w:rsidRDefault="00794673" w:rsidP="00EE5131">
            <w:pPr>
              <w:pStyle w:val="ListParagraph"/>
              <w:numPr>
                <w:ilvl w:val="0"/>
                <w:numId w:val="10"/>
              </w:numPr>
              <w:rPr>
                <w:rFonts w:ascii="Calibri" w:hAnsi="Calibri"/>
                <w:szCs w:val="22"/>
              </w:rPr>
            </w:pPr>
            <w:r>
              <w:rPr>
                <w:rFonts w:ascii="Calibri" w:hAnsi="Calibri"/>
                <w:szCs w:val="22"/>
              </w:rPr>
              <w:t>Provision of acoustic insulation to floors</w:t>
            </w:r>
          </w:p>
          <w:p w14:paraId="1BC4CFBF" w14:textId="72F866E6" w:rsidR="00794673" w:rsidRDefault="00794673" w:rsidP="00EE5131">
            <w:pPr>
              <w:pStyle w:val="ListParagraph"/>
              <w:numPr>
                <w:ilvl w:val="0"/>
                <w:numId w:val="10"/>
              </w:numPr>
              <w:rPr>
                <w:rFonts w:ascii="Calibri" w:hAnsi="Calibri"/>
                <w:szCs w:val="22"/>
              </w:rPr>
            </w:pPr>
            <w:r>
              <w:rPr>
                <w:rFonts w:ascii="Calibri" w:hAnsi="Calibri"/>
                <w:szCs w:val="22"/>
              </w:rPr>
              <w:t>Provision of mechanical ventilation</w:t>
            </w:r>
          </w:p>
          <w:p w14:paraId="495CB5BE" w14:textId="60F1EDD0" w:rsidR="00794673" w:rsidRDefault="00794673" w:rsidP="00EE5131">
            <w:pPr>
              <w:pStyle w:val="ListParagraph"/>
              <w:numPr>
                <w:ilvl w:val="0"/>
                <w:numId w:val="10"/>
              </w:numPr>
              <w:rPr>
                <w:rFonts w:ascii="Calibri" w:hAnsi="Calibri"/>
                <w:szCs w:val="22"/>
              </w:rPr>
            </w:pPr>
            <w:r>
              <w:rPr>
                <w:rFonts w:ascii="Calibri" w:hAnsi="Calibri"/>
                <w:szCs w:val="22"/>
              </w:rPr>
              <w:t>Installation of tanking to basement to prevent groundwater ingress</w:t>
            </w:r>
          </w:p>
          <w:p w14:paraId="11DDAEE9" w14:textId="224DE3EF" w:rsidR="00794673" w:rsidRDefault="00794673" w:rsidP="00EE5131">
            <w:pPr>
              <w:pStyle w:val="ListParagraph"/>
              <w:numPr>
                <w:ilvl w:val="0"/>
                <w:numId w:val="10"/>
              </w:numPr>
              <w:rPr>
                <w:rFonts w:ascii="Calibri" w:hAnsi="Calibri"/>
                <w:szCs w:val="22"/>
              </w:rPr>
            </w:pPr>
            <w:r>
              <w:rPr>
                <w:rFonts w:ascii="Calibri" w:hAnsi="Calibri"/>
                <w:szCs w:val="22"/>
              </w:rPr>
              <w:t>Reconfiguration of the ground/first floor access stair</w:t>
            </w:r>
          </w:p>
          <w:p w14:paraId="7D255E19" w14:textId="3F3D247B" w:rsidR="00794673" w:rsidRDefault="00794673" w:rsidP="00EE5131">
            <w:pPr>
              <w:pStyle w:val="ListParagraph"/>
              <w:numPr>
                <w:ilvl w:val="0"/>
                <w:numId w:val="10"/>
              </w:numPr>
              <w:rPr>
                <w:rFonts w:ascii="Calibri" w:hAnsi="Calibri"/>
                <w:szCs w:val="22"/>
              </w:rPr>
            </w:pPr>
            <w:r>
              <w:rPr>
                <w:rFonts w:ascii="Calibri" w:hAnsi="Calibri"/>
                <w:szCs w:val="22"/>
              </w:rPr>
              <w:t>Installation of new kitchens, sanitary fittings, wiring circuits, including fire detection and warning systems</w:t>
            </w:r>
          </w:p>
          <w:p w14:paraId="40D77172" w14:textId="782654D6" w:rsidR="00794673" w:rsidRDefault="00794673" w:rsidP="00EE5131">
            <w:pPr>
              <w:pStyle w:val="ListParagraph"/>
              <w:numPr>
                <w:ilvl w:val="0"/>
                <w:numId w:val="10"/>
              </w:numPr>
              <w:rPr>
                <w:rFonts w:ascii="Calibri" w:hAnsi="Calibri"/>
                <w:szCs w:val="22"/>
              </w:rPr>
            </w:pPr>
            <w:r>
              <w:rPr>
                <w:rFonts w:ascii="Calibri" w:hAnsi="Calibri"/>
                <w:szCs w:val="22"/>
              </w:rPr>
              <w:t>Installation of new electrical heating system</w:t>
            </w:r>
          </w:p>
          <w:p w14:paraId="772FADBB" w14:textId="7C2F5E7C" w:rsidR="00794673" w:rsidRPr="00EE5131" w:rsidRDefault="00794673" w:rsidP="00EE5131">
            <w:pPr>
              <w:pStyle w:val="ListParagraph"/>
              <w:numPr>
                <w:ilvl w:val="0"/>
                <w:numId w:val="10"/>
              </w:numPr>
              <w:rPr>
                <w:rFonts w:ascii="Calibri" w:hAnsi="Calibri"/>
                <w:szCs w:val="22"/>
              </w:rPr>
            </w:pPr>
            <w:r>
              <w:rPr>
                <w:rFonts w:ascii="Calibri" w:hAnsi="Calibri"/>
                <w:szCs w:val="22"/>
              </w:rPr>
              <w:t>External ‘decoration’ of the premises</w:t>
            </w:r>
          </w:p>
          <w:p w14:paraId="1B20488F" w14:textId="10D997E6" w:rsidR="00EE5131" w:rsidRPr="00D54E67" w:rsidRDefault="00EE5131"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558FE42" w14:textId="580725D4" w:rsidR="00324056" w:rsidRDefault="00324056" w:rsidP="00324056">
            <w:pPr>
              <w:pStyle w:val="Header"/>
              <w:tabs>
                <w:tab w:val="clear" w:pos="4153"/>
                <w:tab w:val="clear" w:pos="8306"/>
              </w:tabs>
              <w:contextualSpacing/>
              <w:jc w:val="both"/>
              <w:rPr>
                <w:rFonts w:ascii="Calibri" w:hAnsi="Calibri"/>
                <w:bCs/>
                <w:szCs w:val="22"/>
              </w:rPr>
            </w:pPr>
            <w:r>
              <w:rPr>
                <w:rFonts w:ascii="Calibri" w:hAnsi="Calibri"/>
                <w:bCs/>
                <w:szCs w:val="22"/>
              </w:rPr>
              <w:t>The</w:t>
            </w:r>
            <w:r w:rsidRPr="00F0301C">
              <w:rPr>
                <w:rFonts w:ascii="Calibri" w:hAnsi="Calibri"/>
                <w:bCs/>
                <w:szCs w:val="22"/>
              </w:rPr>
              <w:t xml:space="preserve"> proposal seeks consent for the creation of </w:t>
            </w:r>
            <w:r>
              <w:rPr>
                <w:rFonts w:ascii="Calibri" w:hAnsi="Calibri"/>
                <w:bCs/>
                <w:szCs w:val="22"/>
              </w:rPr>
              <w:t>two</w:t>
            </w:r>
            <w:r w:rsidRPr="00F0301C">
              <w:rPr>
                <w:rFonts w:ascii="Calibri" w:hAnsi="Calibri"/>
                <w:bCs/>
                <w:szCs w:val="22"/>
              </w:rPr>
              <w:t xml:space="preserve"> new residential planning unit</w:t>
            </w:r>
            <w:r>
              <w:rPr>
                <w:rFonts w:ascii="Calibri" w:hAnsi="Calibri"/>
                <w:bCs/>
                <w:szCs w:val="22"/>
              </w:rPr>
              <w:t>s</w:t>
            </w:r>
            <w:r w:rsidRPr="00F0301C">
              <w:rPr>
                <w:rFonts w:ascii="Calibri" w:hAnsi="Calibri"/>
                <w:bCs/>
                <w:szCs w:val="22"/>
              </w:rPr>
              <w:t>, through the conversion</w:t>
            </w:r>
            <w:r>
              <w:rPr>
                <w:rFonts w:ascii="Calibri" w:hAnsi="Calibri"/>
                <w:bCs/>
                <w:szCs w:val="22"/>
              </w:rPr>
              <w:t xml:space="preserve"> and change of use</w:t>
            </w:r>
            <w:r w:rsidRPr="00F0301C">
              <w:rPr>
                <w:rFonts w:ascii="Calibri" w:hAnsi="Calibri"/>
                <w:bCs/>
                <w:szCs w:val="22"/>
              </w:rPr>
              <w:t xml:space="preserve"> of an existing building</w:t>
            </w:r>
            <w:r>
              <w:rPr>
                <w:rFonts w:ascii="Calibri" w:hAnsi="Calibri"/>
                <w:bCs/>
                <w:szCs w:val="22"/>
              </w:rPr>
              <w:t xml:space="preserve"> within the Principal Settlement of Clitheroe</w:t>
            </w:r>
            <w:r w:rsidRPr="00F0301C">
              <w:rPr>
                <w:rFonts w:ascii="Calibri" w:hAnsi="Calibri"/>
                <w:bCs/>
                <w:szCs w:val="22"/>
              </w:rPr>
              <w:t>.</w:t>
            </w:r>
            <w:r>
              <w:rPr>
                <w:rFonts w:ascii="Calibri" w:hAnsi="Calibri"/>
                <w:bCs/>
                <w:szCs w:val="22"/>
              </w:rPr>
              <w:t xml:space="preserve"> </w:t>
            </w:r>
            <w:r w:rsidRPr="00F32E26">
              <w:rPr>
                <w:rFonts w:ascii="Calibri" w:hAnsi="Calibri"/>
                <w:bCs/>
                <w:szCs w:val="22"/>
              </w:rPr>
              <w:t>As such, consideration must be given in respect of the compatibility of the proposal with that of the locational and spatial aspirations for new residential housing growth within the borough as embodied within the currently adopted development strategy.</w:t>
            </w:r>
          </w:p>
          <w:p w14:paraId="421ED0DD" w14:textId="77777777" w:rsidR="00324056" w:rsidRDefault="00324056" w:rsidP="00324056">
            <w:pPr>
              <w:pStyle w:val="Header"/>
              <w:tabs>
                <w:tab w:val="clear" w:pos="4153"/>
                <w:tab w:val="clear" w:pos="8306"/>
              </w:tabs>
              <w:contextualSpacing/>
              <w:jc w:val="both"/>
              <w:rPr>
                <w:rFonts w:ascii="Calibri" w:hAnsi="Calibri"/>
                <w:bCs/>
                <w:szCs w:val="22"/>
              </w:rPr>
            </w:pPr>
          </w:p>
          <w:p w14:paraId="0A518CCE" w14:textId="483F200E" w:rsidR="00324056" w:rsidRDefault="00324056" w:rsidP="00324056">
            <w:pPr>
              <w:pStyle w:val="Header"/>
              <w:tabs>
                <w:tab w:val="clear" w:pos="4153"/>
                <w:tab w:val="clear" w:pos="8306"/>
              </w:tabs>
              <w:contextualSpacing/>
              <w:jc w:val="both"/>
              <w:rPr>
                <w:rFonts w:ascii="Calibri" w:hAnsi="Calibri"/>
                <w:bCs/>
                <w:szCs w:val="22"/>
              </w:rPr>
            </w:pPr>
            <w:r>
              <w:rPr>
                <w:rFonts w:ascii="Calibri" w:hAnsi="Calibri"/>
                <w:bCs/>
                <w:szCs w:val="22"/>
              </w:rPr>
              <w:t xml:space="preserve">In relation to matters </w:t>
            </w:r>
            <w:r w:rsidR="00EE5131">
              <w:rPr>
                <w:rFonts w:ascii="Calibri" w:hAnsi="Calibri"/>
                <w:bCs/>
                <w:szCs w:val="22"/>
              </w:rPr>
              <w:t xml:space="preserve">regarding the </w:t>
            </w:r>
            <w:r w:rsidRPr="007344D5">
              <w:rPr>
                <w:rFonts w:ascii="Calibri" w:hAnsi="Calibri"/>
                <w:bCs/>
                <w:szCs w:val="22"/>
              </w:rPr>
              <w:t>locational and spatial aspirations for new residential housing growth within the borough</w:t>
            </w:r>
            <w:r>
              <w:rPr>
                <w:rFonts w:ascii="Calibri" w:hAnsi="Calibri"/>
                <w:bCs/>
                <w:szCs w:val="22"/>
              </w:rPr>
              <w:t>, both Key Statement DS1 and Policy DMG2 are primarily engaged for assessing the acceptability/suitability of the principle of residential development in this location.  In this respect, with regards to the creation of new residential planning units within principal and Tier 1 settlements, Policy DMG2 (Strategic Considerations) states that:</w:t>
            </w:r>
          </w:p>
          <w:p w14:paraId="75937068" w14:textId="77777777" w:rsidR="00324056" w:rsidRDefault="00324056" w:rsidP="00324056">
            <w:pPr>
              <w:pStyle w:val="Header"/>
              <w:tabs>
                <w:tab w:val="clear" w:pos="4153"/>
                <w:tab w:val="clear" w:pos="8306"/>
              </w:tabs>
              <w:contextualSpacing/>
              <w:jc w:val="both"/>
              <w:rPr>
                <w:rFonts w:ascii="Calibri" w:hAnsi="Calibri"/>
                <w:bCs/>
                <w:szCs w:val="22"/>
              </w:rPr>
            </w:pPr>
          </w:p>
          <w:p w14:paraId="344C411D" w14:textId="77777777" w:rsidR="00324056" w:rsidRPr="007344D5" w:rsidRDefault="00324056" w:rsidP="00324056">
            <w:pPr>
              <w:pStyle w:val="Header"/>
              <w:contextualSpacing/>
              <w:jc w:val="both"/>
              <w:rPr>
                <w:rFonts w:ascii="Calibri" w:hAnsi="Calibri"/>
                <w:bCs/>
                <w:i/>
                <w:iCs/>
                <w:szCs w:val="22"/>
              </w:rPr>
            </w:pPr>
            <w:r w:rsidRPr="007344D5">
              <w:rPr>
                <w:rFonts w:ascii="Calibri" w:hAnsi="Calibri"/>
                <w:bCs/>
                <w:i/>
                <w:iCs/>
                <w:szCs w:val="22"/>
              </w:rPr>
              <w:t>Development should be in accordance with the core strategy development strategy and should support the spatial vision:</w:t>
            </w:r>
          </w:p>
          <w:p w14:paraId="6C6ACEC6" w14:textId="77777777" w:rsidR="00324056" w:rsidRPr="007344D5" w:rsidRDefault="00324056" w:rsidP="00324056">
            <w:pPr>
              <w:pStyle w:val="Header"/>
              <w:contextualSpacing/>
              <w:jc w:val="both"/>
              <w:rPr>
                <w:rFonts w:ascii="Calibri" w:hAnsi="Calibri"/>
                <w:bCs/>
                <w:i/>
                <w:iCs/>
                <w:szCs w:val="22"/>
              </w:rPr>
            </w:pPr>
          </w:p>
          <w:p w14:paraId="588B6895" w14:textId="77777777" w:rsidR="00324056" w:rsidRDefault="00324056" w:rsidP="00324056">
            <w:pPr>
              <w:pStyle w:val="Header"/>
              <w:numPr>
                <w:ilvl w:val="0"/>
                <w:numId w:val="7"/>
              </w:numPr>
              <w:tabs>
                <w:tab w:val="clear" w:pos="4153"/>
                <w:tab w:val="clear" w:pos="8306"/>
              </w:tabs>
              <w:contextualSpacing/>
              <w:jc w:val="both"/>
              <w:rPr>
                <w:rFonts w:ascii="Calibri" w:hAnsi="Calibri"/>
                <w:bCs/>
                <w:i/>
                <w:iCs/>
                <w:szCs w:val="22"/>
              </w:rPr>
            </w:pPr>
            <w:r w:rsidRPr="007344D5">
              <w:rPr>
                <w:rFonts w:ascii="Calibri" w:hAnsi="Calibri"/>
                <w:bCs/>
                <w:i/>
                <w:iCs/>
                <w:szCs w:val="22"/>
              </w:rPr>
              <w:t>Development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settlement.</w:t>
            </w:r>
          </w:p>
          <w:p w14:paraId="7737F045" w14:textId="77777777" w:rsidR="00324056" w:rsidRDefault="00324056" w:rsidP="00324056">
            <w:pPr>
              <w:pStyle w:val="Header"/>
              <w:tabs>
                <w:tab w:val="clear" w:pos="4153"/>
                <w:tab w:val="clear" w:pos="8306"/>
              </w:tabs>
              <w:contextualSpacing/>
              <w:jc w:val="both"/>
              <w:rPr>
                <w:rFonts w:ascii="Calibri" w:hAnsi="Calibri"/>
                <w:bCs/>
                <w:i/>
                <w:iCs/>
                <w:szCs w:val="22"/>
              </w:rPr>
            </w:pPr>
          </w:p>
          <w:p w14:paraId="38098698" w14:textId="77777777" w:rsidR="00324056" w:rsidRDefault="00324056" w:rsidP="00324056">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With </w:t>
            </w:r>
            <w:r>
              <w:rPr>
                <w:rFonts w:ascii="Calibri" w:hAnsi="Calibri"/>
                <w:bCs/>
                <w:szCs w:val="22"/>
              </w:rPr>
              <w:t>K</w:t>
            </w:r>
            <w:r w:rsidRPr="007344D5">
              <w:rPr>
                <w:rFonts w:ascii="Calibri" w:hAnsi="Calibri"/>
                <w:bCs/>
                <w:szCs w:val="22"/>
              </w:rPr>
              <w:t xml:space="preserve">ey Statement DS1 </w:t>
            </w:r>
            <w:r>
              <w:rPr>
                <w:rFonts w:ascii="Calibri" w:hAnsi="Calibri"/>
                <w:bCs/>
                <w:szCs w:val="22"/>
              </w:rPr>
              <w:t>(Development Strategy) reading as follows:</w:t>
            </w:r>
          </w:p>
          <w:p w14:paraId="607D550D" w14:textId="77777777" w:rsidR="00324056" w:rsidRDefault="00324056" w:rsidP="00324056">
            <w:pPr>
              <w:pStyle w:val="Header"/>
              <w:tabs>
                <w:tab w:val="clear" w:pos="4153"/>
                <w:tab w:val="clear" w:pos="8306"/>
              </w:tabs>
              <w:contextualSpacing/>
              <w:jc w:val="both"/>
              <w:rPr>
                <w:rFonts w:ascii="Calibri" w:hAnsi="Calibri"/>
                <w:bCs/>
                <w:szCs w:val="22"/>
              </w:rPr>
            </w:pPr>
          </w:p>
          <w:p w14:paraId="4334B9C6" w14:textId="77777777" w:rsidR="00324056" w:rsidRPr="007344D5" w:rsidRDefault="00324056" w:rsidP="00324056">
            <w:pPr>
              <w:jc w:val="both"/>
              <w:rPr>
                <w:rFonts w:asciiTheme="minorHAnsi" w:hAnsiTheme="minorHAnsi" w:cstheme="minorHAnsi"/>
                <w:i/>
                <w:iCs/>
                <w:szCs w:val="22"/>
              </w:rPr>
            </w:pPr>
            <w:r w:rsidRPr="007344D5">
              <w:rPr>
                <w:rFonts w:asciiTheme="minorHAnsi" w:hAnsiTheme="minorHAnsi" w:cstheme="minorHAnsi"/>
                <w:i/>
                <w:iCs/>
                <w:szCs w:val="22"/>
              </w:rPr>
              <w:t>The majority of new housing development will be:</w:t>
            </w:r>
          </w:p>
          <w:p w14:paraId="58C7C9E7" w14:textId="77777777" w:rsidR="00324056" w:rsidRPr="007344D5" w:rsidRDefault="00324056" w:rsidP="00324056">
            <w:pPr>
              <w:jc w:val="both"/>
              <w:rPr>
                <w:rFonts w:asciiTheme="minorHAnsi" w:hAnsiTheme="minorHAnsi" w:cstheme="minorHAnsi"/>
                <w:i/>
                <w:iCs/>
                <w:szCs w:val="22"/>
              </w:rPr>
            </w:pPr>
          </w:p>
          <w:p w14:paraId="03998F1E" w14:textId="77777777" w:rsidR="00324056" w:rsidRPr="007344D5" w:rsidRDefault="00324056" w:rsidP="00324056">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concentrated within an identified strategic site located to the south of Clitheroe towards the A59; and the principal settlements of:</w:t>
            </w:r>
          </w:p>
          <w:p w14:paraId="35143077" w14:textId="77777777" w:rsidR="00324056" w:rsidRPr="007344D5" w:rsidRDefault="00324056" w:rsidP="00324056">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Clitheroe;</w:t>
            </w:r>
          </w:p>
          <w:p w14:paraId="62941268" w14:textId="77777777" w:rsidR="00324056" w:rsidRPr="007344D5" w:rsidRDefault="00324056" w:rsidP="00324056">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lastRenderedPageBreak/>
              <w:t>Longridge; and</w:t>
            </w:r>
          </w:p>
          <w:p w14:paraId="6592FD11" w14:textId="77777777" w:rsidR="00324056" w:rsidRPr="007344D5" w:rsidRDefault="00324056" w:rsidP="00324056">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Whalley.</w:t>
            </w:r>
          </w:p>
          <w:p w14:paraId="5303547C" w14:textId="77777777" w:rsidR="00324056" w:rsidRPr="007344D5" w:rsidRDefault="00324056" w:rsidP="00324056">
            <w:pPr>
              <w:jc w:val="both"/>
              <w:rPr>
                <w:rFonts w:asciiTheme="minorHAnsi" w:hAnsiTheme="minorHAnsi" w:cstheme="minorHAnsi"/>
                <w:b/>
                <w:bCs/>
                <w:i/>
                <w:iCs/>
                <w:szCs w:val="22"/>
              </w:rPr>
            </w:pPr>
          </w:p>
          <w:p w14:paraId="41CCF4AF" w14:textId="21151C57" w:rsidR="00324056" w:rsidRPr="007344D5" w:rsidRDefault="00324056" w:rsidP="00324056">
            <w:pPr>
              <w:jc w:val="both"/>
              <w:rPr>
                <w:rFonts w:asciiTheme="minorHAnsi" w:hAnsiTheme="minorHAnsi" w:cstheme="minorHAnsi"/>
                <w:i/>
                <w:iCs/>
                <w:szCs w:val="22"/>
              </w:rPr>
            </w:pPr>
            <w:r w:rsidRPr="007344D5">
              <w:rPr>
                <w:rFonts w:asciiTheme="minorHAnsi" w:hAnsiTheme="minorHAnsi" w:cstheme="minorHAnsi"/>
                <w:i/>
                <w:iCs/>
                <w:szCs w:val="22"/>
              </w:rPr>
              <w:t>In addition to the strategic site at Standen and the borough’s principal settlements, development will be focused towards the Tier 1 Villages, which are the more sustainable of the 32 defined settlements:</w:t>
            </w:r>
          </w:p>
          <w:p w14:paraId="6ED3BD08" w14:textId="77777777" w:rsidR="00324056" w:rsidRPr="007344D5" w:rsidRDefault="00324056" w:rsidP="00324056">
            <w:pPr>
              <w:jc w:val="both"/>
              <w:rPr>
                <w:rFonts w:asciiTheme="minorHAnsi" w:hAnsiTheme="minorHAnsi" w:cstheme="minorHAnsi"/>
                <w:i/>
                <w:iCs/>
                <w:szCs w:val="22"/>
              </w:rPr>
            </w:pPr>
          </w:p>
          <w:p w14:paraId="4C07C57B"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Barrow</w:t>
            </w:r>
          </w:p>
          <w:p w14:paraId="612FD6F9"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Billington</w:t>
            </w:r>
          </w:p>
          <w:p w14:paraId="0356FFC1"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Chatburn</w:t>
            </w:r>
          </w:p>
          <w:p w14:paraId="3B9E34CE"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Gisburn</w:t>
            </w:r>
          </w:p>
          <w:p w14:paraId="3F5C8453"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Langho</w:t>
            </w:r>
          </w:p>
          <w:p w14:paraId="5B4D348D"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w:t>
            </w:r>
          </w:p>
          <w:p w14:paraId="3BE5DB3E"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 Brook</w:t>
            </w:r>
          </w:p>
          <w:p w14:paraId="7C18A114"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Read &amp; Simonstone</w:t>
            </w:r>
          </w:p>
          <w:p w14:paraId="57E86803" w14:textId="77777777" w:rsidR="00324056" w:rsidRPr="007344D5" w:rsidRDefault="00324056" w:rsidP="00324056">
            <w:pPr>
              <w:pStyle w:val="ListParagraph"/>
              <w:numPr>
                <w:ilvl w:val="0"/>
                <w:numId w:val="9"/>
              </w:numPr>
              <w:tabs>
                <w:tab w:val="center" w:pos="4153"/>
                <w:tab w:val="right" w:pos="8306"/>
              </w:tabs>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Wilpshire.</w:t>
            </w:r>
          </w:p>
          <w:p w14:paraId="09EB1CBA" w14:textId="77777777" w:rsidR="00324056" w:rsidRDefault="00324056" w:rsidP="00324056">
            <w:pPr>
              <w:pStyle w:val="Header"/>
              <w:tabs>
                <w:tab w:val="clear" w:pos="4153"/>
                <w:tab w:val="clear" w:pos="8306"/>
              </w:tabs>
              <w:contextualSpacing/>
              <w:jc w:val="both"/>
              <w:rPr>
                <w:rFonts w:ascii="Calibri" w:hAnsi="Calibri"/>
                <w:b/>
                <w:szCs w:val="22"/>
              </w:rPr>
            </w:pPr>
          </w:p>
          <w:p w14:paraId="1BB9B2AF" w14:textId="38BD81D8" w:rsidR="00324056" w:rsidRDefault="00324056" w:rsidP="00324056">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In respect of the above policy considerations/criterion, the application site is located wholly within the defined settlement limits of </w:t>
            </w:r>
            <w:r>
              <w:rPr>
                <w:rFonts w:ascii="Calibri" w:hAnsi="Calibri"/>
                <w:bCs/>
                <w:szCs w:val="22"/>
              </w:rPr>
              <w:t>Clitheroe</w:t>
            </w:r>
            <w:r w:rsidRPr="007344D5">
              <w:rPr>
                <w:rFonts w:ascii="Calibri" w:hAnsi="Calibri"/>
                <w:bCs/>
                <w:szCs w:val="22"/>
              </w:rPr>
              <w:t xml:space="preserve"> (</w:t>
            </w:r>
            <w:r>
              <w:rPr>
                <w:rFonts w:ascii="Calibri" w:hAnsi="Calibri"/>
                <w:bCs/>
                <w:szCs w:val="22"/>
              </w:rPr>
              <w:t>Principal S</w:t>
            </w:r>
            <w:r w:rsidRPr="007344D5">
              <w:rPr>
                <w:rFonts w:ascii="Calibri" w:hAnsi="Calibri"/>
                <w:bCs/>
                <w:szCs w:val="22"/>
              </w:rPr>
              <w:t xml:space="preserve">ettlement).  </w:t>
            </w:r>
            <w:r>
              <w:rPr>
                <w:rFonts w:ascii="Calibri" w:hAnsi="Calibri"/>
                <w:bCs/>
                <w:szCs w:val="22"/>
              </w:rPr>
              <w:t xml:space="preserve">As such, </w:t>
            </w:r>
            <w:r w:rsidRPr="007344D5">
              <w:rPr>
                <w:rFonts w:ascii="Calibri" w:hAnsi="Calibri"/>
                <w:bCs/>
                <w:szCs w:val="22"/>
              </w:rPr>
              <w:t xml:space="preserve">the principle of the redevelopment of the site for residential purposes would fully align with the inherent criterion of Policy DMG2(1), particularly insofar that it would </w:t>
            </w:r>
            <w:r>
              <w:rPr>
                <w:rFonts w:ascii="Calibri" w:hAnsi="Calibri"/>
                <w:bCs/>
                <w:szCs w:val="22"/>
              </w:rPr>
              <w:t xml:space="preserve">represent </w:t>
            </w:r>
            <w:r w:rsidRPr="007344D5">
              <w:rPr>
                <w:rFonts w:ascii="Calibri" w:hAnsi="Calibri"/>
                <w:bCs/>
                <w:szCs w:val="22"/>
              </w:rPr>
              <w:t>development that it is closely related to the main built-up are</w:t>
            </w:r>
            <w:r w:rsidR="00EE5131">
              <w:rPr>
                <w:rFonts w:ascii="Calibri" w:hAnsi="Calibri"/>
                <w:bCs/>
                <w:szCs w:val="22"/>
              </w:rPr>
              <w:t>a</w:t>
            </w:r>
            <w:r w:rsidRPr="007344D5">
              <w:rPr>
                <w:rFonts w:ascii="Calibri" w:hAnsi="Calibri"/>
                <w:bCs/>
                <w:szCs w:val="22"/>
              </w:rPr>
              <w:t xml:space="preserve"> of the settlement</w:t>
            </w:r>
            <w:r>
              <w:rPr>
                <w:rFonts w:ascii="Calibri" w:hAnsi="Calibri"/>
                <w:bCs/>
                <w:szCs w:val="22"/>
              </w:rPr>
              <w:t xml:space="preserve"> to which it relates.</w:t>
            </w:r>
          </w:p>
          <w:p w14:paraId="3E08B65F" w14:textId="77777777" w:rsidR="00324056" w:rsidRDefault="00324056" w:rsidP="00324056">
            <w:pPr>
              <w:pStyle w:val="Header"/>
              <w:tabs>
                <w:tab w:val="clear" w:pos="4153"/>
                <w:tab w:val="clear" w:pos="8306"/>
              </w:tabs>
              <w:contextualSpacing/>
              <w:jc w:val="both"/>
              <w:rPr>
                <w:rFonts w:ascii="Calibri" w:hAnsi="Calibri"/>
                <w:bCs/>
                <w:szCs w:val="22"/>
              </w:rPr>
            </w:pPr>
          </w:p>
          <w:p w14:paraId="6F492955" w14:textId="77777777" w:rsidR="00324056" w:rsidRDefault="00324056" w:rsidP="00324056">
            <w:pPr>
              <w:pStyle w:val="Header"/>
              <w:tabs>
                <w:tab w:val="clear" w:pos="4153"/>
                <w:tab w:val="clear" w:pos="8306"/>
              </w:tabs>
              <w:contextualSpacing/>
              <w:jc w:val="both"/>
              <w:rPr>
                <w:rFonts w:ascii="Calibri" w:hAnsi="Calibri"/>
                <w:bCs/>
                <w:szCs w:val="22"/>
              </w:rPr>
            </w:pPr>
            <w:r>
              <w:rPr>
                <w:rFonts w:ascii="Calibri" w:hAnsi="Calibri"/>
                <w:bCs/>
                <w:szCs w:val="22"/>
              </w:rPr>
              <w:t>With the proposed development further aligning with the aims and objectives of Key Statement DS1 insofar that it would result in residential development ‘focused towards’ and being within a designated Principal Settlement.</w:t>
            </w:r>
          </w:p>
          <w:p w14:paraId="64C3A560" w14:textId="77777777" w:rsidR="00324056" w:rsidRDefault="00324056" w:rsidP="00324056">
            <w:pPr>
              <w:pStyle w:val="Header"/>
              <w:tabs>
                <w:tab w:val="clear" w:pos="4153"/>
                <w:tab w:val="clear" w:pos="8306"/>
              </w:tabs>
              <w:contextualSpacing/>
              <w:jc w:val="both"/>
              <w:rPr>
                <w:rFonts w:ascii="Calibri" w:hAnsi="Calibri"/>
                <w:b/>
                <w:szCs w:val="22"/>
              </w:rPr>
            </w:pPr>
          </w:p>
          <w:p w14:paraId="40AC4BB0" w14:textId="63563FED" w:rsidR="00324056" w:rsidRPr="00EE5131" w:rsidRDefault="00324056" w:rsidP="00324056">
            <w:pPr>
              <w:pStyle w:val="Header"/>
              <w:tabs>
                <w:tab w:val="clear" w:pos="4153"/>
                <w:tab w:val="clear" w:pos="8306"/>
              </w:tabs>
              <w:contextualSpacing/>
              <w:jc w:val="both"/>
              <w:rPr>
                <w:rFonts w:ascii="Calibri" w:hAnsi="Calibri"/>
                <w:bCs/>
                <w:szCs w:val="22"/>
              </w:rPr>
            </w:pPr>
            <w:r w:rsidRPr="00EE5131">
              <w:rPr>
                <w:rFonts w:ascii="Calibri" w:hAnsi="Calibri"/>
                <w:bCs/>
                <w:szCs w:val="22"/>
              </w:rPr>
              <w:t>As such and taking account of the above matters, it is not considered that the principle of the redevelopment of the site for residential purposes, notwithstanding other development management considerations, would result in any significant measurable adverse conflict with Key Statement DS1 nor Policy DMG2 of the Ribble Valley Core Strategy</w:t>
            </w:r>
            <w:r w:rsidR="00EE5131" w:rsidRPr="00EE5131">
              <w:rPr>
                <w:rFonts w:ascii="Calibri" w:hAnsi="Calibri"/>
                <w:bCs/>
                <w:szCs w:val="22"/>
              </w:rPr>
              <w:t xml:space="preserve"> in relation to the</w:t>
            </w:r>
            <w:r w:rsidRPr="00EE5131">
              <w:rPr>
                <w:rFonts w:ascii="Calibri" w:hAnsi="Calibri"/>
                <w:bCs/>
                <w:szCs w:val="22"/>
              </w:rPr>
              <w:t xml:space="preserve"> locational and spatial aspirations for new housing growth within the plan area.</w:t>
            </w:r>
          </w:p>
          <w:p w14:paraId="03F363AC" w14:textId="77777777" w:rsidR="0046548C" w:rsidRDefault="0046548C" w:rsidP="008542DE">
            <w:pPr>
              <w:pStyle w:val="Header"/>
              <w:tabs>
                <w:tab w:val="clear" w:pos="4153"/>
                <w:tab w:val="clear" w:pos="8306"/>
              </w:tabs>
              <w:contextualSpacing/>
              <w:jc w:val="both"/>
              <w:rPr>
                <w:rFonts w:ascii="Calibri" w:hAnsi="Calibri"/>
                <w:b/>
                <w:szCs w:val="22"/>
              </w:rPr>
            </w:pPr>
          </w:p>
          <w:p w14:paraId="53FE2E4C" w14:textId="43D75C87" w:rsidR="00D75039" w:rsidRDefault="00D75039" w:rsidP="008542DE">
            <w:pPr>
              <w:pStyle w:val="Header"/>
              <w:tabs>
                <w:tab w:val="clear" w:pos="4153"/>
                <w:tab w:val="clear" w:pos="8306"/>
              </w:tabs>
              <w:contextualSpacing/>
              <w:jc w:val="both"/>
              <w:rPr>
                <w:rFonts w:ascii="Calibri" w:hAnsi="Calibri"/>
                <w:b/>
                <w:szCs w:val="22"/>
              </w:rPr>
            </w:pPr>
            <w:r>
              <w:rPr>
                <w:rFonts w:ascii="Calibri" w:hAnsi="Calibri"/>
                <w:b/>
                <w:szCs w:val="22"/>
              </w:rPr>
              <w:t>Loss of Employment:</w:t>
            </w:r>
          </w:p>
          <w:p w14:paraId="43D56ACD" w14:textId="77777777" w:rsidR="00D75039" w:rsidRDefault="00D75039" w:rsidP="008542DE">
            <w:pPr>
              <w:pStyle w:val="Header"/>
              <w:tabs>
                <w:tab w:val="clear" w:pos="4153"/>
                <w:tab w:val="clear" w:pos="8306"/>
              </w:tabs>
              <w:contextualSpacing/>
              <w:jc w:val="both"/>
              <w:rPr>
                <w:rFonts w:ascii="Calibri" w:hAnsi="Calibri"/>
                <w:b/>
                <w:szCs w:val="22"/>
              </w:rPr>
            </w:pPr>
          </w:p>
          <w:p w14:paraId="41C3368F" w14:textId="77777777" w:rsidR="00246992" w:rsidRPr="00246992" w:rsidRDefault="00246992" w:rsidP="00246992">
            <w:pPr>
              <w:pStyle w:val="Header"/>
              <w:tabs>
                <w:tab w:val="clear" w:pos="4153"/>
                <w:tab w:val="clear" w:pos="8306"/>
              </w:tabs>
              <w:contextualSpacing/>
              <w:jc w:val="both"/>
              <w:rPr>
                <w:rFonts w:ascii="Calibri" w:hAnsi="Calibri"/>
                <w:bCs/>
                <w:szCs w:val="22"/>
              </w:rPr>
            </w:pPr>
            <w:r w:rsidRPr="00246992">
              <w:rPr>
                <w:rFonts w:ascii="Calibri" w:hAnsi="Calibri"/>
                <w:bCs/>
                <w:szCs w:val="22"/>
              </w:rPr>
              <w:t xml:space="preserve">The proposal would result in the loss of a building/site with employment generating potential, as such consideration must be given to the aims, objectives and requirements of Key Statement EC1 and Policy DMB1.  In this respect Key Statement EC1 states that </w:t>
            </w:r>
            <w:r w:rsidRPr="00246992">
              <w:rPr>
                <w:rFonts w:ascii="Calibri" w:hAnsi="Calibri"/>
                <w:bCs/>
                <w:i/>
                <w:iCs/>
                <w:szCs w:val="22"/>
              </w:rPr>
              <w:t>‘proposals that result in the loss of existing employment sites to other forms of development will need to demonstrate that there will be no adverse impact upon the local economy’</w:t>
            </w:r>
            <w:r w:rsidRPr="00246992">
              <w:rPr>
                <w:rFonts w:ascii="Calibri" w:hAnsi="Calibri"/>
                <w:bCs/>
                <w:szCs w:val="22"/>
              </w:rPr>
              <w:t>.  With Policy DMB1 stating that:</w:t>
            </w:r>
          </w:p>
          <w:p w14:paraId="7910EC9B" w14:textId="77777777" w:rsidR="00246992" w:rsidRPr="00246992" w:rsidRDefault="00246992" w:rsidP="00246992">
            <w:pPr>
              <w:pStyle w:val="Header"/>
              <w:tabs>
                <w:tab w:val="clear" w:pos="4153"/>
                <w:tab w:val="clear" w:pos="8306"/>
              </w:tabs>
              <w:contextualSpacing/>
              <w:jc w:val="both"/>
              <w:rPr>
                <w:rFonts w:ascii="Calibri" w:hAnsi="Calibri"/>
                <w:bCs/>
                <w:color w:val="FF0000"/>
                <w:szCs w:val="22"/>
              </w:rPr>
            </w:pPr>
          </w:p>
          <w:p w14:paraId="1951DC4A" w14:textId="77777777" w:rsidR="00246992" w:rsidRPr="00246992" w:rsidRDefault="00246992" w:rsidP="00246992">
            <w:pPr>
              <w:contextualSpacing/>
              <w:jc w:val="both"/>
              <w:rPr>
                <w:rFonts w:ascii="Calibri" w:hAnsi="Calibri"/>
                <w:bCs/>
                <w:i/>
                <w:iCs/>
                <w:szCs w:val="22"/>
              </w:rPr>
            </w:pPr>
            <w:r w:rsidRPr="00246992">
              <w:rPr>
                <w:rFonts w:ascii="Calibri" w:hAnsi="Calibri"/>
                <w:bCs/>
                <w:i/>
                <w:iCs/>
                <w:szCs w:val="22"/>
              </w:rPr>
              <w:t>Proposals for the development, redevelopment or conversion of sites with employment generating potential in the plan area for alternative uses will be assessed with regard to the following criteria:</w:t>
            </w:r>
          </w:p>
          <w:p w14:paraId="747CBE99" w14:textId="77777777" w:rsidR="00246992" w:rsidRPr="00246992" w:rsidRDefault="00246992" w:rsidP="00246992">
            <w:pPr>
              <w:contextualSpacing/>
              <w:jc w:val="both"/>
              <w:rPr>
                <w:rFonts w:ascii="Calibri" w:hAnsi="Calibri"/>
                <w:bCs/>
                <w:i/>
                <w:iCs/>
                <w:szCs w:val="22"/>
              </w:rPr>
            </w:pPr>
          </w:p>
          <w:p w14:paraId="70A8EADD" w14:textId="77777777" w:rsidR="00246992" w:rsidRPr="00246992" w:rsidRDefault="00246992" w:rsidP="00246992">
            <w:pPr>
              <w:pStyle w:val="ListParagraph"/>
              <w:numPr>
                <w:ilvl w:val="0"/>
                <w:numId w:val="19"/>
              </w:numPr>
              <w:tabs>
                <w:tab w:val="center" w:pos="4153"/>
                <w:tab w:val="right" w:pos="8306"/>
              </w:tabs>
              <w:jc w:val="both"/>
              <w:rPr>
                <w:rFonts w:ascii="Calibri" w:hAnsi="Calibri"/>
                <w:bCs/>
                <w:i/>
                <w:iCs/>
                <w:szCs w:val="22"/>
              </w:rPr>
            </w:pPr>
            <w:r w:rsidRPr="00246992">
              <w:rPr>
                <w:rFonts w:ascii="Calibri" w:hAnsi="Calibri"/>
                <w:bCs/>
                <w:i/>
                <w:iCs/>
                <w:szCs w:val="22"/>
              </w:rPr>
              <w:t>The provisions of Policy DMG1, and</w:t>
            </w:r>
          </w:p>
          <w:p w14:paraId="1B472715" w14:textId="77777777" w:rsidR="00246992" w:rsidRPr="00246992" w:rsidRDefault="00246992" w:rsidP="00246992">
            <w:pPr>
              <w:pStyle w:val="ListParagraph"/>
              <w:numPr>
                <w:ilvl w:val="0"/>
                <w:numId w:val="19"/>
              </w:numPr>
              <w:tabs>
                <w:tab w:val="center" w:pos="4153"/>
                <w:tab w:val="right" w:pos="8306"/>
              </w:tabs>
              <w:jc w:val="both"/>
              <w:rPr>
                <w:rFonts w:ascii="Calibri" w:hAnsi="Calibri"/>
                <w:bCs/>
                <w:i/>
                <w:iCs/>
                <w:szCs w:val="22"/>
              </w:rPr>
            </w:pPr>
            <w:r w:rsidRPr="00246992">
              <w:rPr>
                <w:rFonts w:ascii="Calibri" w:hAnsi="Calibri"/>
                <w:bCs/>
                <w:i/>
                <w:iCs/>
                <w:szCs w:val="22"/>
              </w:rPr>
              <w:t>The compatibility of the proposal with other plan policies of the LDF, and</w:t>
            </w:r>
          </w:p>
          <w:p w14:paraId="13B321C7" w14:textId="77777777" w:rsidR="00246992" w:rsidRPr="00246992" w:rsidRDefault="00246992" w:rsidP="00246992">
            <w:pPr>
              <w:pStyle w:val="ListParagraph"/>
              <w:numPr>
                <w:ilvl w:val="0"/>
                <w:numId w:val="19"/>
              </w:numPr>
              <w:tabs>
                <w:tab w:val="center" w:pos="4153"/>
                <w:tab w:val="right" w:pos="8306"/>
              </w:tabs>
              <w:jc w:val="both"/>
              <w:rPr>
                <w:rFonts w:ascii="Calibri" w:hAnsi="Calibri"/>
                <w:bCs/>
                <w:i/>
                <w:iCs/>
                <w:szCs w:val="22"/>
              </w:rPr>
            </w:pPr>
            <w:r w:rsidRPr="00246992">
              <w:rPr>
                <w:rFonts w:ascii="Calibri" w:hAnsi="Calibri"/>
                <w:bCs/>
                <w:i/>
                <w:iCs/>
                <w:szCs w:val="22"/>
              </w:rPr>
              <w:t>The environmental benefits to be gained by the community, and</w:t>
            </w:r>
          </w:p>
          <w:p w14:paraId="5A239E44" w14:textId="77777777" w:rsidR="00246992" w:rsidRPr="00246992" w:rsidRDefault="00246992" w:rsidP="00246992">
            <w:pPr>
              <w:pStyle w:val="ListParagraph"/>
              <w:numPr>
                <w:ilvl w:val="0"/>
                <w:numId w:val="19"/>
              </w:numPr>
              <w:tabs>
                <w:tab w:val="center" w:pos="4153"/>
                <w:tab w:val="right" w:pos="8306"/>
              </w:tabs>
              <w:jc w:val="both"/>
              <w:rPr>
                <w:rFonts w:ascii="Calibri" w:hAnsi="Calibri"/>
                <w:bCs/>
                <w:i/>
                <w:iCs/>
                <w:szCs w:val="22"/>
              </w:rPr>
            </w:pPr>
            <w:r w:rsidRPr="00246992">
              <w:rPr>
                <w:rFonts w:ascii="Calibri" w:hAnsi="Calibri"/>
                <w:bCs/>
                <w:i/>
                <w:iCs/>
                <w:szCs w:val="22"/>
              </w:rPr>
              <w:t>The economic and social impact caused by loss of employment opportunities to the borough, and</w:t>
            </w:r>
          </w:p>
          <w:p w14:paraId="237B81C7" w14:textId="77777777" w:rsidR="00246992" w:rsidRPr="00246992" w:rsidRDefault="00246992" w:rsidP="00246992">
            <w:pPr>
              <w:pStyle w:val="ListParagraph"/>
              <w:numPr>
                <w:ilvl w:val="0"/>
                <w:numId w:val="19"/>
              </w:numPr>
              <w:tabs>
                <w:tab w:val="center" w:pos="4153"/>
                <w:tab w:val="right" w:pos="8306"/>
              </w:tabs>
              <w:jc w:val="both"/>
              <w:rPr>
                <w:rFonts w:ascii="Calibri" w:hAnsi="Calibri"/>
                <w:bCs/>
                <w:i/>
                <w:iCs/>
                <w:szCs w:val="22"/>
              </w:rPr>
            </w:pPr>
            <w:r w:rsidRPr="00246992">
              <w:rPr>
                <w:rFonts w:ascii="Calibri" w:hAnsi="Calibri"/>
                <w:bCs/>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542E786C" w14:textId="77777777" w:rsidR="00246992" w:rsidRPr="00246992" w:rsidRDefault="00246992" w:rsidP="00246992">
            <w:pPr>
              <w:jc w:val="both"/>
              <w:rPr>
                <w:rFonts w:ascii="Calibri" w:hAnsi="Calibri"/>
                <w:bCs/>
                <w:i/>
                <w:iCs/>
                <w:color w:val="FF0000"/>
                <w:szCs w:val="22"/>
              </w:rPr>
            </w:pPr>
          </w:p>
          <w:p w14:paraId="15CEABDE" w14:textId="0CD17D4C" w:rsidR="00246992" w:rsidRPr="00246992" w:rsidRDefault="00246992" w:rsidP="00246992">
            <w:pPr>
              <w:jc w:val="both"/>
              <w:rPr>
                <w:rFonts w:ascii="Calibri" w:hAnsi="Calibri"/>
                <w:bCs/>
                <w:szCs w:val="22"/>
              </w:rPr>
            </w:pPr>
            <w:r w:rsidRPr="00246992">
              <w:rPr>
                <w:rFonts w:ascii="Calibri" w:hAnsi="Calibri"/>
                <w:bCs/>
                <w:szCs w:val="22"/>
              </w:rPr>
              <w:lastRenderedPageBreak/>
              <w:t>In respect of criterion 3, the proposal is likely to result in an overall benefit in terms of ensured long term increased level of custodianship and protection of the Grade II Designated Heritage Asset.</w:t>
            </w:r>
          </w:p>
          <w:p w14:paraId="5BF1D5A2" w14:textId="77777777" w:rsidR="00D75039" w:rsidRDefault="00D75039" w:rsidP="008542DE">
            <w:pPr>
              <w:pStyle w:val="Header"/>
              <w:tabs>
                <w:tab w:val="clear" w:pos="4153"/>
                <w:tab w:val="clear" w:pos="8306"/>
              </w:tabs>
              <w:contextualSpacing/>
              <w:jc w:val="both"/>
              <w:rPr>
                <w:rFonts w:ascii="Calibri" w:hAnsi="Calibri"/>
                <w:b/>
                <w:szCs w:val="22"/>
              </w:rPr>
            </w:pPr>
          </w:p>
          <w:p w14:paraId="74C50E79" w14:textId="3CC84258" w:rsidR="00246992" w:rsidRPr="00246992" w:rsidRDefault="00246992" w:rsidP="00246992">
            <w:pPr>
              <w:jc w:val="both"/>
              <w:rPr>
                <w:rFonts w:ascii="Calibri" w:hAnsi="Calibri"/>
                <w:bCs/>
                <w:szCs w:val="22"/>
              </w:rPr>
            </w:pPr>
            <w:r w:rsidRPr="00246992">
              <w:rPr>
                <w:rFonts w:ascii="Calibri" w:hAnsi="Calibri"/>
                <w:bCs/>
                <w:szCs w:val="22"/>
              </w:rPr>
              <w:t>In respect of criterion 4 and the economic and social impact caused by loss of employment opportunities to the borough.  The building is located outside of the Main Centre Boundary for Clitheroe and does not form part of the ‘primary shopping frontage’.  The previous business that utilised the building did not utilise all floors for commercial purposes given the somewhat constricted nature of the internal configuration.  In this respect and taking account of the internal configuration of the building, in that it is not ideally suited to accommodate a number of commercial uses, the loss of the existing commercial floorspace and the impacts on the economy would be negligible, particularly taking account of the small-scale nature of the commercial operation the building previously accommodated or could accommodate, in this respect the loss of an employment generating use of this size is extremely unlikely to yield significant impact to the local economy to the extent that this alone would endanger the support for the introduction of a replacement residential use on this site.</w:t>
            </w:r>
          </w:p>
          <w:p w14:paraId="46C93F0D" w14:textId="77777777" w:rsidR="00246992" w:rsidRPr="00246992" w:rsidRDefault="00246992" w:rsidP="00246992">
            <w:pPr>
              <w:jc w:val="both"/>
              <w:rPr>
                <w:rFonts w:ascii="Calibri" w:hAnsi="Calibri"/>
                <w:bCs/>
                <w:color w:val="FF0000"/>
                <w:szCs w:val="22"/>
              </w:rPr>
            </w:pPr>
          </w:p>
          <w:p w14:paraId="3184C2BF" w14:textId="77777777" w:rsidR="00246992" w:rsidRPr="00246992" w:rsidRDefault="00246992" w:rsidP="00246992">
            <w:pPr>
              <w:jc w:val="both"/>
              <w:rPr>
                <w:rFonts w:ascii="Calibri" w:hAnsi="Calibri"/>
                <w:bCs/>
                <w:szCs w:val="22"/>
              </w:rPr>
            </w:pPr>
            <w:r w:rsidRPr="00246992">
              <w:rPr>
                <w:rFonts w:ascii="Calibri" w:hAnsi="Calibri"/>
                <w:bCs/>
                <w:szCs w:val="22"/>
              </w:rPr>
              <w:t>In respect of criterion 5, Policy DMB1 requires that the proposed development should also be assessed with regard to any attempts that have been made to secure an alternative employment generating use for the site.  In cases/locations where the retention of commercial uses within a site is preferable, the policy requires the marketing of the site for business use for a minimum of 6 months in order to support/justify the potential loss of the employment generating use.</w:t>
            </w:r>
          </w:p>
          <w:p w14:paraId="4D2FD7E0" w14:textId="77777777" w:rsidR="00246992" w:rsidRPr="00246992" w:rsidRDefault="00246992" w:rsidP="00246992">
            <w:pPr>
              <w:jc w:val="both"/>
              <w:rPr>
                <w:rFonts w:ascii="Calibri" w:hAnsi="Calibri"/>
                <w:bCs/>
                <w:color w:val="FF0000"/>
                <w:szCs w:val="22"/>
              </w:rPr>
            </w:pPr>
          </w:p>
          <w:p w14:paraId="4B21F1B9" w14:textId="39B670CB" w:rsidR="00246992" w:rsidRPr="000063BA" w:rsidRDefault="00246992" w:rsidP="00246992">
            <w:pPr>
              <w:jc w:val="both"/>
              <w:rPr>
                <w:rFonts w:ascii="Calibri" w:hAnsi="Calibri"/>
                <w:bCs/>
                <w:szCs w:val="22"/>
              </w:rPr>
            </w:pPr>
            <w:r w:rsidRPr="000063BA">
              <w:rPr>
                <w:rFonts w:ascii="Calibri" w:hAnsi="Calibri"/>
                <w:bCs/>
                <w:szCs w:val="22"/>
              </w:rPr>
              <w:t xml:space="preserve">In this instance, </w:t>
            </w:r>
            <w:r w:rsidR="000063BA" w:rsidRPr="000063BA">
              <w:rPr>
                <w:rFonts w:ascii="Calibri" w:hAnsi="Calibri"/>
                <w:bCs/>
                <w:szCs w:val="22"/>
              </w:rPr>
              <w:t xml:space="preserve">the ‘commercial’ usage of the building is not considered to be of such a scale and quantum to warrant significant concerns in respect of loss.  Furthermore, the enhancement of the Grade II Designated Heritage Asset, included the bringing back in to use underused areas of the building are considered significant benefits which would outweigh any conflict(s) with Policy DMB1 in this respect.  </w:t>
            </w:r>
            <w:r w:rsidRPr="000063BA">
              <w:rPr>
                <w:rFonts w:ascii="Calibri" w:hAnsi="Calibri"/>
                <w:bCs/>
                <w:szCs w:val="22"/>
              </w:rPr>
              <w:t xml:space="preserve">The introduction of a residential use upon the site is therefore considered to represent a benefit which outweighs the conflict with criterion 5 in this instance.  </w:t>
            </w:r>
          </w:p>
          <w:p w14:paraId="7043255D" w14:textId="77777777" w:rsidR="00246992" w:rsidRPr="00246992" w:rsidRDefault="00246992" w:rsidP="00246992">
            <w:pPr>
              <w:jc w:val="both"/>
              <w:rPr>
                <w:rFonts w:ascii="Calibri" w:hAnsi="Calibri"/>
                <w:bCs/>
                <w:i/>
                <w:iCs/>
                <w:color w:val="FF0000"/>
                <w:szCs w:val="22"/>
              </w:rPr>
            </w:pPr>
          </w:p>
          <w:p w14:paraId="5AFD54D9" w14:textId="32F8249A" w:rsidR="00246992" w:rsidRPr="00246992" w:rsidRDefault="00246992" w:rsidP="00246992">
            <w:pPr>
              <w:pStyle w:val="Header"/>
              <w:tabs>
                <w:tab w:val="clear" w:pos="4153"/>
                <w:tab w:val="clear" w:pos="8306"/>
              </w:tabs>
              <w:contextualSpacing/>
              <w:jc w:val="both"/>
              <w:rPr>
                <w:rFonts w:ascii="Calibri" w:hAnsi="Calibri"/>
                <w:bCs/>
                <w:szCs w:val="22"/>
              </w:rPr>
            </w:pPr>
            <w:r w:rsidRPr="00246992">
              <w:rPr>
                <w:rFonts w:ascii="Calibri" w:hAnsi="Calibri"/>
                <w:bCs/>
                <w:szCs w:val="22"/>
              </w:rPr>
              <w:t>As such, taking account of the above matters, notwithstanding other development management considerations</w:t>
            </w:r>
            <w:r w:rsidR="000063BA">
              <w:rPr>
                <w:rFonts w:ascii="Calibri" w:hAnsi="Calibri"/>
                <w:bCs/>
                <w:szCs w:val="22"/>
              </w:rPr>
              <w:t>.  T</w:t>
            </w:r>
            <w:r w:rsidRPr="00246992">
              <w:rPr>
                <w:rFonts w:ascii="Calibri" w:hAnsi="Calibri"/>
                <w:bCs/>
                <w:szCs w:val="22"/>
              </w:rPr>
              <w:t xml:space="preserve">he principle of the redevelopment of the site for residential purposes raises no significant measurable direct conflict(s) with Key Statements EC1 or Policies DMB1 of the Ribble Valley Core Strategy that would warrant the refusal to grant planning permission in relation to matters </w:t>
            </w:r>
            <w:r w:rsidR="000063BA">
              <w:rPr>
                <w:rFonts w:ascii="Calibri" w:hAnsi="Calibri"/>
                <w:bCs/>
                <w:szCs w:val="22"/>
              </w:rPr>
              <w:t>regarding the potential</w:t>
            </w:r>
            <w:r w:rsidRPr="00246992">
              <w:rPr>
                <w:rFonts w:ascii="Calibri" w:hAnsi="Calibri"/>
                <w:bCs/>
                <w:szCs w:val="22"/>
              </w:rPr>
              <w:t xml:space="preserve"> </w:t>
            </w:r>
            <w:r w:rsidR="000063BA">
              <w:rPr>
                <w:rFonts w:ascii="Calibri" w:hAnsi="Calibri"/>
                <w:bCs/>
                <w:szCs w:val="22"/>
              </w:rPr>
              <w:t>loss ‘employment generating’ floorspace.</w:t>
            </w:r>
          </w:p>
          <w:p w14:paraId="07A958AF" w14:textId="2F6670FE" w:rsidR="00D75039" w:rsidRDefault="00D75039"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Building(s) and Setting</w:t>
            </w:r>
            <w:r w:rsidR="00D84147">
              <w:rPr>
                <w:rFonts w:ascii="Calibri" w:hAnsi="Calibri"/>
                <w:b/>
                <w:szCs w:val="22"/>
              </w:rPr>
              <w:t>:</w:t>
            </w:r>
          </w:p>
          <w:p w14:paraId="6A2BDA66" w14:textId="77777777" w:rsidR="008542DE" w:rsidRDefault="008542DE" w:rsidP="0046548C">
            <w:pPr>
              <w:contextualSpacing/>
              <w:rPr>
                <w:rFonts w:ascii="Calibri" w:hAnsi="Calibri"/>
                <w:b/>
              </w:rPr>
            </w:pPr>
          </w:p>
          <w:p w14:paraId="72E3808A" w14:textId="1C1BEA7C" w:rsidR="00BB4772" w:rsidRDefault="00BB4772" w:rsidP="00BB4772">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19713D">
              <w:rPr>
                <w:rFonts w:asciiTheme="minorHAnsi" w:hAnsiTheme="minorHAnsi" w:cstheme="minorHAnsi"/>
                <w:bCs/>
                <w:szCs w:val="22"/>
              </w:rPr>
              <w:t xml:space="preserve">The application relates to </w:t>
            </w:r>
            <w:r w:rsidR="0019713D">
              <w:rPr>
                <w:rFonts w:asciiTheme="minorHAnsi" w:hAnsiTheme="minorHAnsi" w:cstheme="minorHAnsi"/>
                <w:bCs/>
                <w:szCs w:val="22"/>
              </w:rPr>
              <w:t xml:space="preserve">a building which forms part of a group </w:t>
            </w:r>
            <w:r w:rsidRPr="0019713D">
              <w:rPr>
                <w:rFonts w:asciiTheme="minorHAnsi" w:hAnsiTheme="minorHAnsi" w:cstheme="minorHAnsi"/>
                <w:bCs/>
                <w:szCs w:val="22"/>
              </w:rPr>
              <w:t>Grade II Listed Building</w:t>
            </w:r>
            <w:r w:rsidR="0019713D">
              <w:rPr>
                <w:rFonts w:asciiTheme="minorHAnsi" w:hAnsiTheme="minorHAnsi" w:cstheme="minorHAnsi"/>
                <w:bCs/>
                <w:szCs w:val="22"/>
              </w:rPr>
              <w:t xml:space="preserve">s </w:t>
            </w:r>
            <w:r w:rsidR="0019713D" w:rsidRPr="0019713D">
              <w:rPr>
                <w:rFonts w:asciiTheme="minorHAnsi" w:hAnsiTheme="minorHAnsi" w:cstheme="minorHAnsi"/>
                <w:bCs/>
                <w:szCs w:val="22"/>
              </w:rPr>
              <w:t>(</w:t>
            </w:r>
            <w:r w:rsidR="0019713D">
              <w:rPr>
                <w:rFonts w:asciiTheme="minorHAnsi" w:hAnsiTheme="minorHAnsi" w:cstheme="minorHAnsi"/>
                <w:bCs/>
                <w:szCs w:val="22"/>
              </w:rPr>
              <w:t xml:space="preserve">34-38 York Street - </w:t>
            </w:r>
            <w:r w:rsidR="0019713D" w:rsidRPr="0019713D">
              <w:rPr>
                <w:rFonts w:asciiTheme="minorHAnsi" w:hAnsiTheme="minorHAnsi" w:cstheme="minorHAnsi"/>
                <w:bCs/>
                <w:szCs w:val="22"/>
              </w:rPr>
              <w:t xml:space="preserve">List Entry </w:t>
            </w:r>
            <w:r w:rsidR="0019713D" w:rsidRPr="0019713D">
              <w:rPr>
                <w:rFonts w:asciiTheme="minorHAnsi" w:hAnsiTheme="minorHAnsi" w:cstheme="minorHAnsi"/>
                <w:color w:val="000000"/>
                <w:szCs w:val="22"/>
                <w:shd w:val="clear" w:color="auto" w:fill="FFFFFF"/>
              </w:rPr>
              <w:t>1164450)</w:t>
            </w:r>
            <w:r w:rsidR="0019713D">
              <w:rPr>
                <w:rFonts w:asciiTheme="minorHAnsi" w:hAnsiTheme="minorHAnsi" w:cstheme="minorHAnsi"/>
                <w:color w:val="000000"/>
                <w:szCs w:val="22"/>
                <w:shd w:val="clear" w:color="auto" w:fill="FFFFFF"/>
              </w:rPr>
              <w:t>, with the listing reading as follows:</w:t>
            </w:r>
          </w:p>
          <w:p w14:paraId="30A88F07" w14:textId="77777777" w:rsidR="0019713D" w:rsidRDefault="0019713D" w:rsidP="00BB4772">
            <w:pPr>
              <w:pStyle w:val="Header"/>
              <w:tabs>
                <w:tab w:val="clear" w:pos="4153"/>
                <w:tab w:val="clear" w:pos="8306"/>
              </w:tabs>
              <w:contextualSpacing/>
              <w:jc w:val="both"/>
              <w:rPr>
                <w:rFonts w:asciiTheme="minorHAnsi" w:hAnsiTheme="minorHAnsi" w:cstheme="minorHAnsi"/>
                <w:bCs/>
                <w:szCs w:val="22"/>
              </w:rPr>
            </w:pPr>
          </w:p>
          <w:p w14:paraId="528E406F" w14:textId="71743982" w:rsidR="0019713D" w:rsidRPr="0019713D" w:rsidRDefault="0019713D" w:rsidP="00BB4772">
            <w:pPr>
              <w:pStyle w:val="Header"/>
              <w:tabs>
                <w:tab w:val="clear" w:pos="4153"/>
                <w:tab w:val="clear" w:pos="8306"/>
              </w:tabs>
              <w:contextualSpacing/>
              <w:jc w:val="both"/>
              <w:rPr>
                <w:rFonts w:asciiTheme="minorHAnsi" w:hAnsiTheme="minorHAnsi" w:cstheme="minorHAnsi"/>
                <w:bCs/>
                <w:i/>
                <w:iCs/>
                <w:szCs w:val="22"/>
              </w:rPr>
            </w:pPr>
            <w:r w:rsidRPr="0019713D">
              <w:rPr>
                <w:rFonts w:asciiTheme="minorHAnsi" w:hAnsiTheme="minorHAnsi" w:cstheme="minorHAnsi"/>
                <w:bCs/>
                <w:i/>
                <w:iCs/>
                <w:szCs w:val="22"/>
              </w:rPr>
              <w:t>‘YORK STREET 1. 5295 (South-East Side) Nos 34 to 38 (even) SD 7442 2/21 II 2. C18 or early C19. 3 storeys, stuccoed. Moulded stone eaves cornice. Rusticated quoins. 3 windows to each storey, stone surrounds, 1 with glazing bars. Each has door with rectangular fanlight, cornice and stone architrave. 2 doors of 6 fielded panels and 1 of 3 panels to No 38. 2 ground floor windows and modern and C19 shop window to No 38.’</w:t>
            </w:r>
          </w:p>
          <w:p w14:paraId="1CC71742" w14:textId="77777777" w:rsidR="00BB4772" w:rsidRPr="002A7050" w:rsidRDefault="00BB4772" w:rsidP="00BB4772">
            <w:pPr>
              <w:pStyle w:val="Header"/>
              <w:tabs>
                <w:tab w:val="clear" w:pos="4153"/>
                <w:tab w:val="clear" w:pos="8306"/>
              </w:tabs>
              <w:contextualSpacing/>
              <w:jc w:val="both"/>
              <w:rPr>
                <w:rFonts w:ascii="Calibri" w:hAnsi="Calibri"/>
                <w:bCs/>
                <w:szCs w:val="22"/>
              </w:rPr>
            </w:pPr>
          </w:p>
          <w:p w14:paraId="1CD412D3" w14:textId="77777777" w:rsidR="00BB4772" w:rsidRPr="002A7050" w:rsidRDefault="00BB4772" w:rsidP="00BB4772">
            <w:pPr>
              <w:pStyle w:val="Header"/>
              <w:tabs>
                <w:tab w:val="clear" w:pos="4153"/>
                <w:tab w:val="clear" w:pos="8306"/>
              </w:tabs>
              <w:contextualSpacing/>
              <w:jc w:val="both"/>
              <w:rPr>
                <w:rFonts w:ascii="Calibri" w:hAnsi="Calibri"/>
                <w:bCs/>
                <w:szCs w:val="22"/>
              </w:rPr>
            </w:pPr>
            <w:r w:rsidRPr="002A7050">
              <w:rPr>
                <w:rFonts w:ascii="Calibri" w:hAnsi="Calibri"/>
                <w:bCs/>
                <w:szCs w:val="22"/>
              </w:rPr>
              <w:t>The building is also adjacent, within close proximity to and within the setting of a number of Grade II Listed Designated Heritage Assets as follows:</w:t>
            </w:r>
          </w:p>
          <w:p w14:paraId="0EE2E5F2" w14:textId="77777777" w:rsidR="00BB4772" w:rsidRPr="002A7050" w:rsidRDefault="00BB4772" w:rsidP="00BB4772">
            <w:pPr>
              <w:pStyle w:val="Header"/>
              <w:tabs>
                <w:tab w:val="clear" w:pos="4153"/>
                <w:tab w:val="clear" w:pos="8306"/>
              </w:tabs>
              <w:contextualSpacing/>
              <w:jc w:val="both"/>
              <w:rPr>
                <w:rFonts w:ascii="Calibri" w:hAnsi="Calibri"/>
                <w:bCs/>
                <w:szCs w:val="22"/>
              </w:rPr>
            </w:pPr>
          </w:p>
          <w:p w14:paraId="319C3EB8" w14:textId="199A479A" w:rsidR="00BB4772" w:rsidRPr="002A7050" w:rsidRDefault="0019713D" w:rsidP="00BB4772">
            <w:pPr>
              <w:pStyle w:val="Header"/>
              <w:numPr>
                <w:ilvl w:val="0"/>
                <w:numId w:val="6"/>
              </w:numPr>
              <w:contextualSpacing/>
              <w:jc w:val="both"/>
              <w:rPr>
                <w:rFonts w:ascii="Calibri" w:hAnsi="Calibri"/>
                <w:bCs/>
                <w:szCs w:val="22"/>
              </w:rPr>
            </w:pPr>
            <w:r>
              <w:rPr>
                <w:rFonts w:ascii="Calibri" w:hAnsi="Calibri"/>
                <w:bCs/>
                <w:szCs w:val="22"/>
              </w:rPr>
              <w:t>The Grand Cinema</w:t>
            </w:r>
            <w:r w:rsidR="00BB4772" w:rsidRPr="002A7050">
              <w:rPr>
                <w:rFonts w:ascii="Calibri" w:hAnsi="Calibri"/>
                <w:bCs/>
                <w:szCs w:val="22"/>
              </w:rPr>
              <w:t xml:space="preserve"> (List Entry: 1</w:t>
            </w:r>
            <w:r>
              <w:rPr>
                <w:rFonts w:ascii="Calibri" w:hAnsi="Calibri"/>
                <w:bCs/>
                <w:szCs w:val="22"/>
              </w:rPr>
              <w:t>381005</w:t>
            </w:r>
            <w:r w:rsidR="00BB4772" w:rsidRPr="002A7050">
              <w:rPr>
                <w:rFonts w:ascii="Calibri" w:hAnsi="Calibri"/>
                <w:bCs/>
                <w:szCs w:val="22"/>
              </w:rPr>
              <w:t>)</w:t>
            </w:r>
          </w:p>
          <w:p w14:paraId="521EEF76" w14:textId="4BCA3BC4" w:rsidR="00BB4772" w:rsidRPr="002A7050" w:rsidRDefault="0019713D" w:rsidP="00BB4772">
            <w:pPr>
              <w:pStyle w:val="Header"/>
              <w:numPr>
                <w:ilvl w:val="0"/>
                <w:numId w:val="6"/>
              </w:numPr>
              <w:contextualSpacing/>
              <w:jc w:val="both"/>
              <w:rPr>
                <w:rFonts w:ascii="Calibri" w:hAnsi="Calibri"/>
                <w:bCs/>
                <w:szCs w:val="22"/>
              </w:rPr>
            </w:pPr>
            <w:r>
              <w:rPr>
                <w:rFonts w:ascii="Calibri" w:hAnsi="Calibri"/>
                <w:bCs/>
                <w:szCs w:val="22"/>
              </w:rPr>
              <w:t>11-23 York Street</w:t>
            </w:r>
            <w:r w:rsidR="00BB4772" w:rsidRPr="002A7050">
              <w:rPr>
                <w:rFonts w:ascii="Calibri" w:hAnsi="Calibri"/>
                <w:bCs/>
                <w:szCs w:val="22"/>
              </w:rPr>
              <w:t xml:space="preserve"> (List Entry: 10723</w:t>
            </w:r>
            <w:r>
              <w:rPr>
                <w:rFonts w:ascii="Calibri" w:hAnsi="Calibri"/>
                <w:bCs/>
                <w:szCs w:val="22"/>
              </w:rPr>
              <w:t>25</w:t>
            </w:r>
            <w:r w:rsidR="00BB4772" w:rsidRPr="002A7050">
              <w:rPr>
                <w:rFonts w:ascii="Calibri" w:hAnsi="Calibri"/>
                <w:bCs/>
                <w:szCs w:val="22"/>
              </w:rPr>
              <w:t>)</w:t>
            </w:r>
          </w:p>
          <w:p w14:paraId="07D55AD0" w14:textId="6BA5E440" w:rsidR="00BB4772" w:rsidRPr="002A7050" w:rsidRDefault="0019713D" w:rsidP="00BB4772">
            <w:pPr>
              <w:pStyle w:val="Header"/>
              <w:numPr>
                <w:ilvl w:val="0"/>
                <w:numId w:val="6"/>
              </w:numPr>
              <w:contextualSpacing/>
              <w:jc w:val="both"/>
              <w:rPr>
                <w:rFonts w:ascii="Calibri" w:hAnsi="Calibri"/>
                <w:bCs/>
                <w:szCs w:val="22"/>
              </w:rPr>
            </w:pPr>
            <w:r>
              <w:rPr>
                <w:rFonts w:ascii="Calibri" w:hAnsi="Calibri"/>
                <w:bCs/>
                <w:szCs w:val="22"/>
              </w:rPr>
              <w:t>Clitheroe Royal Grammar School</w:t>
            </w:r>
            <w:r w:rsidR="00BB4772" w:rsidRPr="002A7050">
              <w:rPr>
                <w:rFonts w:ascii="Calibri" w:hAnsi="Calibri"/>
                <w:bCs/>
                <w:szCs w:val="22"/>
              </w:rPr>
              <w:t xml:space="preserve"> (List Entry: </w:t>
            </w:r>
            <w:r>
              <w:rPr>
                <w:rFonts w:ascii="Calibri" w:hAnsi="Calibri"/>
                <w:bCs/>
                <w:szCs w:val="22"/>
              </w:rPr>
              <w:t>1072326</w:t>
            </w:r>
            <w:r w:rsidR="00BB4772" w:rsidRPr="002A7050">
              <w:rPr>
                <w:rFonts w:ascii="Calibri" w:hAnsi="Calibri"/>
                <w:bCs/>
                <w:szCs w:val="22"/>
              </w:rPr>
              <w:t>)</w:t>
            </w:r>
          </w:p>
          <w:p w14:paraId="1F0981FB" w14:textId="77777777" w:rsidR="00BB4772" w:rsidRPr="00D45384" w:rsidRDefault="00BB4772" w:rsidP="00BB4772">
            <w:pPr>
              <w:pStyle w:val="Header"/>
              <w:tabs>
                <w:tab w:val="clear" w:pos="4153"/>
                <w:tab w:val="clear" w:pos="8306"/>
              </w:tabs>
              <w:contextualSpacing/>
              <w:jc w:val="both"/>
              <w:rPr>
                <w:rFonts w:ascii="Calibri" w:hAnsi="Calibri"/>
                <w:b/>
                <w:color w:val="FF0000"/>
                <w:szCs w:val="22"/>
              </w:rPr>
            </w:pPr>
          </w:p>
          <w:p w14:paraId="4ACC384C" w14:textId="77777777" w:rsidR="00BB4772" w:rsidRPr="002877BB" w:rsidRDefault="00BB4772" w:rsidP="00BB4772">
            <w:pPr>
              <w:contextualSpacing/>
              <w:jc w:val="both"/>
              <w:rPr>
                <w:rFonts w:ascii="Calibri" w:hAnsi="Calibri"/>
                <w:bCs/>
              </w:rPr>
            </w:pPr>
            <w:r w:rsidRPr="002877BB">
              <w:rPr>
                <w:rFonts w:ascii="Calibri" w:hAnsi="Calibri"/>
                <w:bCs/>
              </w:rPr>
              <w:t xml:space="preserve">As such, in assessing the proposal, regard must be given to the statutory duties imposed on the authority in respect of the preservation and enhancement of such assets.  In this respect, at a local level, Key </w:t>
            </w:r>
            <w:r w:rsidRPr="002877BB">
              <w:rPr>
                <w:rFonts w:ascii="Calibri" w:hAnsi="Calibri"/>
                <w:bCs/>
              </w:rPr>
              <w:lastRenderedPageBreak/>
              <w:t>Statement EN5 and Policy DME4 are primarily, but not solely, engaged for the purposes of assessing likely impacts upon designated heritage assets resultant from the proposed development.</w:t>
            </w:r>
          </w:p>
          <w:p w14:paraId="1798ABB4" w14:textId="77777777" w:rsidR="00BB4772" w:rsidRDefault="00BB4772" w:rsidP="00BB4772">
            <w:pPr>
              <w:contextualSpacing/>
              <w:jc w:val="both"/>
              <w:rPr>
                <w:rFonts w:ascii="Calibri" w:hAnsi="Calibri"/>
                <w:bCs/>
              </w:rPr>
            </w:pPr>
          </w:p>
          <w:p w14:paraId="356F7CAE" w14:textId="71F57532" w:rsidR="00AF24C2" w:rsidRPr="00AF24C2" w:rsidRDefault="00AF24C2" w:rsidP="00BB4772">
            <w:pPr>
              <w:contextualSpacing/>
              <w:jc w:val="both"/>
              <w:rPr>
                <w:rFonts w:ascii="Calibri" w:hAnsi="Calibri"/>
                <w:b/>
                <w:u w:val="single"/>
              </w:rPr>
            </w:pPr>
            <w:r w:rsidRPr="00AF24C2">
              <w:rPr>
                <w:rFonts w:ascii="Calibri" w:hAnsi="Calibri"/>
                <w:b/>
                <w:u w:val="single"/>
              </w:rPr>
              <w:t>Key Statement EN5:</w:t>
            </w:r>
          </w:p>
          <w:p w14:paraId="06BFF609" w14:textId="77777777" w:rsidR="00AF24C2" w:rsidRPr="002877BB" w:rsidRDefault="00AF24C2" w:rsidP="00BB4772">
            <w:pPr>
              <w:contextualSpacing/>
              <w:jc w:val="both"/>
              <w:rPr>
                <w:rFonts w:ascii="Calibri" w:hAnsi="Calibri"/>
                <w:bCs/>
              </w:rPr>
            </w:pPr>
          </w:p>
          <w:p w14:paraId="56FFE80A" w14:textId="77777777" w:rsidR="00BB4772" w:rsidRPr="002877BB" w:rsidRDefault="00BB4772" w:rsidP="00BB4772">
            <w:pPr>
              <w:contextualSpacing/>
              <w:jc w:val="both"/>
              <w:rPr>
                <w:rFonts w:ascii="Calibri" w:hAnsi="Calibri"/>
                <w:b/>
              </w:rPr>
            </w:pPr>
            <w:r w:rsidRPr="002877BB">
              <w:rPr>
                <w:rFonts w:ascii="Calibri" w:hAnsi="Calibri"/>
                <w:bCs/>
              </w:rPr>
              <w:t>In this respect Key Statement EN5 states that:</w:t>
            </w:r>
          </w:p>
          <w:p w14:paraId="3275A4B2" w14:textId="77777777" w:rsidR="00BB4772" w:rsidRPr="002877BB" w:rsidRDefault="00BB4772" w:rsidP="00BB4772">
            <w:pPr>
              <w:contextualSpacing/>
              <w:rPr>
                <w:rFonts w:ascii="Calibri" w:hAnsi="Calibri"/>
                <w:b/>
              </w:rPr>
            </w:pPr>
          </w:p>
          <w:p w14:paraId="663C0B11" w14:textId="77777777" w:rsidR="00BB4772" w:rsidRPr="002877BB" w:rsidRDefault="00BB4772" w:rsidP="00BB4772">
            <w:pPr>
              <w:jc w:val="both"/>
              <w:rPr>
                <w:rFonts w:asciiTheme="minorHAnsi" w:hAnsiTheme="minorHAnsi" w:cstheme="minorHAnsi"/>
                <w:i/>
                <w:iCs/>
                <w:szCs w:val="22"/>
              </w:rPr>
            </w:pPr>
            <w:r w:rsidRPr="002877BB">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2877BB" w:rsidRDefault="00BB4772" w:rsidP="00BB4772">
            <w:pPr>
              <w:jc w:val="both"/>
              <w:rPr>
                <w:rFonts w:asciiTheme="minorHAnsi" w:hAnsiTheme="minorHAnsi" w:cstheme="minorHAnsi"/>
                <w:i/>
                <w:iCs/>
                <w:szCs w:val="22"/>
              </w:rPr>
            </w:pPr>
          </w:p>
          <w:p w14:paraId="092C63B0" w14:textId="77777777" w:rsidR="00BB4772" w:rsidRPr="002877BB" w:rsidRDefault="00BB4772" w:rsidP="00BB4772">
            <w:pPr>
              <w:jc w:val="both"/>
              <w:rPr>
                <w:rFonts w:asciiTheme="minorHAnsi" w:hAnsiTheme="minorHAnsi" w:cstheme="minorHAnsi"/>
                <w:i/>
                <w:iCs/>
                <w:szCs w:val="22"/>
              </w:rPr>
            </w:pPr>
            <w:r w:rsidRPr="002877BB">
              <w:rPr>
                <w:rFonts w:asciiTheme="minorHAnsi" w:hAnsiTheme="minorHAnsi" w:cstheme="minorHAnsi"/>
                <w:i/>
                <w:iCs/>
                <w:szCs w:val="22"/>
              </w:rPr>
              <w:t>This will be achieved through:</w:t>
            </w:r>
          </w:p>
          <w:p w14:paraId="06F8FE5B" w14:textId="77777777" w:rsidR="00BB4772" w:rsidRPr="002877BB" w:rsidRDefault="00BB4772" w:rsidP="00BB4772">
            <w:pPr>
              <w:jc w:val="both"/>
              <w:rPr>
                <w:rFonts w:asciiTheme="minorHAnsi" w:hAnsiTheme="minorHAnsi" w:cstheme="minorHAnsi"/>
                <w:b/>
                <w:bCs/>
                <w:i/>
                <w:iCs/>
                <w:szCs w:val="22"/>
              </w:rPr>
            </w:pPr>
          </w:p>
          <w:p w14:paraId="19428B01" w14:textId="77777777" w:rsidR="00BB4772" w:rsidRPr="002877BB"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2877BB"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2877BB"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2877BB"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2877BB"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Default="00BB4772" w:rsidP="00BB4772">
            <w:pPr>
              <w:contextualSpacing/>
              <w:rPr>
                <w:rFonts w:ascii="Calibri" w:hAnsi="Calibri"/>
                <w:b/>
              </w:rPr>
            </w:pPr>
          </w:p>
          <w:p w14:paraId="0C95BD80" w14:textId="18B99530" w:rsidR="00AF24C2" w:rsidRPr="00AF24C2" w:rsidRDefault="00AF24C2" w:rsidP="00BB4772">
            <w:pPr>
              <w:contextualSpacing/>
              <w:rPr>
                <w:rFonts w:ascii="Calibri" w:hAnsi="Calibri"/>
                <w:b/>
                <w:u w:val="single"/>
              </w:rPr>
            </w:pPr>
            <w:r w:rsidRPr="00AF24C2">
              <w:rPr>
                <w:rFonts w:ascii="Calibri" w:hAnsi="Calibri"/>
                <w:b/>
                <w:u w:val="single"/>
              </w:rPr>
              <w:t>Policy DME4:</w:t>
            </w:r>
          </w:p>
          <w:p w14:paraId="259D2416" w14:textId="77777777" w:rsidR="00AF24C2" w:rsidRPr="002877BB" w:rsidRDefault="00AF24C2" w:rsidP="00BB4772">
            <w:pPr>
              <w:contextualSpacing/>
              <w:rPr>
                <w:rFonts w:ascii="Calibri" w:hAnsi="Calibri"/>
                <w:b/>
              </w:rPr>
            </w:pPr>
          </w:p>
          <w:p w14:paraId="40B8FD7B" w14:textId="77777777" w:rsidR="00BB4772" w:rsidRPr="002877BB" w:rsidRDefault="00BB4772" w:rsidP="00BB4772">
            <w:pPr>
              <w:contextualSpacing/>
              <w:rPr>
                <w:rFonts w:ascii="Calibri" w:hAnsi="Calibri"/>
                <w:bCs/>
              </w:rPr>
            </w:pPr>
            <w:r w:rsidRPr="002877BB">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2877BB" w:rsidRDefault="00BB4772" w:rsidP="00BB4772">
            <w:pPr>
              <w:contextualSpacing/>
              <w:rPr>
                <w:rFonts w:ascii="Calibri" w:hAnsi="Calibri"/>
                <w:b/>
              </w:rPr>
            </w:pPr>
          </w:p>
          <w:p w14:paraId="42B9C1E5" w14:textId="77777777" w:rsidR="00BB4772" w:rsidRPr="002877BB" w:rsidRDefault="00BB4772" w:rsidP="00BB4772">
            <w:pPr>
              <w:jc w:val="both"/>
              <w:rPr>
                <w:rFonts w:asciiTheme="minorHAnsi" w:hAnsiTheme="minorHAnsi" w:cstheme="minorHAnsi"/>
                <w:b/>
                <w:bCs/>
                <w:i/>
                <w:iCs/>
                <w:szCs w:val="22"/>
              </w:rPr>
            </w:pPr>
            <w:r w:rsidRPr="002877BB">
              <w:rPr>
                <w:rFonts w:asciiTheme="minorHAnsi" w:hAnsiTheme="minorHAnsi" w:cstheme="minorHAnsi"/>
                <w:b/>
                <w:bCs/>
                <w:i/>
                <w:iCs/>
                <w:szCs w:val="22"/>
              </w:rPr>
              <w:t>1: CONSERVATION AREAS</w:t>
            </w:r>
          </w:p>
          <w:p w14:paraId="6B503452" w14:textId="77777777" w:rsidR="00BB4772" w:rsidRPr="002877BB" w:rsidRDefault="00BB4772" w:rsidP="00BB4772">
            <w:pPr>
              <w:jc w:val="both"/>
              <w:rPr>
                <w:rFonts w:asciiTheme="minorHAnsi" w:hAnsiTheme="minorHAnsi" w:cstheme="minorHAnsi"/>
                <w:b/>
                <w:bCs/>
                <w:i/>
                <w:iCs/>
                <w:szCs w:val="22"/>
                <w:u w:val="single"/>
              </w:rPr>
            </w:pPr>
          </w:p>
          <w:p w14:paraId="7EF42E96" w14:textId="77777777" w:rsidR="00BB4772" w:rsidRPr="002877BB" w:rsidRDefault="00BB4772" w:rsidP="00BB4772">
            <w:pPr>
              <w:jc w:val="both"/>
              <w:rPr>
                <w:rFonts w:asciiTheme="minorHAnsi" w:hAnsiTheme="minorHAnsi" w:cstheme="minorHAnsi"/>
                <w:i/>
                <w:iCs/>
                <w:szCs w:val="22"/>
              </w:rPr>
            </w:pPr>
            <w:r w:rsidRPr="002877BB">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2877BB" w:rsidRDefault="00BB4772" w:rsidP="00BB4772">
            <w:pPr>
              <w:jc w:val="both"/>
              <w:rPr>
                <w:rFonts w:asciiTheme="minorHAnsi" w:hAnsiTheme="minorHAnsi" w:cstheme="minorHAnsi"/>
                <w:i/>
                <w:iCs/>
                <w:szCs w:val="22"/>
              </w:rPr>
            </w:pPr>
          </w:p>
          <w:p w14:paraId="02395E61" w14:textId="77777777" w:rsidR="00BB4772" w:rsidRPr="002877BB" w:rsidRDefault="00BB4772" w:rsidP="00BB4772">
            <w:pPr>
              <w:jc w:val="both"/>
              <w:rPr>
                <w:rFonts w:asciiTheme="minorHAnsi" w:hAnsiTheme="minorHAnsi" w:cstheme="minorHAnsi"/>
                <w:i/>
                <w:iCs/>
                <w:szCs w:val="22"/>
              </w:rPr>
            </w:pPr>
            <w:r w:rsidRPr="002877BB">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2877BB" w:rsidRDefault="00BB4772" w:rsidP="00BB4772">
            <w:pPr>
              <w:jc w:val="both"/>
              <w:rPr>
                <w:rFonts w:asciiTheme="minorHAnsi" w:hAnsiTheme="minorHAnsi" w:cstheme="minorHAnsi"/>
                <w:i/>
                <w:iCs/>
                <w:szCs w:val="22"/>
              </w:rPr>
            </w:pPr>
          </w:p>
          <w:p w14:paraId="398B61FC" w14:textId="77777777" w:rsidR="00BB4772" w:rsidRPr="002877BB" w:rsidRDefault="00BB4772" w:rsidP="00BB4772">
            <w:pPr>
              <w:jc w:val="both"/>
              <w:rPr>
                <w:rFonts w:asciiTheme="minorHAnsi" w:hAnsiTheme="minorHAnsi" w:cstheme="minorHAnsi"/>
                <w:b/>
                <w:bCs/>
                <w:i/>
                <w:iCs/>
                <w:szCs w:val="22"/>
              </w:rPr>
            </w:pPr>
            <w:r w:rsidRPr="002877BB">
              <w:rPr>
                <w:rFonts w:asciiTheme="minorHAnsi" w:hAnsiTheme="minorHAnsi" w:cstheme="minorHAnsi"/>
                <w:b/>
                <w:bCs/>
                <w:i/>
                <w:iCs/>
                <w:szCs w:val="22"/>
              </w:rPr>
              <w:t>2: LISTED BUILDINGS AND OTHER BUILDINGS OF SIGNIFICANT HERITAGE INTEREST</w:t>
            </w:r>
          </w:p>
          <w:p w14:paraId="333AD0F2" w14:textId="77777777" w:rsidR="00BB4772" w:rsidRPr="002877BB" w:rsidRDefault="00BB4772" w:rsidP="00BB4772">
            <w:pPr>
              <w:jc w:val="both"/>
              <w:rPr>
                <w:rFonts w:asciiTheme="minorHAnsi" w:hAnsiTheme="minorHAnsi" w:cstheme="minorHAnsi"/>
                <w:i/>
                <w:iCs/>
                <w:szCs w:val="22"/>
              </w:rPr>
            </w:pPr>
          </w:p>
          <w:p w14:paraId="726EA9EE" w14:textId="77777777" w:rsidR="00BB4772" w:rsidRPr="002877BB" w:rsidRDefault="00BB4772" w:rsidP="00BB4772">
            <w:pPr>
              <w:jc w:val="both"/>
              <w:rPr>
                <w:rFonts w:asciiTheme="minorHAnsi" w:hAnsiTheme="minorHAnsi" w:cstheme="minorHAnsi"/>
                <w:i/>
                <w:iCs/>
                <w:szCs w:val="22"/>
              </w:rPr>
            </w:pPr>
            <w:r w:rsidRPr="002877BB">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Default="00BB4772" w:rsidP="00BB4772">
            <w:pPr>
              <w:contextualSpacing/>
              <w:rPr>
                <w:rFonts w:ascii="Calibri" w:hAnsi="Calibri"/>
                <w:b/>
              </w:rPr>
            </w:pPr>
          </w:p>
          <w:p w14:paraId="74FF117C" w14:textId="6FE462FA" w:rsidR="00AF24C2" w:rsidRPr="00AF24C2" w:rsidRDefault="00AF24C2" w:rsidP="00BB4772">
            <w:pPr>
              <w:contextualSpacing/>
              <w:rPr>
                <w:rFonts w:ascii="Calibri" w:hAnsi="Calibri"/>
                <w:b/>
                <w:u w:val="single"/>
              </w:rPr>
            </w:pPr>
            <w:r w:rsidRPr="00AF24C2">
              <w:rPr>
                <w:rFonts w:ascii="Calibri" w:hAnsi="Calibri"/>
                <w:b/>
                <w:u w:val="single"/>
              </w:rPr>
              <w:t>Policy DMG1:</w:t>
            </w:r>
          </w:p>
          <w:p w14:paraId="011FDBC2" w14:textId="77777777" w:rsidR="00AF24C2" w:rsidRPr="002877BB" w:rsidRDefault="00AF24C2" w:rsidP="00BB4772">
            <w:pPr>
              <w:contextualSpacing/>
              <w:rPr>
                <w:rFonts w:ascii="Calibri" w:hAnsi="Calibri"/>
                <w:b/>
              </w:rPr>
            </w:pPr>
          </w:p>
          <w:p w14:paraId="54FA5E0F" w14:textId="77777777" w:rsidR="00BB4772" w:rsidRPr="002877BB" w:rsidRDefault="00BB4772" w:rsidP="00BB4772">
            <w:pPr>
              <w:contextualSpacing/>
              <w:jc w:val="both"/>
              <w:rPr>
                <w:rFonts w:ascii="Calibri" w:hAnsi="Calibri"/>
                <w:bCs/>
              </w:rPr>
            </w:pPr>
            <w:r w:rsidRPr="002877BB">
              <w:rPr>
                <w:rFonts w:ascii="Calibri" w:hAnsi="Calibri"/>
                <w:bCs/>
              </w:rPr>
              <w:lastRenderedPageBreak/>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2877BB" w:rsidRDefault="00BB4772" w:rsidP="00BB4772">
            <w:pPr>
              <w:contextualSpacing/>
              <w:rPr>
                <w:rFonts w:ascii="Calibri" w:hAnsi="Calibri"/>
                <w:b/>
              </w:rPr>
            </w:pPr>
          </w:p>
          <w:p w14:paraId="61745256" w14:textId="77777777" w:rsidR="00BB4772" w:rsidRPr="002877BB" w:rsidRDefault="00BB4772" w:rsidP="00BB4772">
            <w:pPr>
              <w:jc w:val="both"/>
              <w:rPr>
                <w:rFonts w:asciiTheme="minorHAnsi" w:hAnsiTheme="minorHAnsi" w:cstheme="minorHAnsi"/>
                <w:i/>
                <w:iCs/>
                <w:szCs w:val="22"/>
              </w:rPr>
            </w:pPr>
            <w:r w:rsidRPr="002877BB">
              <w:rPr>
                <w:rFonts w:asciiTheme="minorHAnsi" w:hAnsiTheme="minorHAnsi" w:cstheme="minorHAnsi"/>
                <w:i/>
                <w:iCs/>
                <w:szCs w:val="22"/>
              </w:rPr>
              <w:t>In determining planning applications, all development must:</w:t>
            </w:r>
          </w:p>
          <w:p w14:paraId="468788A8" w14:textId="77777777" w:rsidR="00BB4772" w:rsidRPr="002877BB" w:rsidRDefault="00BB4772" w:rsidP="00BB4772">
            <w:pPr>
              <w:jc w:val="both"/>
              <w:rPr>
                <w:rFonts w:asciiTheme="minorHAnsi" w:hAnsiTheme="minorHAnsi" w:cstheme="minorHAnsi"/>
                <w:i/>
                <w:iCs/>
                <w:szCs w:val="22"/>
              </w:rPr>
            </w:pPr>
          </w:p>
          <w:p w14:paraId="58925F95" w14:textId="77777777" w:rsidR="00BB4772" w:rsidRPr="002877BB" w:rsidRDefault="00BB4772" w:rsidP="00BB4772">
            <w:pPr>
              <w:jc w:val="both"/>
              <w:rPr>
                <w:rFonts w:asciiTheme="minorHAnsi" w:hAnsiTheme="minorHAnsi" w:cstheme="minorHAnsi"/>
                <w:b/>
                <w:bCs/>
                <w:i/>
                <w:iCs/>
                <w:szCs w:val="22"/>
              </w:rPr>
            </w:pPr>
            <w:r w:rsidRPr="002877BB">
              <w:rPr>
                <w:rFonts w:asciiTheme="minorHAnsi" w:hAnsiTheme="minorHAnsi" w:cstheme="minorHAnsi"/>
                <w:b/>
                <w:bCs/>
                <w:i/>
                <w:iCs/>
                <w:szCs w:val="22"/>
              </w:rPr>
              <w:t>DESIGN</w:t>
            </w:r>
          </w:p>
          <w:p w14:paraId="0269CD12" w14:textId="77777777" w:rsidR="00BB4772" w:rsidRPr="002877BB" w:rsidRDefault="00BB4772" w:rsidP="00BB4772">
            <w:pPr>
              <w:jc w:val="both"/>
              <w:rPr>
                <w:rFonts w:asciiTheme="minorHAnsi" w:hAnsiTheme="minorHAnsi" w:cstheme="minorHAnsi"/>
                <w:i/>
                <w:iCs/>
                <w:szCs w:val="22"/>
              </w:rPr>
            </w:pPr>
          </w:p>
          <w:p w14:paraId="2FECDB45" w14:textId="77777777" w:rsidR="00BB4772" w:rsidRPr="002877BB"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2877BB"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2877BB"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2877BB"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2877BB" w:rsidRDefault="00BB4772" w:rsidP="00BB4772">
            <w:pPr>
              <w:jc w:val="both"/>
              <w:rPr>
                <w:rFonts w:asciiTheme="minorHAnsi" w:hAnsiTheme="minorHAnsi" w:cstheme="minorHAnsi"/>
                <w:b/>
                <w:bCs/>
                <w:i/>
                <w:iCs/>
                <w:szCs w:val="22"/>
              </w:rPr>
            </w:pPr>
            <w:r w:rsidRPr="002877BB">
              <w:rPr>
                <w:rFonts w:asciiTheme="minorHAnsi" w:hAnsiTheme="minorHAnsi" w:cstheme="minorHAnsi"/>
                <w:b/>
                <w:bCs/>
                <w:i/>
                <w:iCs/>
                <w:szCs w:val="22"/>
              </w:rPr>
              <w:t>AMENITY</w:t>
            </w:r>
          </w:p>
          <w:p w14:paraId="18B078A3" w14:textId="77777777" w:rsidR="00BB4772" w:rsidRPr="002877BB" w:rsidRDefault="00BB4772" w:rsidP="00BB4772">
            <w:pPr>
              <w:jc w:val="both"/>
              <w:rPr>
                <w:rFonts w:asciiTheme="minorHAnsi" w:hAnsiTheme="minorHAnsi" w:cstheme="minorHAnsi"/>
                <w:i/>
                <w:iCs/>
                <w:szCs w:val="22"/>
              </w:rPr>
            </w:pPr>
          </w:p>
          <w:p w14:paraId="4510CE32" w14:textId="77777777" w:rsidR="00BB4772" w:rsidRPr="002877BB"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Not adversely affect the amenities of the surrounding area.</w:t>
            </w:r>
          </w:p>
          <w:p w14:paraId="30C32ADB" w14:textId="77777777" w:rsidR="00BB4772" w:rsidRPr="002877BB" w:rsidRDefault="00BB4772" w:rsidP="00BB4772">
            <w:pPr>
              <w:contextualSpacing/>
              <w:rPr>
                <w:rFonts w:ascii="Calibri" w:hAnsi="Calibri"/>
                <w:b/>
              </w:rPr>
            </w:pPr>
          </w:p>
          <w:p w14:paraId="4A4FF377" w14:textId="77777777" w:rsidR="00BB4772" w:rsidRPr="002877BB" w:rsidRDefault="00BB4772" w:rsidP="00BB4772">
            <w:pPr>
              <w:jc w:val="both"/>
              <w:rPr>
                <w:rFonts w:asciiTheme="minorHAnsi" w:hAnsiTheme="minorHAnsi" w:cstheme="minorHAnsi"/>
                <w:b/>
                <w:bCs/>
                <w:i/>
                <w:iCs/>
                <w:szCs w:val="22"/>
              </w:rPr>
            </w:pPr>
            <w:r w:rsidRPr="002877BB">
              <w:rPr>
                <w:rFonts w:asciiTheme="minorHAnsi" w:hAnsiTheme="minorHAnsi" w:cstheme="minorHAnsi"/>
                <w:b/>
                <w:bCs/>
                <w:i/>
                <w:iCs/>
                <w:szCs w:val="22"/>
              </w:rPr>
              <w:t>ENVIRONMENT</w:t>
            </w:r>
          </w:p>
          <w:p w14:paraId="783C093F" w14:textId="77777777" w:rsidR="00BB4772" w:rsidRPr="002877BB" w:rsidRDefault="00BB4772" w:rsidP="00BB4772">
            <w:pPr>
              <w:jc w:val="both"/>
              <w:rPr>
                <w:rFonts w:asciiTheme="minorHAnsi" w:hAnsiTheme="minorHAnsi" w:cstheme="minorHAnsi"/>
                <w:i/>
                <w:iCs/>
                <w:szCs w:val="22"/>
              </w:rPr>
            </w:pPr>
          </w:p>
          <w:p w14:paraId="323BC11B" w14:textId="77777777" w:rsidR="00BB4772" w:rsidRPr="002877BB"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All development must protect and enhance heritage assets and their settings.</w:t>
            </w:r>
          </w:p>
          <w:p w14:paraId="396BEF2B" w14:textId="77777777" w:rsidR="00BB4772" w:rsidRDefault="00BB4772" w:rsidP="00BB4772">
            <w:pPr>
              <w:contextualSpacing/>
              <w:jc w:val="both"/>
              <w:rPr>
                <w:rFonts w:ascii="Calibri" w:hAnsi="Calibri"/>
                <w:b/>
                <w:color w:val="FF0000"/>
              </w:rPr>
            </w:pPr>
          </w:p>
          <w:p w14:paraId="553613A2" w14:textId="229D0757" w:rsidR="00AF24C2" w:rsidRPr="00AF24C2" w:rsidRDefault="00AF24C2" w:rsidP="00BB4772">
            <w:pPr>
              <w:contextualSpacing/>
              <w:jc w:val="both"/>
              <w:rPr>
                <w:rFonts w:ascii="Calibri" w:hAnsi="Calibri"/>
                <w:b/>
                <w:color w:val="FF0000"/>
                <w:u w:val="single"/>
              </w:rPr>
            </w:pPr>
            <w:r w:rsidRPr="00AF24C2">
              <w:rPr>
                <w:rFonts w:ascii="Calibri" w:hAnsi="Calibri"/>
                <w:b/>
                <w:u w:val="single"/>
              </w:rPr>
              <w:t>Planning (Listed Building and Conservation Areas) Act 1990</w:t>
            </w:r>
            <w:r>
              <w:rPr>
                <w:rFonts w:ascii="Calibri" w:hAnsi="Calibri"/>
                <w:b/>
                <w:u w:val="single"/>
              </w:rPr>
              <w:t>:</w:t>
            </w:r>
          </w:p>
          <w:p w14:paraId="7D04EA45" w14:textId="77777777" w:rsidR="00AF24C2" w:rsidRPr="00D45384" w:rsidRDefault="00AF24C2" w:rsidP="00BB4772">
            <w:pPr>
              <w:contextualSpacing/>
              <w:jc w:val="both"/>
              <w:rPr>
                <w:rFonts w:ascii="Calibri" w:hAnsi="Calibri"/>
                <w:b/>
                <w:color w:val="FF0000"/>
              </w:rPr>
            </w:pPr>
          </w:p>
          <w:p w14:paraId="7CC30D99" w14:textId="77777777" w:rsidR="00BB4772" w:rsidRPr="002877BB" w:rsidRDefault="00BB4772" w:rsidP="00BB4772">
            <w:pPr>
              <w:contextualSpacing/>
              <w:jc w:val="both"/>
              <w:rPr>
                <w:rFonts w:ascii="Calibri" w:hAnsi="Calibri"/>
                <w:bCs/>
              </w:rPr>
            </w:pPr>
            <w:r w:rsidRPr="002877BB">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2877BB" w:rsidRDefault="00BB4772" w:rsidP="00BB4772">
            <w:pPr>
              <w:contextualSpacing/>
              <w:jc w:val="both"/>
              <w:rPr>
                <w:rFonts w:ascii="Calibri" w:hAnsi="Calibri"/>
                <w:bCs/>
              </w:rPr>
            </w:pPr>
          </w:p>
          <w:p w14:paraId="74AB8432" w14:textId="77777777" w:rsidR="00BB4772" w:rsidRPr="002877BB" w:rsidRDefault="00BB4772" w:rsidP="00BB4772">
            <w:pPr>
              <w:contextualSpacing/>
              <w:jc w:val="both"/>
              <w:rPr>
                <w:rFonts w:ascii="Calibri" w:hAnsi="Calibri"/>
                <w:bCs/>
              </w:rPr>
            </w:pPr>
            <w:r w:rsidRPr="002877BB">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2877BB" w:rsidRDefault="00BB4772" w:rsidP="00BB4772">
            <w:pPr>
              <w:contextualSpacing/>
              <w:jc w:val="both"/>
              <w:rPr>
                <w:rFonts w:ascii="Calibri" w:hAnsi="Calibri"/>
                <w:b/>
              </w:rPr>
            </w:pPr>
          </w:p>
          <w:p w14:paraId="318AC6E7" w14:textId="77777777" w:rsidR="00BB4772" w:rsidRPr="002877BB" w:rsidRDefault="00BB4772" w:rsidP="00BB4772">
            <w:pPr>
              <w:contextualSpacing/>
              <w:jc w:val="both"/>
              <w:rPr>
                <w:rFonts w:ascii="Calibri" w:hAnsi="Calibri"/>
                <w:b/>
              </w:rPr>
            </w:pPr>
            <w:r w:rsidRPr="002877BB">
              <w:rPr>
                <w:rFonts w:ascii="Calibri" w:hAnsi="Calibri"/>
                <w:b/>
              </w:rPr>
              <w:t xml:space="preserve">Listed Buildings – Section 66(1) (as amended by s.58B of Levelling-up and Regeneration Act 2023): </w:t>
            </w:r>
          </w:p>
          <w:p w14:paraId="33FD5294" w14:textId="77777777" w:rsidR="00BB4772" w:rsidRPr="002877BB" w:rsidRDefault="00BB4772" w:rsidP="00BB4772">
            <w:pPr>
              <w:contextualSpacing/>
              <w:jc w:val="both"/>
              <w:rPr>
                <w:rFonts w:ascii="Calibri" w:hAnsi="Calibri"/>
                <w:bCs/>
              </w:rPr>
            </w:pPr>
            <w:r w:rsidRPr="002877BB">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2877BB" w:rsidRDefault="00BB4772" w:rsidP="00BB4772">
            <w:pPr>
              <w:contextualSpacing/>
              <w:jc w:val="both"/>
              <w:rPr>
                <w:rFonts w:ascii="Calibri" w:hAnsi="Calibri"/>
                <w:b/>
              </w:rPr>
            </w:pPr>
          </w:p>
          <w:p w14:paraId="2B3DC830" w14:textId="77777777" w:rsidR="00BB4772" w:rsidRPr="002877BB" w:rsidRDefault="00BB4772" w:rsidP="00BB4772">
            <w:pPr>
              <w:contextualSpacing/>
              <w:jc w:val="both"/>
              <w:rPr>
                <w:rFonts w:ascii="Calibri" w:hAnsi="Calibri"/>
                <w:b/>
              </w:rPr>
            </w:pPr>
            <w:r w:rsidRPr="002877BB">
              <w:rPr>
                <w:rFonts w:ascii="Calibri" w:hAnsi="Calibri"/>
                <w:b/>
              </w:rPr>
              <w:t>Listed buildings - Section 16 (2) (as amended by s.58B of Levelling-up and Regeneration Act 2023):</w:t>
            </w:r>
          </w:p>
          <w:p w14:paraId="7C35947A" w14:textId="77777777" w:rsidR="00BB4772" w:rsidRDefault="00BB4772" w:rsidP="00BB4772">
            <w:pPr>
              <w:contextualSpacing/>
              <w:jc w:val="both"/>
              <w:rPr>
                <w:rFonts w:ascii="Calibri" w:hAnsi="Calibri"/>
                <w:bCs/>
              </w:rPr>
            </w:pPr>
            <w:r w:rsidRPr="002877BB">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Default="00AF24C2" w:rsidP="00BB4772">
            <w:pPr>
              <w:contextualSpacing/>
              <w:jc w:val="both"/>
              <w:rPr>
                <w:rFonts w:ascii="Calibri" w:hAnsi="Calibri"/>
                <w:bCs/>
              </w:rPr>
            </w:pPr>
          </w:p>
          <w:p w14:paraId="1B4BCF87" w14:textId="70099345" w:rsidR="00AF24C2" w:rsidRPr="00AF24C2" w:rsidRDefault="00AF24C2" w:rsidP="00BB4772">
            <w:pPr>
              <w:contextualSpacing/>
              <w:jc w:val="both"/>
              <w:rPr>
                <w:rFonts w:ascii="Calibri" w:hAnsi="Calibri"/>
                <w:b/>
                <w:u w:val="single"/>
              </w:rPr>
            </w:pPr>
            <w:r w:rsidRPr="00AF24C2">
              <w:rPr>
                <w:rFonts w:ascii="Calibri" w:hAnsi="Calibri"/>
                <w:b/>
                <w:u w:val="single"/>
              </w:rPr>
              <w:t>National Planning Policy Framework</w:t>
            </w:r>
            <w:r>
              <w:rPr>
                <w:rFonts w:ascii="Calibri" w:hAnsi="Calibri"/>
                <w:b/>
                <w:u w:val="single"/>
              </w:rPr>
              <w:t xml:space="preserve"> (December 2023)</w:t>
            </w:r>
            <w:r w:rsidRPr="00AF24C2">
              <w:rPr>
                <w:rFonts w:ascii="Calibri" w:hAnsi="Calibri"/>
                <w:b/>
                <w:u w:val="single"/>
              </w:rPr>
              <w:t>:</w:t>
            </w:r>
          </w:p>
          <w:p w14:paraId="301744C0" w14:textId="77777777" w:rsidR="00AF24C2" w:rsidRDefault="00AF24C2" w:rsidP="00BB4772">
            <w:pPr>
              <w:contextualSpacing/>
              <w:jc w:val="both"/>
              <w:rPr>
                <w:rFonts w:ascii="Calibri" w:hAnsi="Calibri"/>
                <w:bCs/>
              </w:rPr>
            </w:pPr>
          </w:p>
          <w:p w14:paraId="01FE65D3" w14:textId="0D09F74E" w:rsidR="00AF24C2" w:rsidRPr="00AF24C2" w:rsidRDefault="00AF24C2" w:rsidP="00BB4772">
            <w:pPr>
              <w:contextualSpacing/>
              <w:jc w:val="both"/>
              <w:rPr>
                <w:rFonts w:ascii="Calibri" w:hAnsi="Calibri"/>
                <w:bCs/>
                <w:i/>
                <w:iCs/>
              </w:rPr>
            </w:pPr>
            <w:r>
              <w:rPr>
                <w:rFonts w:ascii="Calibri" w:hAnsi="Calibri"/>
                <w:bCs/>
              </w:rPr>
              <w:t>The National planning Policy Framework (NPPF) sets out further duties in respect of determining proposals that affect heritage assets stating that ‘i</w:t>
            </w:r>
            <w:r w:rsidRPr="00AF24C2">
              <w:rPr>
                <w:rFonts w:ascii="Calibri" w:hAnsi="Calibri"/>
                <w:bCs/>
                <w:i/>
                <w:iCs/>
              </w:rPr>
              <w:t xml:space="preserve">n determining applications, local planning authorities should require an applicant to describe the significance of any heritage assets affected, including any contribution made by their setting. The level of detail should be proportionate to the assets’ importance </w:t>
            </w:r>
            <w:r w:rsidRPr="00AF24C2">
              <w:rPr>
                <w:rFonts w:ascii="Calibri" w:hAnsi="Calibri"/>
                <w:bCs/>
                <w:i/>
                <w:iCs/>
              </w:rPr>
              <w:lastRenderedPageBreak/>
              <w:t>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Default="0046548C" w:rsidP="0046548C">
            <w:pPr>
              <w:contextualSpacing/>
              <w:rPr>
                <w:rFonts w:ascii="Calibri" w:hAnsi="Calibri"/>
                <w:b/>
              </w:rPr>
            </w:pPr>
          </w:p>
          <w:p w14:paraId="761B1E60" w14:textId="32DEA458" w:rsidR="00AF24C2" w:rsidRPr="000748C5" w:rsidRDefault="00AF24C2" w:rsidP="0046548C">
            <w:pPr>
              <w:contextualSpacing/>
              <w:rPr>
                <w:rFonts w:ascii="Calibri" w:hAnsi="Calibri"/>
                <w:bCs/>
              </w:rPr>
            </w:pPr>
            <w:r w:rsidRPr="000748C5">
              <w:rPr>
                <w:rFonts w:ascii="Calibri" w:hAnsi="Calibri"/>
                <w:bCs/>
              </w:rPr>
              <w:t>The Framework sets out further duties in respect of considering potential impacts upon designated heritage assets with Paragraphs 205 – 214 reading as follows:</w:t>
            </w:r>
          </w:p>
          <w:p w14:paraId="78C66ED0" w14:textId="77777777" w:rsidR="00AF24C2" w:rsidRDefault="00AF24C2" w:rsidP="0046548C">
            <w:pPr>
              <w:contextualSpacing/>
              <w:rPr>
                <w:rFonts w:ascii="Calibri" w:hAnsi="Calibri"/>
                <w:b/>
              </w:rPr>
            </w:pPr>
          </w:p>
          <w:p w14:paraId="2827B919" w14:textId="5B96D3BF" w:rsidR="000748C5" w:rsidRPr="000748C5" w:rsidRDefault="000748C5" w:rsidP="0046548C">
            <w:pPr>
              <w:contextualSpacing/>
              <w:rPr>
                <w:rFonts w:ascii="Calibri" w:hAnsi="Calibri"/>
                <w:b/>
              </w:rPr>
            </w:pPr>
            <w:r w:rsidRPr="000748C5">
              <w:rPr>
                <w:rFonts w:ascii="Calibri" w:hAnsi="Calibri"/>
                <w:b/>
              </w:rPr>
              <w:t>Considering Potential Impacts</w:t>
            </w:r>
            <w:r>
              <w:rPr>
                <w:rFonts w:ascii="Calibri" w:hAnsi="Calibri"/>
                <w:b/>
              </w:rPr>
              <w:t>:</w:t>
            </w:r>
          </w:p>
          <w:p w14:paraId="44D81E96" w14:textId="77777777" w:rsidR="000748C5" w:rsidRDefault="000748C5" w:rsidP="0046548C">
            <w:pPr>
              <w:contextualSpacing/>
              <w:rPr>
                <w:rFonts w:ascii="Calibri" w:hAnsi="Calibri"/>
                <w:b/>
              </w:rPr>
            </w:pPr>
          </w:p>
          <w:p w14:paraId="1CCAB45C" w14:textId="58C0502B"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205:</w:t>
            </w:r>
          </w:p>
          <w:p w14:paraId="2D7731EA" w14:textId="6335AA14"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5C2CD0" w:rsidRDefault="00423DFB" w:rsidP="000748C5">
            <w:pPr>
              <w:pStyle w:val="Default"/>
              <w:jc w:val="both"/>
              <w:rPr>
                <w:rFonts w:asciiTheme="minorHAnsi" w:hAnsiTheme="minorHAnsi" w:cstheme="minorHAnsi"/>
                <w:i/>
                <w:iCs/>
                <w:sz w:val="22"/>
                <w:szCs w:val="22"/>
              </w:rPr>
            </w:pPr>
          </w:p>
          <w:p w14:paraId="34704A15" w14:textId="5271ABD4"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206:</w:t>
            </w:r>
          </w:p>
          <w:p w14:paraId="550EBFCD" w14:textId="34BC3CAB"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5C2CD0" w:rsidRDefault="00423DFB" w:rsidP="000748C5">
            <w:pPr>
              <w:pStyle w:val="Default"/>
              <w:jc w:val="both"/>
              <w:rPr>
                <w:rFonts w:asciiTheme="minorHAnsi" w:hAnsiTheme="minorHAnsi" w:cstheme="minorHAnsi"/>
                <w:i/>
                <w:iCs/>
                <w:sz w:val="22"/>
                <w:szCs w:val="22"/>
              </w:rPr>
            </w:pPr>
          </w:p>
          <w:p w14:paraId="6D90778D" w14:textId="77777777" w:rsidR="00423DFB" w:rsidRPr="005C2CD0" w:rsidRDefault="00423DFB" w:rsidP="000748C5">
            <w:pPr>
              <w:pStyle w:val="Default"/>
              <w:numPr>
                <w:ilvl w:val="0"/>
                <w:numId w:val="14"/>
              </w:numPr>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grade II listed buildings, or grade II registered parks or gardens, should be exceptional; </w:t>
            </w:r>
          </w:p>
          <w:p w14:paraId="701FF464" w14:textId="36D0BF1E" w:rsidR="00423DFB" w:rsidRPr="005C2CD0" w:rsidRDefault="00423DFB" w:rsidP="000748C5">
            <w:pPr>
              <w:pStyle w:val="Default"/>
              <w:numPr>
                <w:ilvl w:val="0"/>
                <w:numId w:val="14"/>
              </w:numPr>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5C2CD0" w:rsidRDefault="00423DFB" w:rsidP="000748C5">
            <w:pPr>
              <w:pStyle w:val="Default"/>
              <w:jc w:val="both"/>
              <w:rPr>
                <w:rFonts w:asciiTheme="minorHAnsi" w:hAnsiTheme="minorHAnsi" w:cstheme="minorHAnsi"/>
                <w:i/>
                <w:iCs/>
                <w:sz w:val="22"/>
                <w:szCs w:val="22"/>
              </w:rPr>
            </w:pPr>
          </w:p>
          <w:p w14:paraId="24EDA5E4" w14:textId="4EA67902"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207:</w:t>
            </w:r>
          </w:p>
          <w:p w14:paraId="463966CF" w14:textId="5A4757EE"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5C2CD0" w:rsidRDefault="00423DFB" w:rsidP="000748C5">
            <w:pPr>
              <w:pStyle w:val="Default"/>
              <w:jc w:val="both"/>
              <w:rPr>
                <w:rFonts w:asciiTheme="minorHAnsi" w:hAnsiTheme="minorHAnsi" w:cstheme="minorHAnsi"/>
                <w:i/>
                <w:iCs/>
                <w:sz w:val="22"/>
                <w:szCs w:val="22"/>
              </w:rPr>
            </w:pPr>
          </w:p>
          <w:p w14:paraId="087C0536" w14:textId="77777777" w:rsidR="00423DFB" w:rsidRPr="005C2CD0" w:rsidRDefault="00423DFB" w:rsidP="000748C5">
            <w:pPr>
              <w:pStyle w:val="Default"/>
              <w:numPr>
                <w:ilvl w:val="0"/>
                <w:numId w:val="15"/>
              </w:numPr>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the nature of the heritage asset prevents all reasonable uses of the site; and </w:t>
            </w:r>
          </w:p>
          <w:p w14:paraId="04C088EE" w14:textId="77777777" w:rsidR="00423DFB" w:rsidRPr="005C2CD0" w:rsidRDefault="00423DFB" w:rsidP="000748C5">
            <w:pPr>
              <w:pStyle w:val="Default"/>
              <w:numPr>
                <w:ilvl w:val="0"/>
                <w:numId w:val="15"/>
              </w:numPr>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no viable use of the heritage asset itself can be found in the medium term through appropriate marketing that will enable its conservation; and </w:t>
            </w:r>
          </w:p>
          <w:p w14:paraId="7AFD37C6" w14:textId="77777777" w:rsidR="00423DFB" w:rsidRPr="005C2CD0" w:rsidRDefault="00423DFB" w:rsidP="000748C5">
            <w:pPr>
              <w:pStyle w:val="Default"/>
              <w:numPr>
                <w:ilvl w:val="0"/>
                <w:numId w:val="15"/>
              </w:numPr>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conservation by grant-funding or some form of not for profit, charitable or public ownership is demonstrably not possible; and </w:t>
            </w:r>
          </w:p>
          <w:p w14:paraId="1023F49F" w14:textId="5AA8060E" w:rsidR="00423DFB" w:rsidRPr="005C2CD0" w:rsidRDefault="00423DFB" w:rsidP="000748C5">
            <w:pPr>
              <w:pStyle w:val="Default"/>
              <w:numPr>
                <w:ilvl w:val="0"/>
                <w:numId w:val="15"/>
              </w:numPr>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the harm or loss is outweighed by the benefit of bringing the site back into use. </w:t>
            </w:r>
          </w:p>
          <w:p w14:paraId="6D804F30" w14:textId="77777777" w:rsidR="00AF24C2" w:rsidRPr="005C2CD0" w:rsidRDefault="00AF24C2" w:rsidP="000748C5">
            <w:pPr>
              <w:contextualSpacing/>
              <w:jc w:val="both"/>
              <w:rPr>
                <w:rFonts w:asciiTheme="minorHAnsi" w:hAnsiTheme="minorHAnsi" w:cstheme="minorHAnsi"/>
                <w:b/>
                <w:i/>
                <w:iCs/>
                <w:szCs w:val="22"/>
              </w:rPr>
            </w:pPr>
          </w:p>
          <w:p w14:paraId="0005790F" w14:textId="74EC69C0" w:rsidR="00423DFB" w:rsidRPr="005C2CD0" w:rsidRDefault="005C2CD0"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208:</w:t>
            </w:r>
          </w:p>
          <w:p w14:paraId="6D01D57D" w14:textId="08ADBA67"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5C2CD0" w:rsidRDefault="00423DFB" w:rsidP="000748C5">
            <w:pPr>
              <w:pStyle w:val="Default"/>
              <w:jc w:val="both"/>
              <w:rPr>
                <w:rFonts w:asciiTheme="minorHAnsi" w:hAnsiTheme="minorHAnsi" w:cstheme="minorHAnsi"/>
                <w:i/>
                <w:iCs/>
                <w:sz w:val="22"/>
                <w:szCs w:val="22"/>
              </w:rPr>
            </w:pPr>
          </w:p>
          <w:p w14:paraId="40F6F320" w14:textId="2D5D3968" w:rsidR="005C2CD0"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209</w:t>
            </w:r>
            <w:r w:rsidR="005C2CD0" w:rsidRPr="005C2CD0">
              <w:rPr>
                <w:rFonts w:asciiTheme="minorHAnsi" w:hAnsiTheme="minorHAnsi" w:cstheme="minorHAnsi"/>
                <w:i/>
                <w:iCs/>
                <w:sz w:val="22"/>
                <w:szCs w:val="22"/>
              </w:rPr>
              <w:t>:</w:t>
            </w:r>
          </w:p>
          <w:p w14:paraId="07B6EBCB" w14:textId="57610B2F"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77A71DAE" w14:textId="77777777" w:rsidR="00423DFB" w:rsidRPr="005C2CD0" w:rsidRDefault="00423DFB" w:rsidP="000748C5">
            <w:pPr>
              <w:pStyle w:val="Default"/>
              <w:jc w:val="both"/>
              <w:rPr>
                <w:rFonts w:asciiTheme="minorHAnsi" w:hAnsiTheme="minorHAnsi" w:cstheme="minorHAnsi"/>
                <w:i/>
                <w:iCs/>
                <w:sz w:val="22"/>
                <w:szCs w:val="22"/>
              </w:rPr>
            </w:pPr>
          </w:p>
          <w:p w14:paraId="2F8108C6" w14:textId="77777777" w:rsidR="005C2CD0"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210</w:t>
            </w:r>
            <w:r w:rsidR="005C2CD0" w:rsidRPr="005C2CD0">
              <w:rPr>
                <w:rFonts w:asciiTheme="minorHAnsi" w:hAnsiTheme="minorHAnsi" w:cstheme="minorHAnsi"/>
                <w:i/>
                <w:iCs/>
                <w:sz w:val="22"/>
                <w:szCs w:val="22"/>
              </w:rPr>
              <w:t>:</w:t>
            </w:r>
          </w:p>
          <w:p w14:paraId="612A9571" w14:textId="17298932"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5C2CD0" w:rsidRDefault="00423DFB" w:rsidP="000748C5">
            <w:pPr>
              <w:pStyle w:val="Default"/>
              <w:jc w:val="both"/>
              <w:rPr>
                <w:rFonts w:asciiTheme="minorHAnsi" w:hAnsiTheme="minorHAnsi" w:cstheme="minorHAnsi"/>
                <w:i/>
                <w:iCs/>
                <w:sz w:val="22"/>
                <w:szCs w:val="22"/>
              </w:rPr>
            </w:pPr>
          </w:p>
          <w:p w14:paraId="4503FA31" w14:textId="77777777" w:rsidR="005C2CD0"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lastRenderedPageBreak/>
              <w:t>211</w:t>
            </w:r>
            <w:r w:rsidR="005C2CD0" w:rsidRPr="005C2CD0">
              <w:rPr>
                <w:rFonts w:asciiTheme="minorHAnsi" w:hAnsiTheme="minorHAnsi" w:cstheme="minorHAnsi"/>
                <w:i/>
                <w:iCs/>
                <w:sz w:val="22"/>
                <w:szCs w:val="22"/>
              </w:rPr>
              <w:t>:</w:t>
            </w:r>
          </w:p>
          <w:p w14:paraId="4B4AE602" w14:textId="57A0F444"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5C2CD0" w:rsidRDefault="00423DFB" w:rsidP="000748C5">
            <w:pPr>
              <w:pStyle w:val="Default"/>
              <w:jc w:val="both"/>
              <w:rPr>
                <w:rFonts w:asciiTheme="minorHAnsi" w:hAnsiTheme="minorHAnsi" w:cstheme="minorHAnsi"/>
                <w:i/>
                <w:iCs/>
                <w:sz w:val="22"/>
                <w:szCs w:val="22"/>
              </w:rPr>
            </w:pPr>
          </w:p>
          <w:p w14:paraId="7E904396" w14:textId="77777777" w:rsidR="005C2CD0"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212</w:t>
            </w:r>
            <w:r w:rsidR="005C2CD0" w:rsidRPr="005C2CD0">
              <w:rPr>
                <w:rFonts w:asciiTheme="minorHAnsi" w:hAnsiTheme="minorHAnsi" w:cstheme="minorHAnsi"/>
                <w:i/>
                <w:iCs/>
                <w:sz w:val="22"/>
                <w:szCs w:val="22"/>
              </w:rPr>
              <w:t>:</w:t>
            </w:r>
          </w:p>
          <w:p w14:paraId="69770A53" w14:textId="705B6DCD"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5C2CD0" w:rsidRDefault="00423DFB" w:rsidP="000748C5">
            <w:pPr>
              <w:pStyle w:val="Default"/>
              <w:jc w:val="both"/>
              <w:rPr>
                <w:rFonts w:asciiTheme="minorHAnsi" w:hAnsiTheme="minorHAnsi" w:cstheme="minorHAnsi"/>
                <w:i/>
                <w:iCs/>
                <w:sz w:val="22"/>
                <w:szCs w:val="22"/>
              </w:rPr>
            </w:pPr>
          </w:p>
          <w:p w14:paraId="42A30D5E" w14:textId="77777777" w:rsidR="005C2CD0"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213</w:t>
            </w:r>
            <w:r w:rsidR="005C2CD0" w:rsidRPr="005C2CD0">
              <w:rPr>
                <w:rFonts w:asciiTheme="minorHAnsi" w:hAnsiTheme="minorHAnsi" w:cstheme="minorHAnsi"/>
                <w:i/>
                <w:iCs/>
                <w:sz w:val="22"/>
                <w:szCs w:val="22"/>
              </w:rPr>
              <w:t>:</w:t>
            </w:r>
          </w:p>
          <w:p w14:paraId="5D67260B" w14:textId="148A3308" w:rsidR="00423DFB" w:rsidRPr="005C2CD0" w:rsidRDefault="00423DFB" w:rsidP="000748C5">
            <w:pPr>
              <w:pStyle w:val="Default"/>
              <w:jc w:val="both"/>
              <w:rPr>
                <w:rFonts w:asciiTheme="minorHAnsi" w:hAnsiTheme="minorHAnsi" w:cstheme="minorHAnsi"/>
                <w:i/>
                <w:iCs/>
                <w:sz w:val="22"/>
                <w:szCs w:val="22"/>
              </w:rPr>
            </w:pPr>
            <w:r w:rsidRPr="005C2CD0">
              <w:rPr>
                <w:rFonts w:asciiTheme="minorHAnsi" w:hAnsiTheme="minorHAnsi" w:cstheme="minorHAnsi"/>
                <w:i/>
                <w:iCs/>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0748C5">
              <w:rPr>
                <w:rFonts w:asciiTheme="minorHAnsi" w:hAnsiTheme="minorHAnsi" w:cstheme="minorHAnsi"/>
                <w:i/>
                <w:iCs/>
                <w:sz w:val="22"/>
                <w:szCs w:val="22"/>
              </w:rPr>
              <w:t>to the significance of the Conservation Area or World Heritage Site as a whole.</w:t>
            </w:r>
          </w:p>
          <w:p w14:paraId="2220FD3C" w14:textId="77777777" w:rsidR="0059127F" w:rsidRDefault="0059127F" w:rsidP="0046548C">
            <w:pPr>
              <w:contextualSpacing/>
              <w:rPr>
                <w:rFonts w:ascii="Calibri" w:hAnsi="Calibri"/>
                <w:b/>
              </w:rPr>
            </w:pPr>
          </w:p>
          <w:p w14:paraId="57357F71" w14:textId="3E05A2ED" w:rsidR="0059127F" w:rsidRDefault="0059127F" w:rsidP="0046548C">
            <w:pPr>
              <w:contextualSpacing/>
              <w:rPr>
                <w:rFonts w:ascii="Calibri" w:hAnsi="Calibri"/>
                <w:b/>
              </w:rPr>
            </w:pPr>
            <w:r>
              <w:rPr>
                <w:rFonts w:ascii="Calibri" w:hAnsi="Calibri"/>
                <w:b/>
              </w:rPr>
              <w:t>Assessment of Impacts:</w:t>
            </w:r>
          </w:p>
          <w:p w14:paraId="1AC1CC80" w14:textId="77777777" w:rsidR="0059127F" w:rsidRDefault="0059127F" w:rsidP="0046548C">
            <w:pPr>
              <w:contextualSpacing/>
              <w:rPr>
                <w:rFonts w:ascii="Calibri" w:hAnsi="Calibri"/>
                <w:b/>
              </w:rPr>
            </w:pPr>
          </w:p>
          <w:p w14:paraId="30B848FA" w14:textId="54B3F25A" w:rsidR="009F380B" w:rsidRPr="0059127F" w:rsidRDefault="009F380B" w:rsidP="009F380B">
            <w:pPr>
              <w:rPr>
                <w:rFonts w:ascii="Calibri" w:hAnsi="Calibri"/>
                <w:bCs/>
                <w:szCs w:val="22"/>
              </w:rPr>
            </w:pPr>
            <w:r w:rsidRPr="0059127F">
              <w:rPr>
                <w:rFonts w:ascii="Calibri" w:hAnsi="Calibri"/>
                <w:bCs/>
              </w:rPr>
              <w:t>In respect of the above matters, t</w:t>
            </w:r>
            <w:r w:rsidRPr="0059127F">
              <w:rPr>
                <w:rFonts w:ascii="Calibri" w:hAnsi="Calibri"/>
                <w:bCs/>
                <w:szCs w:val="22"/>
              </w:rPr>
              <w:t xml:space="preserve">he submitted details summarise the extent(s) of the works to be undertaken </w:t>
            </w:r>
            <w:r w:rsidR="000748C5" w:rsidRPr="0059127F">
              <w:rPr>
                <w:rFonts w:ascii="Calibri" w:hAnsi="Calibri"/>
                <w:bCs/>
                <w:szCs w:val="22"/>
              </w:rPr>
              <w:t xml:space="preserve">to the building </w:t>
            </w:r>
            <w:r w:rsidRPr="0059127F">
              <w:rPr>
                <w:rFonts w:ascii="Calibri" w:hAnsi="Calibri"/>
                <w:bCs/>
                <w:szCs w:val="22"/>
              </w:rPr>
              <w:t>as follows:</w:t>
            </w:r>
          </w:p>
          <w:p w14:paraId="28D46D7F" w14:textId="77777777" w:rsidR="009F380B" w:rsidRPr="009F380B" w:rsidRDefault="009F380B" w:rsidP="009F380B">
            <w:pPr>
              <w:rPr>
                <w:rFonts w:ascii="Calibri" w:hAnsi="Calibri"/>
                <w:bCs/>
                <w:szCs w:val="22"/>
              </w:rPr>
            </w:pPr>
          </w:p>
          <w:p w14:paraId="78797055"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Replacement windows and doors</w:t>
            </w:r>
          </w:p>
          <w:p w14:paraId="65D76CDB"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Upgrading the fire resistance of the structure</w:t>
            </w:r>
          </w:p>
          <w:p w14:paraId="1477F0B1"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Upgrading the thermal insulation of the building</w:t>
            </w:r>
          </w:p>
          <w:p w14:paraId="585975B0"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Provision of acoustic insulation to floors</w:t>
            </w:r>
          </w:p>
          <w:p w14:paraId="7B04D466"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Provision of mechanical ventilation</w:t>
            </w:r>
          </w:p>
          <w:p w14:paraId="035549BD"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Installation of tanking to basement to prevent groundwater ingress</w:t>
            </w:r>
          </w:p>
          <w:p w14:paraId="79FA94B9"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Reconfiguration of the ground/first floor access stair</w:t>
            </w:r>
          </w:p>
          <w:p w14:paraId="1D287ED6"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Installation of new kitchens, sanitary fittings, wiring circuits, including fire detection and warning systems</w:t>
            </w:r>
          </w:p>
          <w:p w14:paraId="3596AB70"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Installation of new electrical heating system</w:t>
            </w:r>
          </w:p>
          <w:p w14:paraId="703BBD67" w14:textId="77777777" w:rsidR="009F380B" w:rsidRPr="009F380B" w:rsidRDefault="009F380B" w:rsidP="009F380B">
            <w:pPr>
              <w:pStyle w:val="ListParagraph"/>
              <w:numPr>
                <w:ilvl w:val="0"/>
                <w:numId w:val="10"/>
              </w:numPr>
              <w:rPr>
                <w:rFonts w:ascii="Calibri" w:hAnsi="Calibri"/>
                <w:bCs/>
                <w:szCs w:val="22"/>
              </w:rPr>
            </w:pPr>
            <w:r w:rsidRPr="009F380B">
              <w:rPr>
                <w:rFonts w:ascii="Calibri" w:hAnsi="Calibri"/>
                <w:bCs/>
                <w:szCs w:val="22"/>
              </w:rPr>
              <w:t>External ‘decoration’ of the premises</w:t>
            </w:r>
          </w:p>
          <w:p w14:paraId="0F611DBB" w14:textId="3EDE10D4" w:rsidR="00BB4772" w:rsidRDefault="00BB4772" w:rsidP="0046548C">
            <w:pPr>
              <w:contextualSpacing/>
              <w:rPr>
                <w:rFonts w:ascii="Calibri" w:hAnsi="Calibri"/>
                <w:b/>
                <w:color w:val="FF0000"/>
              </w:rPr>
            </w:pPr>
          </w:p>
          <w:p w14:paraId="41952DE1" w14:textId="77777777" w:rsidR="008F30D9" w:rsidRDefault="008F30D9" w:rsidP="0046548C">
            <w:pPr>
              <w:contextualSpacing/>
              <w:rPr>
                <w:rFonts w:ascii="Calibri" w:hAnsi="Calibri"/>
                <w:b/>
                <w:color w:val="FF0000"/>
              </w:rPr>
            </w:pPr>
          </w:p>
          <w:p w14:paraId="17B943C5" w14:textId="73C267FF" w:rsidR="008F30D9" w:rsidRPr="00D655BD" w:rsidRDefault="008F30D9" w:rsidP="0046548C">
            <w:pPr>
              <w:contextualSpacing/>
              <w:rPr>
                <w:rFonts w:ascii="Calibri" w:hAnsi="Calibri"/>
                <w:b/>
              </w:rPr>
            </w:pPr>
            <w:r w:rsidRPr="00D655BD">
              <w:rPr>
                <w:rFonts w:ascii="Calibri" w:hAnsi="Calibri"/>
                <w:b/>
              </w:rPr>
              <w:t>Internal works:</w:t>
            </w:r>
          </w:p>
          <w:p w14:paraId="596B2793" w14:textId="77777777" w:rsidR="008F30D9" w:rsidRPr="0051621E" w:rsidRDefault="008F30D9" w:rsidP="0046548C">
            <w:pPr>
              <w:contextualSpacing/>
              <w:rPr>
                <w:rFonts w:ascii="Calibri" w:hAnsi="Calibri"/>
                <w:b/>
                <w:color w:val="FF0000"/>
              </w:rPr>
            </w:pPr>
          </w:p>
          <w:p w14:paraId="08443F28" w14:textId="150B10DD" w:rsidR="007F51A6" w:rsidRPr="006429CF" w:rsidRDefault="0059127F" w:rsidP="00F15EBF">
            <w:pPr>
              <w:jc w:val="both"/>
              <w:rPr>
                <w:rFonts w:ascii="Calibri" w:hAnsi="Calibri"/>
                <w:bCs/>
              </w:rPr>
            </w:pPr>
            <w:r w:rsidRPr="006429CF">
              <w:rPr>
                <w:rFonts w:ascii="Calibri" w:hAnsi="Calibri"/>
                <w:bCs/>
              </w:rPr>
              <w:t xml:space="preserve">In respect of the above matters, </w:t>
            </w:r>
            <w:r w:rsidR="00F15EBF" w:rsidRPr="006429CF">
              <w:rPr>
                <w:rFonts w:ascii="Calibri" w:hAnsi="Calibri"/>
                <w:bCs/>
              </w:rPr>
              <w:t>the submitted Heritage, Design and Construction Method Statement identifies that the internal fabric of the building has been extensively renovated with a number of later additions/alterations having been undertaken which may have resulted in the removal of original building fabric.</w:t>
            </w:r>
            <w:r w:rsidR="00733BB5" w:rsidRPr="006429CF">
              <w:rPr>
                <w:rFonts w:ascii="Calibri" w:hAnsi="Calibri"/>
                <w:bCs/>
              </w:rPr>
              <w:t xml:space="preserve">  In these respects the statement reads as follows:</w:t>
            </w:r>
          </w:p>
          <w:p w14:paraId="5E7913AE" w14:textId="77777777" w:rsidR="00733BB5" w:rsidRPr="006429CF" w:rsidRDefault="00733BB5" w:rsidP="00F15EBF">
            <w:pPr>
              <w:jc w:val="both"/>
              <w:rPr>
                <w:rFonts w:ascii="Calibri" w:hAnsi="Calibri"/>
                <w:bCs/>
              </w:rPr>
            </w:pPr>
          </w:p>
          <w:p w14:paraId="02A1B92C" w14:textId="77777777" w:rsidR="00733BB5" w:rsidRPr="006429CF" w:rsidRDefault="00733BB5" w:rsidP="00733BB5">
            <w:pPr>
              <w:jc w:val="both"/>
              <w:rPr>
                <w:rFonts w:ascii="Calibri" w:hAnsi="Calibri"/>
                <w:bCs/>
                <w:i/>
                <w:iCs/>
              </w:rPr>
            </w:pPr>
            <w:r w:rsidRPr="006429CF">
              <w:rPr>
                <w:rFonts w:ascii="Calibri" w:hAnsi="Calibri"/>
                <w:bCs/>
                <w:i/>
                <w:iCs/>
              </w:rPr>
              <w:t xml:space="preserve">The lower ground floor occupies the original footprint of no. 34. There are 2no open plan rooms with a central timber stair to ground floor level. The rear room has a passageway egress to the original yard of the property, located behind no. 38. This appears to be the original rear access to the building. The floor is solid, with an asphalt finish visible in the front section. </w:t>
            </w:r>
          </w:p>
          <w:p w14:paraId="49EF1645" w14:textId="77777777" w:rsidR="00733BB5" w:rsidRPr="006429CF" w:rsidRDefault="00733BB5" w:rsidP="00733BB5">
            <w:pPr>
              <w:jc w:val="both"/>
              <w:rPr>
                <w:rFonts w:ascii="Calibri" w:hAnsi="Calibri"/>
                <w:bCs/>
                <w:i/>
                <w:iCs/>
              </w:rPr>
            </w:pPr>
          </w:p>
          <w:p w14:paraId="683A9763" w14:textId="3DD1FB9D" w:rsidR="00733BB5" w:rsidRPr="006429CF" w:rsidRDefault="00733BB5" w:rsidP="00733BB5">
            <w:pPr>
              <w:jc w:val="both"/>
              <w:rPr>
                <w:rFonts w:ascii="Calibri" w:hAnsi="Calibri"/>
                <w:bCs/>
                <w:i/>
                <w:iCs/>
              </w:rPr>
            </w:pPr>
            <w:r w:rsidRPr="006429CF">
              <w:rPr>
                <w:rFonts w:ascii="Calibri" w:hAnsi="Calibri"/>
                <w:bCs/>
                <w:i/>
                <w:iCs/>
              </w:rPr>
              <w:t xml:space="preserve">There is a vinyl laminate finish to the rear section. The outer walls to the front section are finished with a dense sand cement render tanking. The walls in the rear section are dry lined with lightweight plaster finished plasterboard. </w:t>
            </w:r>
          </w:p>
          <w:p w14:paraId="5192E84A" w14:textId="77777777" w:rsidR="00733BB5" w:rsidRPr="006429CF" w:rsidRDefault="00733BB5" w:rsidP="00733BB5">
            <w:pPr>
              <w:jc w:val="both"/>
              <w:rPr>
                <w:rFonts w:ascii="Calibri" w:hAnsi="Calibri"/>
                <w:bCs/>
                <w:i/>
                <w:iCs/>
              </w:rPr>
            </w:pPr>
          </w:p>
          <w:p w14:paraId="70978511" w14:textId="379364B1" w:rsidR="00733BB5" w:rsidRPr="006429CF" w:rsidRDefault="00733BB5" w:rsidP="00733BB5">
            <w:pPr>
              <w:jc w:val="both"/>
              <w:rPr>
                <w:rFonts w:ascii="Calibri" w:hAnsi="Calibri"/>
                <w:bCs/>
                <w:i/>
                <w:iCs/>
              </w:rPr>
            </w:pPr>
            <w:r w:rsidRPr="006429CF">
              <w:rPr>
                <w:rFonts w:ascii="Calibri" w:hAnsi="Calibri"/>
                <w:bCs/>
                <w:i/>
                <w:iCs/>
              </w:rPr>
              <w:t>The existing lath and plaster ceilings to the front section have fibre cement tiles adhered to the underside. The ceiling to the rear section is lightweight plaster finished plasterboard. The electrical consumer units and fuse boards are located on the central wall in the front section. The pavement light opening to the front section has been built up internally. There is extensive dampness on the outer walls in the front</w:t>
            </w:r>
          </w:p>
          <w:p w14:paraId="5DDD7564" w14:textId="77777777" w:rsidR="00733BB5" w:rsidRPr="006429CF" w:rsidRDefault="00733BB5" w:rsidP="00733BB5">
            <w:pPr>
              <w:jc w:val="both"/>
              <w:rPr>
                <w:rFonts w:ascii="Calibri" w:hAnsi="Calibri"/>
                <w:bCs/>
                <w:i/>
                <w:iCs/>
              </w:rPr>
            </w:pPr>
            <w:r w:rsidRPr="006429CF">
              <w:rPr>
                <w:rFonts w:ascii="Calibri" w:hAnsi="Calibri"/>
                <w:bCs/>
                <w:i/>
                <w:iCs/>
              </w:rPr>
              <w:t xml:space="preserve">section. </w:t>
            </w:r>
          </w:p>
          <w:p w14:paraId="13E25689" w14:textId="77777777" w:rsidR="00733BB5" w:rsidRPr="006429CF" w:rsidRDefault="00733BB5" w:rsidP="00733BB5">
            <w:pPr>
              <w:jc w:val="both"/>
              <w:rPr>
                <w:rFonts w:ascii="Calibri" w:hAnsi="Calibri"/>
                <w:bCs/>
                <w:i/>
                <w:iCs/>
              </w:rPr>
            </w:pPr>
          </w:p>
          <w:p w14:paraId="7FD90177" w14:textId="651DA864" w:rsidR="00733BB5" w:rsidRPr="006429CF" w:rsidRDefault="00733BB5" w:rsidP="00733BB5">
            <w:pPr>
              <w:jc w:val="both"/>
              <w:rPr>
                <w:rFonts w:ascii="Calibri" w:hAnsi="Calibri"/>
                <w:bCs/>
                <w:i/>
                <w:iCs/>
              </w:rPr>
            </w:pPr>
            <w:r w:rsidRPr="006429CF">
              <w:rPr>
                <w:rFonts w:ascii="Calibri" w:hAnsi="Calibri"/>
                <w:bCs/>
                <w:i/>
                <w:iCs/>
              </w:rPr>
              <w:t>This is likely to be external water penetration, as this section of the building is below external ground level. The building has been unoccupied for some time and there is no forced ventilation to the front section which is exacerbating the dampness on the walls. Visual inspection of the condition of the exposed floor joists and lath and plaster ceiling finishes above the front section suggests that these components are replacements to the originals. The presence of regularised squared section beams at mid-span in both front and rear sections provides further evidence that the original ground floor timbers have been replaced.</w:t>
            </w:r>
          </w:p>
          <w:p w14:paraId="33CF4AAB" w14:textId="77777777" w:rsidR="00733BB5" w:rsidRPr="006429CF" w:rsidRDefault="00733BB5" w:rsidP="00733BB5">
            <w:pPr>
              <w:jc w:val="both"/>
              <w:rPr>
                <w:rFonts w:ascii="Calibri" w:hAnsi="Calibri"/>
                <w:bCs/>
                <w:i/>
                <w:iCs/>
              </w:rPr>
            </w:pPr>
          </w:p>
          <w:p w14:paraId="18D89CD2" w14:textId="1F98F62C" w:rsidR="00733BB5" w:rsidRPr="006429CF" w:rsidRDefault="00733BB5" w:rsidP="00733BB5">
            <w:pPr>
              <w:overflowPunct/>
              <w:jc w:val="both"/>
              <w:textAlignment w:val="auto"/>
              <w:rPr>
                <w:rFonts w:asciiTheme="minorHAnsi" w:eastAsiaTheme="minorHAnsi" w:hAnsiTheme="minorHAnsi" w:cstheme="minorHAnsi"/>
                <w:i/>
                <w:iCs/>
                <w:szCs w:val="22"/>
              </w:rPr>
            </w:pPr>
            <w:r w:rsidRPr="006429CF">
              <w:rPr>
                <w:rFonts w:asciiTheme="minorHAnsi" w:eastAsiaTheme="minorHAnsi" w:hAnsiTheme="minorHAnsi" w:cstheme="minorHAnsi"/>
                <w:i/>
                <w:iCs/>
                <w:szCs w:val="22"/>
              </w:rPr>
              <w:t>The ground floor is open plan to the front section of the building. The walls have smooth, flat plastered finishes. The ceiling is plasterboard with a smooth flat plaster finish. The floor has a vinyl sheet finish. There is a modern, open riser, timber staircase, with full height, vertical metal balusters providing access to the first floor. This is clearly a later addition.</w:t>
            </w:r>
          </w:p>
          <w:p w14:paraId="5D529EF6" w14:textId="77777777" w:rsidR="00733BB5" w:rsidRPr="006429CF" w:rsidRDefault="00733BB5" w:rsidP="00733BB5">
            <w:pPr>
              <w:overflowPunct/>
              <w:jc w:val="both"/>
              <w:textAlignment w:val="auto"/>
              <w:rPr>
                <w:rFonts w:asciiTheme="minorHAnsi" w:eastAsiaTheme="minorHAnsi" w:hAnsiTheme="minorHAnsi" w:cstheme="minorHAnsi"/>
                <w:i/>
                <w:iCs/>
                <w:szCs w:val="22"/>
              </w:rPr>
            </w:pPr>
          </w:p>
          <w:p w14:paraId="06420FDE" w14:textId="2A4752C5" w:rsidR="00733BB5" w:rsidRPr="006429CF" w:rsidRDefault="00733BB5" w:rsidP="00733BB5">
            <w:pPr>
              <w:overflowPunct/>
              <w:jc w:val="both"/>
              <w:textAlignment w:val="auto"/>
              <w:rPr>
                <w:rFonts w:asciiTheme="minorHAnsi" w:eastAsiaTheme="minorHAnsi" w:hAnsiTheme="minorHAnsi" w:cstheme="minorHAnsi"/>
                <w:i/>
                <w:iCs/>
                <w:szCs w:val="22"/>
              </w:rPr>
            </w:pPr>
            <w:r w:rsidRPr="006429CF">
              <w:rPr>
                <w:rFonts w:asciiTheme="minorHAnsi" w:eastAsiaTheme="minorHAnsi" w:hAnsiTheme="minorHAnsi" w:cstheme="minorHAnsi"/>
                <w:i/>
                <w:iCs/>
                <w:szCs w:val="22"/>
              </w:rPr>
              <w:t>The first floor is open plan, in a similar design to the ground floor. The walls have smooth, flat plastered finishes. The ceiling is plasterboard with a smooth flat plaster finish. The floor has a vinyl sheet finish. There is a small W.C. cubicle located in the rear corner on the gable wall with a modern low level cistern and pan. There is an enclosed staircase on the rear wall providing access to the second floor. The staircase to the second floor is dated, but not original. The partition wall to the stairwell is a simple timber frame with vertical timber boards on the staircase side, and a plasterboard finish to the room.</w:t>
            </w:r>
          </w:p>
          <w:p w14:paraId="737FB595" w14:textId="77777777" w:rsidR="00F15EBF" w:rsidRPr="006429CF" w:rsidRDefault="00F15EBF" w:rsidP="00733BB5">
            <w:pPr>
              <w:jc w:val="both"/>
              <w:rPr>
                <w:rFonts w:asciiTheme="minorHAnsi" w:hAnsiTheme="minorHAnsi" w:cstheme="minorHAnsi"/>
                <w:bCs/>
                <w:i/>
                <w:iCs/>
                <w:szCs w:val="22"/>
              </w:rPr>
            </w:pPr>
          </w:p>
          <w:p w14:paraId="1B8720C4" w14:textId="77777777" w:rsidR="00733BB5" w:rsidRPr="006429CF" w:rsidRDefault="00733BB5" w:rsidP="00733BB5">
            <w:pPr>
              <w:overflowPunct/>
              <w:jc w:val="both"/>
              <w:textAlignment w:val="auto"/>
              <w:rPr>
                <w:rFonts w:asciiTheme="minorHAnsi" w:eastAsiaTheme="minorHAnsi" w:hAnsiTheme="minorHAnsi" w:cstheme="minorHAnsi"/>
                <w:i/>
                <w:iCs/>
                <w:szCs w:val="22"/>
              </w:rPr>
            </w:pPr>
            <w:r w:rsidRPr="006429CF">
              <w:rPr>
                <w:rFonts w:asciiTheme="minorHAnsi" w:eastAsiaTheme="minorHAnsi" w:hAnsiTheme="minorHAnsi" w:cstheme="minorHAnsi"/>
                <w:i/>
                <w:iCs/>
                <w:szCs w:val="22"/>
              </w:rPr>
              <w:t xml:space="preserve">The second floor is divided into a small room to the front of the building, a staircase and landing, and a W.C. cubicle located in the rear corner on the gable wall. The access hatch to the roof void is located in the W.C. cubicle. The partition walls are basic timber frames with vertical timber board finish. In the W.C. the pan has been removed, but the high level, lead lined timber cistern is still in-situ, complete with lead supply and flush pipes. </w:t>
            </w:r>
          </w:p>
          <w:p w14:paraId="7B6B657F" w14:textId="77777777" w:rsidR="00733BB5" w:rsidRPr="006429CF" w:rsidRDefault="00733BB5" w:rsidP="00733BB5">
            <w:pPr>
              <w:overflowPunct/>
              <w:jc w:val="both"/>
              <w:textAlignment w:val="auto"/>
              <w:rPr>
                <w:rFonts w:asciiTheme="minorHAnsi" w:eastAsiaTheme="minorHAnsi" w:hAnsiTheme="minorHAnsi" w:cstheme="minorHAnsi"/>
                <w:i/>
                <w:iCs/>
                <w:szCs w:val="22"/>
              </w:rPr>
            </w:pPr>
          </w:p>
          <w:p w14:paraId="71549F5B" w14:textId="5B95600C" w:rsidR="00733BB5" w:rsidRPr="006429CF" w:rsidRDefault="00733BB5" w:rsidP="00733BB5">
            <w:pPr>
              <w:overflowPunct/>
              <w:jc w:val="both"/>
              <w:textAlignment w:val="auto"/>
              <w:rPr>
                <w:rFonts w:asciiTheme="minorHAnsi" w:eastAsiaTheme="minorHAnsi" w:hAnsiTheme="minorHAnsi" w:cstheme="minorHAnsi"/>
                <w:i/>
                <w:iCs/>
                <w:szCs w:val="22"/>
              </w:rPr>
            </w:pPr>
            <w:r w:rsidRPr="006429CF">
              <w:rPr>
                <w:rFonts w:asciiTheme="minorHAnsi" w:eastAsiaTheme="minorHAnsi" w:hAnsiTheme="minorHAnsi" w:cstheme="minorHAnsi"/>
                <w:i/>
                <w:iCs/>
                <w:szCs w:val="22"/>
              </w:rPr>
              <w:t>The wash basin is still in-situ,but has clearly not been used for a considerable time. Although dated these sanitary fittings are not original. The manufacturers’ trade name ‘Alzado’ on the basin dates the fittings at 1900 – 1910. The second floor level still retains old plaster wall finishes and a lath and plaster ceiling. The plaster wall finish to the party wall has some minor cracking, but is sound and still adhered to the wall fully. This is minor surface movement probably caused by residual heat transfer from the chimney flue. There are some damp areas to the front wall at the gable end, most likely caused by a cracked lead lining to the gutter above. The window to the front elevation is a replacement timber casement type.</w:t>
            </w:r>
          </w:p>
          <w:p w14:paraId="7B90C3B1" w14:textId="77777777" w:rsidR="00733BB5" w:rsidRPr="006429CF" w:rsidRDefault="00733BB5" w:rsidP="00F15EBF">
            <w:pPr>
              <w:jc w:val="both"/>
              <w:rPr>
                <w:rFonts w:ascii="Calibri" w:hAnsi="Calibri"/>
                <w:bCs/>
                <w:i/>
                <w:iCs/>
              </w:rPr>
            </w:pPr>
          </w:p>
          <w:p w14:paraId="4E76CC2C" w14:textId="633CF374" w:rsidR="00733BB5" w:rsidRPr="006429CF" w:rsidRDefault="00733BB5" w:rsidP="00733BB5">
            <w:pPr>
              <w:jc w:val="both"/>
              <w:rPr>
                <w:rFonts w:ascii="Calibri" w:hAnsi="Calibri"/>
                <w:bCs/>
                <w:i/>
                <w:iCs/>
              </w:rPr>
            </w:pPr>
            <w:r w:rsidRPr="006429CF">
              <w:rPr>
                <w:rFonts w:ascii="Calibri" w:hAnsi="Calibri"/>
                <w:bCs/>
                <w:i/>
                <w:iCs/>
              </w:rPr>
              <w:t>The roof void is un-insulated. The rafters and purlins are regular, squared sections of timber. The roof covering has been re-laid relatively recently and has a grey, reinforced p.v.c. sarking felt over the rafters. The sarking material suggests this work was carried out in the late 1980’s. The gable and party walls in the roof void are random limestone with a rough, slobbered lime mortar finish. The is a timber stud wall in line with the ridge beam, which provides fire separation to the adjoining property, although there is no fire boarding on the frame in no. 34.</w:t>
            </w:r>
          </w:p>
          <w:p w14:paraId="5B6B40B7" w14:textId="77777777" w:rsidR="00733BB5" w:rsidRPr="006429CF" w:rsidRDefault="00733BB5" w:rsidP="00F15EBF">
            <w:pPr>
              <w:jc w:val="both"/>
              <w:rPr>
                <w:rFonts w:ascii="Calibri" w:hAnsi="Calibri"/>
                <w:bCs/>
              </w:rPr>
            </w:pPr>
          </w:p>
          <w:p w14:paraId="494578D1" w14:textId="6E222CD7" w:rsidR="005E4ECC" w:rsidRPr="006429CF" w:rsidRDefault="005E4ECC" w:rsidP="005E4ECC">
            <w:pPr>
              <w:jc w:val="both"/>
              <w:rPr>
                <w:rFonts w:ascii="Calibri" w:hAnsi="Calibri"/>
                <w:bCs/>
              </w:rPr>
            </w:pPr>
            <w:r w:rsidRPr="006429CF">
              <w:rPr>
                <w:rFonts w:ascii="Calibri" w:hAnsi="Calibri"/>
                <w:bCs/>
              </w:rPr>
              <w:t>In respect of the proposed internal works, no specific details have been provided in respect of the upgrading the fire resistance of the structure, the upgrading the thermal insulation of the building nor the installation of tanking to basement to prevent groundwater ingress.</w:t>
            </w:r>
          </w:p>
          <w:p w14:paraId="373DB6FF" w14:textId="77777777" w:rsidR="005E4ECC" w:rsidRPr="006429CF" w:rsidRDefault="005E4ECC" w:rsidP="005E4ECC">
            <w:pPr>
              <w:jc w:val="both"/>
              <w:rPr>
                <w:rFonts w:ascii="Calibri" w:hAnsi="Calibri"/>
                <w:bCs/>
              </w:rPr>
            </w:pPr>
          </w:p>
          <w:p w14:paraId="4A2B6C80" w14:textId="64C21796" w:rsidR="005E4ECC" w:rsidRDefault="005E4ECC" w:rsidP="006429CF">
            <w:pPr>
              <w:jc w:val="both"/>
              <w:rPr>
                <w:rFonts w:ascii="Calibri" w:hAnsi="Calibri"/>
                <w:bCs/>
              </w:rPr>
            </w:pPr>
            <w:r w:rsidRPr="006429CF">
              <w:rPr>
                <w:rFonts w:ascii="Calibri" w:hAnsi="Calibri"/>
                <w:bCs/>
              </w:rPr>
              <w:t xml:space="preserve">However, in respect of the latter, the applicant </w:t>
            </w:r>
            <w:r w:rsidR="006429CF" w:rsidRPr="006429CF">
              <w:rPr>
                <w:rFonts w:ascii="Calibri" w:hAnsi="Calibri"/>
                <w:bCs/>
              </w:rPr>
              <w:t xml:space="preserve">has stated that the basement has an asphalt finish, and the walls have a sand cement render finish. Matters which were noted during the physical conditions survey inspection undertaken, with the permanent damage to the fabric of the building in the cellar </w:t>
            </w:r>
            <w:r w:rsidR="006429CF" w:rsidRPr="006429CF">
              <w:rPr>
                <w:rFonts w:ascii="Calibri" w:hAnsi="Calibri"/>
                <w:bCs/>
              </w:rPr>
              <w:lastRenderedPageBreak/>
              <w:t xml:space="preserve">already being present.  The authority recognises that the introduction of tanking, upgrading of thermal insulation/fireproofing may give rise to works affecting the limited original internal fabric of the building that remains, however such works are likely to be easily remediated, or that the benefits of such works outweigh any such harm.  In this respect, and to ensure the fabric and long-term integrity of the fabric of the building is protected, condition(s) will be imposed requiring a detailed methodology and detailed schedule of works for the associated internal work to the property. </w:t>
            </w:r>
          </w:p>
          <w:p w14:paraId="09E6069F" w14:textId="77777777" w:rsidR="006429CF" w:rsidRDefault="006429CF" w:rsidP="006429CF">
            <w:pPr>
              <w:jc w:val="both"/>
              <w:rPr>
                <w:rFonts w:ascii="Calibri" w:hAnsi="Calibri"/>
                <w:bCs/>
              </w:rPr>
            </w:pPr>
          </w:p>
          <w:p w14:paraId="77DA9AE5" w14:textId="56F3AD1D" w:rsidR="006429CF" w:rsidRPr="006429CF" w:rsidRDefault="006429CF" w:rsidP="006429CF">
            <w:pPr>
              <w:jc w:val="both"/>
              <w:rPr>
                <w:rFonts w:ascii="Calibri" w:hAnsi="Calibri"/>
                <w:bCs/>
              </w:rPr>
            </w:pPr>
            <w:r>
              <w:rPr>
                <w:rFonts w:ascii="Calibri" w:hAnsi="Calibri"/>
                <w:bCs/>
              </w:rPr>
              <w:t xml:space="preserve">A small number of internal stud walls are proposed to delineate the configuration of apartments and create separation between circulation-cores.  </w:t>
            </w:r>
            <w:r w:rsidR="0058040A">
              <w:rPr>
                <w:rFonts w:ascii="Calibri" w:hAnsi="Calibri"/>
                <w:bCs/>
              </w:rPr>
              <w:t>As this</w:t>
            </w:r>
            <w:r>
              <w:rPr>
                <w:rFonts w:ascii="Calibri" w:hAnsi="Calibri"/>
                <w:bCs/>
              </w:rPr>
              <w:t xml:space="preserve"> will result in the compartmentalisation of the current plan-form of the building</w:t>
            </w:r>
            <w:r w:rsidR="0058040A">
              <w:rPr>
                <w:rFonts w:ascii="Calibri" w:hAnsi="Calibri"/>
                <w:bCs/>
              </w:rPr>
              <w:t>s, this will result in a less than substantial (degree of harm within this threshold is considered low) level of harm to the significance of the buildings</w:t>
            </w:r>
            <w:r w:rsidRPr="006429CF">
              <w:rPr>
                <w:rFonts w:ascii="Calibri" w:hAnsi="Calibri"/>
                <w:bCs/>
              </w:rPr>
              <w:t>.</w:t>
            </w:r>
          </w:p>
          <w:p w14:paraId="55DCF4EF" w14:textId="77777777" w:rsidR="005E4ECC" w:rsidRDefault="005E4ECC" w:rsidP="00F15EBF">
            <w:pPr>
              <w:jc w:val="both"/>
              <w:rPr>
                <w:rFonts w:ascii="Calibri" w:hAnsi="Calibri"/>
                <w:bCs/>
                <w:color w:val="FF0000"/>
              </w:rPr>
            </w:pPr>
          </w:p>
          <w:p w14:paraId="341CFFF1" w14:textId="206CAEC4" w:rsidR="00F15EBF" w:rsidRPr="00D655BD" w:rsidRDefault="008F30D9" w:rsidP="00F15EBF">
            <w:pPr>
              <w:jc w:val="both"/>
              <w:rPr>
                <w:rFonts w:ascii="Calibri" w:hAnsi="Calibri"/>
                <w:b/>
                <w:szCs w:val="22"/>
              </w:rPr>
            </w:pPr>
            <w:r w:rsidRPr="00D655BD">
              <w:rPr>
                <w:rFonts w:ascii="Calibri" w:hAnsi="Calibri"/>
                <w:b/>
                <w:szCs w:val="22"/>
              </w:rPr>
              <w:t>External Works:</w:t>
            </w:r>
          </w:p>
          <w:p w14:paraId="3FFC5DCF" w14:textId="77777777" w:rsidR="008F30D9" w:rsidRPr="00D655BD" w:rsidRDefault="008F30D9" w:rsidP="00F15EBF">
            <w:pPr>
              <w:jc w:val="both"/>
              <w:rPr>
                <w:rFonts w:ascii="Calibri" w:hAnsi="Calibri"/>
                <w:bCs/>
                <w:szCs w:val="22"/>
              </w:rPr>
            </w:pPr>
          </w:p>
          <w:p w14:paraId="6D3FA0CE" w14:textId="4CDB32FD" w:rsidR="008F30D9" w:rsidRPr="00D655BD" w:rsidRDefault="008F30D9" w:rsidP="00F15EBF">
            <w:pPr>
              <w:jc w:val="both"/>
              <w:rPr>
                <w:rFonts w:ascii="Calibri" w:hAnsi="Calibri"/>
                <w:bCs/>
                <w:szCs w:val="22"/>
              </w:rPr>
            </w:pPr>
            <w:r w:rsidRPr="00D655BD">
              <w:rPr>
                <w:rFonts w:ascii="Calibri" w:hAnsi="Calibri"/>
                <w:bCs/>
                <w:szCs w:val="22"/>
              </w:rPr>
              <w:t>The works to the external fabric of the building are limited to that as follows:</w:t>
            </w:r>
          </w:p>
          <w:p w14:paraId="43393316" w14:textId="12AB0DBD" w:rsidR="008F30D9" w:rsidRPr="00D655BD" w:rsidRDefault="008F30D9" w:rsidP="008F30D9">
            <w:pPr>
              <w:tabs>
                <w:tab w:val="left" w:pos="2190"/>
              </w:tabs>
              <w:jc w:val="both"/>
              <w:rPr>
                <w:rFonts w:ascii="Calibri" w:hAnsi="Calibri"/>
                <w:bCs/>
                <w:szCs w:val="22"/>
              </w:rPr>
            </w:pPr>
          </w:p>
          <w:p w14:paraId="598F364D" w14:textId="77777777" w:rsidR="008F30D9" w:rsidRPr="00D655BD" w:rsidRDefault="008F30D9" w:rsidP="008F30D9">
            <w:pPr>
              <w:pStyle w:val="ListParagraph"/>
              <w:numPr>
                <w:ilvl w:val="0"/>
                <w:numId w:val="18"/>
              </w:numPr>
              <w:jc w:val="both"/>
              <w:rPr>
                <w:rFonts w:ascii="Calibri" w:hAnsi="Calibri"/>
                <w:bCs/>
                <w:szCs w:val="22"/>
              </w:rPr>
            </w:pPr>
            <w:r w:rsidRPr="00D655BD">
              <w:rPr>
                <w:rFonts w:ascii="Calibri" w:hAnsi="Calibri"/>
                <w:bCs/>
                <w:szCs w:val="22"/>
              </w:rPr>
              <w:t>Replacement of existing windows to that of painted timber</w:t>
            </w:r>
          </w:p>
          <w:p w14:paraId="65829444" w14:textId="2CC696AD" w:rsidR="008F30D9" w:rsidRPr="00D655BD" w:rsidRDefault="008F30D9" w:rsidP="008F30D9">
            <w:pPr>
              <w:pStyle w:val="ListParagraph"/>
              <w:numPr>
                <w:ilvl w:val="0"/>
                <w:numId w:val="18"/>
              </w:numPr>
              <w:jc w:val="both"/>
              <w:rPr>
                <w:rFonts w:ascii="Calibri" w:hAnsi="Calibri"/>
                <w:bCs/>
                <w:szCs w:val="22"/>
              </w:rPr>
            </w:pPr>
            <w:r w:rsidRPr="00D655BD">
              <w:rPr>
                <w:rFonts w:ascii="Calibri" w:hAnsi="Calibri"/>
                <w:bCs/>
                <w:szCs w:val="22"/>
              </w:rPr>
              <w:t>Raising of ‘cill’ on ground floor window (side elevation)</w:t>
            </w:r>
          </w:p>
          <w:p w14:paraId="5D7ECF11" w14:textId="576B99AA" w:rsidR="008F30D9" w:rsidRPr="00D655BD" w:rsidRDefault="008F30D9" w:rsidP="008F30D9">
            <w:pPr>
              <w:pStyle w:val="ListParagraph"/>
              <w:numPr>
                <w:ilvl w:val="0"/>
                <w:numId w:val="17"/>
              </w:numPr>
              <w:jc w:val="both"/>
              <w:rPr>
                <w:rFonts w:ascii="Calibri" w:hAnsi="Calibri"/>
                <w:bCs/>
                <w:szCs w:val="22"/>
              </w:rPr>
            </w:pPr>
            <w:r w:rsidRPr="00D655BD">
              <w:rPr>
                <w:rFonts w:ascii="Calibri" w:hAnsi="Calibri"/>
                <w:bCs/>
                <w:szCs w:val="22"/>
              </w:rPr>
              <w:t>Replacement of ‘entrance door’ (front elevation)</w:t>
            </w:r>
          </w:p>
          <w:p w14:paraId="24BA22D4" w14:textId="019D0473" w:rsidR="00BB4772" w:rsidRPr="00D655BD" w:rsidRDefault="008F30D9" w:rsidP="008F30D9">
            <w:pPr>
              <w:pStyle w:val="ListParagraph"/>
              <w:numPr>
                <w:ilvl w:val="0"/>
                <w:numId w:val="16"/>
              </w:numPr>
              <w:jc w:val="both"/>
              <w:rPr>
                <w:rFonts w:ascii="Calibri" w:hAnsi="Calibri"/>
                <w:bCs/>
                <w:szCs w:val="22"/>
              </w:rPr>
            </w:pPr>
            <w:r w:rsidRPr="00D655BD">
              <w:rPr>
                <w:rFonts w:ascii="Calibri" w:hAnsi="Calibri"/>
                <w:bCs/>
                <w:szCs w:val="22"/>
              </w:rPr>
              <w:t>External fabric of the building to be painted with white coloured ‘masonry paint’</w:t>
            </w:r>
          </w:p>
          <w:p w14:paraId="25A361E5" w14:textId="77777777" w:rsidR="008F30D9" w:rsidRPr="00D655BD" w:rsidRDefault="008F30D9" w:rsidP="008F30D9">
            <w:pPr>
              <w:jc w:val="both"/>
              <w:rPr>
                <w:rFonts w:ascii="Calibri" w:hAnsi="Calibri"/>
                <w:bCs/>
                <w:szCs w:val="22"/>
              </w:rPr>
            </w:pPr>
          </w:p>
          <w:p w14:paraId="6788000D" w14:textId="31EBF821" w:rsidR="008F30D9" w:rsidRPr="00D655BD" w:rsidRDefault="009D3C91" w:rsidP="008F30D9">
            <w:pPr>
              <w:jc w:val="both"/>
              <w:rPr>
                <w:rFonts w:ascii="Calibri" w:hAnsi="Calibri"/>
                <w:bCs/>
                <w:szCs w:val="22"/>
              </w:rPr>
            </w:pPr>
            <w:r w:rsidRPr="00D655BD">
              <w:rPr>
                <w:rFonts w:ascii="Calibri" w:hAnsi="Calibri"/>
                <w:bCs/>
                <w:szCs w:val="22"/>
              </w:rPr>
              <w:t>No precise details have been provided in respect of the proposed replacement windows/doors with the elevational drawings showing that the windows will be of a ‘sliding sash’ configuration being of a composite timber construction.  The general appearance and configuration of the fenestrational elements</w:t>
            </w:r>
            <w:r w:rsidR="00D536F5" w:rsidRPr="00D655BD">
              <w:rPr>
                <w:rFonts w:ascii="Calibri" w:hAnsi="Calibri"/>
                <w:bCs/>
                <w:szCs w:val="22"/>
              </w:rPr>
              <w:t xml:space="preserve">, and door </w:t>
            </w:r>
            <w:r w:rsidRPr="00D655BD">
              <w:rPr>
                <w:rFonts w:ascii="Calibri" w:hAnsi="Calibri"/>
                <w:bCs/>
                <w:szCs w:val="22"/>
              </w:rPr>
              <w:t>are considered appropriate to the character and appearance of the building.  However</w:t>
            </w:r>
            <w:r w:rsidR="00D536F5" w:rsidRPr="00D655BD">
              <w:rPr>
                <w:rFonts w:ascii="Calibri" w:hAnsi="Calibri"/>
                <w:bCs/>
                <w:szCs w:val="22"/>
              </w:rPr>
              <w:t>, taking account of the lack of detailed information in respect of these elements, and given the building is a Grade II Designated Heritage Asset, conditions(s) will be imposed requiring the submission of sectional drawings of the profile(s) of the doors/windows along with joinery details (where appropriate).</w:t>
            </w:r>
          </w:p>
          <w:p w14:paraId="44CE64E7" w14:textId="77777777" w:rsidR="008F30D9" w:rsidRPr="00D655BD" w:rsidRDefault="008F30D9" w:rsidP="008F30D9">
            <w:pPr>
              <w:jc w:val="both"/>
              <w:rPr>
                <w:rFonts w:ascii="Calibri" w:hAnsi="Calibri"/>
                <w:bCs/>
                <w:szCs w:val="22"/>
              </w:rPr>
            </w:pPr>
          </w:p>
          <w:p w14:paraId="036E2159" w14:textId="0E2084A8" w:rsidR="00D536F5" w:rsidRPr="00D655BD" w:rsidRDefault="00D536F5" w:rsidP="008F30D9">
            <w:pPr>
              <w:jc w:val="both"/>
              <w:rPr>
                <w:rFonts w:ascii="Calibri" w:hAnsi="Calibri"/>
                <w:bCs/>
                <w:szCs w:val="22"/>
              </w:rPr>
            </w:pPr>
            <w:r w:rsidRPr="00D655BD">
              <w:rPr>
                <w:rFonts w:ascii="Calibri" w:hAnsi="Calibri"/>
                <w:bCs/>
                <w:szCs w:val="22"/>
              </w:rPr>
              <w:t>In relation to the external finishe</w:t>
            </w:r>
            <w:r w:rsidR="005B31B6" w:rsidRPr="00D655BD">
              <w:rPr>
                <w:rFonts w:ascii="Calibri" w:hAnsi="Calibri"/>
                <w:bCs/>
                <w:szCs w:val="22"/>
              </w:rPr>
              <w:t>s</w:t>
            </w:r>
            <w:r w:rsidRPr="00D655BD">
              <w:rPr>
                <w:rFonts w:ascii="Calibri" w:hAnsi="Calibri"/>
                <w:bCs/>
                <w:szCs w:val="22"/>
              </w:rPr>
              <w:t xml:space="preserve"> of the building, </w:t>
            </w:r>
            <w:r w:rsidR="00DD3EA9" w:rsidRPr="00D655BD">
              <w:rPr>
                <w:rFonts w:ascii="Calibri" w:hAnsi="Calibri"/>
                <w:bCs/>
                <w:szCs w:val="22"/>
              </w:rPr>
              <w:t xml:space="preserve">in order to </w:t>
            </w:r>
            <w:r w:rsidRPr="00D655BD">
              <w:rPr>
                <w:rFonts w:ascii="Calibri" w:hAnsi="Calibri"/>
                <w:bCs/>
                <w:szCs w:val="22"/>
              </w:rPr>
              <w:t xml:space="preserve">ensure the </w:t>
            </w:r>
            <w:r w:rsidR="005B31B6" w:rsidRPr="00D655BD">
              <w:rPr>
                <w:rFonts w:ascii="Calibri" w:hAnsi="Calibri"/>
                <w:bCs/>
                <w:szCs w:val="22"/>
              </w:rPr>
              <w:t xml:space="preserve">proposed external ‘masonry paint’ and associated </w:t>
            </w:r>
            <w:r w:rsidR="00DD3EA9" w:rsidRPr="00D655BD">
              <w:rPr>
                <w:rFonts w:ascii="Calibri" w:hAnsi="Calibri"/>
                <w:bCs/>
                <w:szCs w:val="22"/>
              </w:rPr>
              <w:t>preparation</w:t>
            </w:r>
            <w:r w:rsidR="005B31B6" w:rsidRPr="00D655BD">
              <w:rPr>
                <w:rFonts w:ascii="Calibri" w:hAnsi="Calibri"/>
                <w:bCs/>
                <w:szCs w:val="22"/>
              </w:rPr>
              <w:t xml:space="preserve"> works</w:t>
            </w:r>
            <w:r w:rsidR="00DD3EA9" w:rsidRPr="00D655BD">
              <w:rPr>
                <w:rFonts w:ascii="Calibri" w:hAnsi="Calibri"/>
                <w:bCs/>
                <w:szCs w:val="22"/>
              </w:rPr>
              <w:t xml:space="preserve"> (or removal of existing paint where relevant)</w:t>
            </w:r>
            <w:r w:rsidR="005B31B6" w:rsidRPr="00D655BD">
              <w:rPr>
                <w:rFonts w:ascii="Calibri" w:hAnsi="Calibri"/>
                <w:bCs/>
                <w:szCs w:val="22"/>
              </w:rPr>
              <w:t xml:space="preserve"> respect</w:t>
            </w:r>
            <w:r w:rsidR="00DD3EA9" w:rsidRPr="00D655BD">
              <w:rPr>
                <w:rFonts w:ascii="Calibri" w:hAnsi="Calibri"/>
                <w:bCs/>
                <w:szCs w:val="22"/>
              </w:rPr>
              <w:t>s</w:t>
            </w:r>
            <w:r w:rsidR="005B31B6" w:rsidRPr="00D655BD">
              <w:rPr>
                <w:rFonts w:ascii="Calibri" w:hAnsi="Calibri"/>
                <w:bCs/>
                <w:szCs w:val="22"/>
              </w:rPr>
              <w:t xml:space="preserve"> and protect</w:t>
            </w:r>
            <w:r w:rsidR="00DD3EA9" w:rsidRPr="00D655BD">
              <w:rPr>
                <w:rFonts w:ascii="Calibri" w:hAnsi="Calibri"/>
                <w:bCs/>
                <w:szCs w:val="22"/>
              </w:rPr>
              <w:t>s</w:t>
            </w:r>
            <w:r w:rsidR="005B31B6" w:rsidRPr="00D655BD">
              <w:rPr>
                <w:rFonts w:ascii="Calibri" w:hAnsi="Calibri"/>
                <w:bCs/>
                <w:szCs w:val="22"/>
              </w:rPr>
              <w:t xml:space="preserve"> the </w:t>
            </w:r>
            <w:r w:rsidR="00DD3EA9" w:rsidRPr="00D655BD">
              <w:rPr>
                <w:rFonts w:ascii="Calibri" w:hAnsi="Calibri"/>
                <w:bCs/>
                <w:szCs w:val="22"/>
              </w:rPr>
              <w:t xml:space="preserve">long-term integrity of the external </w:t>
            </w:r>
            <w:r w:rsidR="005B31B6" w:rsidRPr="00D655BD">
              <w:rPr>
                <w:rFonts w:ascii="Calibri" w:hAnsi="Calibri"/>
                <w:bCs/>
                <w:szCs w:val="22"/>
              </w:rPr>
              <w:t xml:space="preserve">fabric of the building, it is considered appropriate to </w:t>
            </w:r>
            <w:r w:rsidR="00DD3EA9" w:rsidRPr="00D655BD">
              <w:rPr>
                <w:rFonts w:ascii="Calibri" w:hAnsi="Calibri"/>
                <w:bCs/>
                <w:szCs w:val="22"/>
              </w:rPr>
              <w:t>impose</w:t>
            </w:r>
            <w:r w:rsidR="005B31B6" w:rsidRPr="00D655BD">
              <w:rPr>
                <w:rFonts w:ascii="Calibri" w:hAnsi="Calibri"/>
                <w:bCs/>
                <w:szCs w:val="22"/>
              </w:rPr>
              <w:t xml:space="preserve"> a condition </w:t>
            </w:r>
            <w:r w:rsidR="00DD3EA9" w:rsidRPr="00D655BD">
              <w:rPr>
                <w:rFonts w:ascii="Calibri" w:hAnsi="Calibri"/>
                <w:bCs/>
                <w:szCs w:val="22"/>
              </w:rPr>
              <w:t xml:space="preserve">in respect of such matters.  In this respect the authority considers that such a condition will </w:t>
            </w:r>
            <w:r w:rsidR="005B31B6" w:rsidRPr="00D655BD">
              <w:rPr>
                <w:rFonts w:ascii="Calibri" w:hAnsi="Calibri"/>
                <w:bCs/>
                <w:szCs w:val="22"/>
              </w:rPr>
              <w:t>require that prior to the commencement of development, a detailed methodology for the cleaning</w:t>
            </w:r>
            <w:r w:rsidR="00DD3EA9" w:rsidRPr="00D655BD">
              <w:rPr>
                <w:rFonts w:ascii="Calibri" w:hAnsi="Calibri"/>
                <w:bCs/>
                <w:szCs w:val="22"/>
              </w:rPr>
              <w:t xml:space="preserve"> or preparation</w:t>
            </w:r>
            <w:r w:rsidR="005B31B6" w:rsidRPr="00D655BD">
              <w:rPr>
                <w:rFonts w:ascii="Calibri" w:hAnsi="Calibri"/>
                <w:bCs/>
                <w:szCs w:val="22"/>
              </w:rPr>
              <w:t xml:space="preserve"> of existing building fa</w:t>
            </w:r>
            <w:r w:rsidR="00DD3EA9" w:rsidRPr="00D655BD">
              <w:rPr>
                <w:rFonts w:ascii="Calibri" w:hAnsi="Calibri"/>
                <w:bCs/>
                <w:szCs w:val="22"/>
              </w:rPr>
              <w:t>c</w:t>
            </w:r>
            <w:r w:rsidR="005B31B6" w:rsidRPr="00D655BD">
              <w:rPr>
                <w:rFonts w:ascii="Calibri" w:hAnsi="Calibri"/>
                <w:bCs/>
                <w:szCs w:val="22"/>
              </w:rPr>
              <w:t xml:space="preserve">ade, including details of the proposed external paint’ (including colour) shall have been submitted to and agreed in writing by the Local Planning Authority.  </w:t>
            </w:r>
          </w:p>
          <w:p w14:paraId="719DAFEB" w14:textId="77777777" w:rsidR="00D536F5" w:rsidRPr="00D655BD" w:rsidRDefault="00D536F5" w:rsidP="008F30D9">
            <w:pPr>
              <w:jc w:val="both"/>
              <w:rPr>
                <w:rFonts w:ascii="Calibri" w:hAnsi="Calibri"/>
                <w:bCs/>
                <w:szCs w:val="22"/>
              </w:rPr>
            </w:pPr>
          </w:p>
          <w:p w14:paraId="33B4F13E" w14:textId="77777777" w:rsidR="00D655BD" w:rsidRPr="00D655BD" w:rsidRDefault="00623A50" w:rsidP="008F30D9">
            <w:pPr>
              <w:jc w:val="both"/>
              <w:rPr>
                <w:rFonts w:ascii="Calibri" w:hAnsi="Calibri"/>
                <w:bCs/>
                <w:szCs w:val="22"/>
              </w:rPr>
            </w:pPr>
            <w:r w:rsidRPr="00D655BD">
              <w:rPr>
                <w:rFonts w:ascii="Calibri" w:hAnsi="Calibri"/>
                <w:bCs/>
                <w:szCs w:val="22"/>
              </w:rPr>
              <w:t xml:space="preserve">The submitted details further propose the removal of a side entry door that serves the ground floor of the property (Albion Street elevation), with the door currently sitting significantly above the associated adjacent ground-level.  In this respect it is proposed that the lower portion of the door will be infilled to allow for the upper portion of the door opening to accommodate a small side-window.  </w:t>
            </w:r>
          </w:p>
          <w:p w14:paraId="39930D6C" w14:textId="77777777" w:rsidR="00D655BD" w:rsidRPr="00D655BD" w:rsidRDefault="00D655BD" w:rsidP="008F30D9">
            <w:pPr>
              <w:jc w:val="both"/>
              <w:rPr>
                <w:rFonts w:ascii="Calibri" w:hAnsi="Calibri"/>
                <w:bCs/>
                <w:szCs w:val="22"/>
              </w:rPr>
            </w:pPr>
          </w:p>
          <w:p w14:paraId="28D8BBF1" w14:textId="3F97B1F6" w:rsidR="00C76525" w:rsidRDefault="00623A50" w:rsidP="008F30D9">
            <w:pPr>
              <w:jc w:val="both"/>
              <w:rPr>
                <w:rFonts w:ascii="Calibri" w:hAnsi="Calibri"/>
                <w:bCs/>
                <w:szCs w:val="22"/>
              </w:rPr>
            </w:pPr>
            <w:r w:rsidRPr="00D655BD">
              <w:rPr>
                <w:rFonts w:ascii="Calibri" w:hAnsi="Calibri"/>
                <w:bCs/>
                <w:szCs w:val="22"/>
              </w:rPr>
              <w:t>Whilst the proposed works will result in the partial alteration of what may be considered as being an ‘original opening’, the extents of the alterations do not diminish from the overall character nor appearance of the building, particularly given the works are solely related to that of works upon a secondary elevation.</w:t>
            </w:r>
          </w:p>
          <w:p w14:paraId="3D173072" w14:textId="77777777" w:rsidR="0058040A" w:rsidRDefault="0058040A" w:rsidP="008F30D9">
            <w:pPr>
              <w:jc w:val="both"/>
              <w:rPr>
                <w:rFonts w:ascii="Calibri" w:hAnsi="Calibri"/>
                <w:bCs/>
                <w:szCs w:val="22"/>
              </w:rPr>
            </w:pPr>
          </w:p>
          <w:p w14:paraId="3594E395" w14:textId="4F7842A2" w:rsidR="000748C5" w:rsidRPr="007F51A6" w:rsidRDefault="007F51A6" w:rsidP="007F51A6">
            <w:pPr>
              <w:contextualSpacing/>
              <w:jc w:val="both"/>
              <w:rPr>
                <w:rFonts w:ascii="Calibri" w:hAnsi="Calibri"/>
                <w:bCs/>
              </w:rPr>
            </w:pPr>
            <w:r w:rsidRPr="007F51A6">
              <w:rPr>
                <w:rFonts w:ascii="Calibri" w:hAnsi="Calibri"/>
                <w:bCs/>
              </w:rPr>
              <w:t xml:space="preserve">In taking account of the above, the Local </w:t>
            </w:r>
            <w:r w:rsidR="0058040A">
              <w:rPr>
                <w:rFonts w:ascii="Calibri" w:hAnsi="Calibri"/>
                <w:bCs/>
              </w:rPr>
              <w:t>P</w:t>
            </w:r>
            <w:r w:rsidRPr="007F51A6">
              <w:rPr>
                <w:rFonts w:ascii="Calibri" w:hAnsi="Calibri"/>
                <w:bCs/>
              </w:rPr>
              <w:t xml:space="preserve">lanning Authority considers that the proposed works will result in a </w:t>
            </w:r>
            <w:r w:rsidR="0058040A">
              <w:rPr>
                <w:rFonts w:ascii="Calibri" w:hAnsi="Calibri"/>
                <w:bCs/>
              </w:rPr>
              <w:t>low</w:t>
            </w:r>
            <w:r w:rsidRPr="007F51A6">
              <w:rPr>
                <w:rFonts w:ascii="Calibri" w:hAnsi="Calibri"/>
                <w:bCs/>
              </w:rPr>
              <w:t xml:space="preserve"> level of measurable harm to the significance of the Grade II designated Heritage Asset.  With the benefits associated with the proposed development being that of the bringing forward two residential planning units and the associated increased level of custodianship for the asset and its long-term maintenance and enhancement/protection.</w:t>
            </w:r>
          </w:p>
          <w:p w14:paraId="34D27ABA" w14:textId="77777777" w:rsidR="007F51A6" w:rsidRDefault="007F51A6" w:rsidP="007F51A6">
            <w:pPr>
              <w:contextualSpacing/>
              <w:jc w:val="both"/>
              <w:rPr>
                <w:rFonts w:ascii="Calibri" w:hAnsi="Calibri"/>
                <w:b/>
              </w:rPr>
            </w:pPr>
          </w:p>
          <w:p w14:paraId="67B18CD0" w14:textId="74376D9B" w:rsidR="007F51A6" w:rsidRPr="007F51A6" w:rsidRDefault="007F51A6" w:rsidP="007F51A6">
            <w:pPr>
              <w:contextualSpacing/>
              <w:jc w:val="both"/>
              <w:rPr>
                <w:rFonts w:ascii="Calibri" w:hAnsi="Calibri"/>
                <w:bCs/>
              </w:rPr>
            </w:pPr>
            <w:r w:rsidRPr="007F51A6">
              <w:rPr>
                <w:rFonts w:ascii="Calibri" w:hAnsi="Calibri"/>
                <w:bCs/>
              </w:rPr>
              <w:lastRenderedPageBreak/>
              <w:t xml:space="preserve">As such, taking account of the above matters, it is not considered that the proposed development raises any significant direct conflict(s) with Key Statement EN5 or Policies DMG1 or DME4 of the Ribble valley Core Strategy, nor any significant measurable conflicts with the aims and objectives of the Planning (Listed Building and Conservation Areas) Act 1990 nor Paragraphs 205 - 214 of the National Planning Policy Framework. </w:t>
            </w:r>
          </w:p>
          <w:p w14:paraId="632BE018" w14:textId="1AF24B7A" w:rsidR="000748C5" w:rsidRPr="00FA0D9D" w:rsidRDefault="000748C5" w:rsidP="0046548C">
            <w:pPr>
              <w:contextualSpacing/>
              <w:rPr>
                <w:rFonts w:ascii="Calibri" w:hAnsi="Calibri"/>
                <w:b/>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7B016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D84147">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B587B43" w14:textId="77777777" w:rsidR="00BB4772" w:rsidRPr="002B1554" w:rsidRDefault="00BB4772" w:rsidP="00BB4772">
            <w:pPr>
              <w:pStyle w:val="Header"/>
              <w:tabs>
                <w:tab w:val="clear" w:pos="4153"/>
                <w:tab w:val="clear" w:pos="8306"/>
              </w:tabs>
              <w:contextualSpacing/>
              <w:jc w:val="both"/>
              <w:rPr>
                <w:rFonts w:ascii="Calibri" w:hAnsi="Calibri"/>
                <w:bCs/>
                <w:szCs w:val="22"/>
              </w:rPr>
            </w:pPr>
            <w:r w:rsidRPr="002B1554">
              <w:rPr>
                <w:rFonts w:ascii="Calibri" w:hAnsi="Calibri"/>
                <w:bCs/>
                <w:szCs w:val="22"/>
              </w:rPr>
              <w:t>The application site lies within the designated Clitheroe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3C7D9B6C" w14:textId="77777777" w:rsidR="00BB4772" w:rsidRPr="00D45384" w:rsidRDefault="00BB4772" w:rsidP="00BB4772">
            <w:pPr>
              <w:pStyle w:val="Header"/>
              <w:tabs>
                <w:tab w:val="clear" w:pos="4153"/>
                <w:tab w:val="clear" w:pos="8306"/>
              </w:tabs>
              <w:contextualSpacing/>
              <w:jc w:val="both"/>
              <w:rPr>
                <w:rFonts w:ascii="Calibri" w:hAnsi="Calibri"/>
                <w:bCs/>
                <w:color w:val="FF0000"/>
                <w:szCs w:val="22"/>
              </w:rPr>
            </w:pPr>
          </w:p>
          <w:p w14:paraId="39C04F3C" w14:textId="77777777" w:rsidR="00BB4772" w:rsidRPr="002B1554" w:rsidRDefault="00BB4772" w:rsidP="00BB4772">
            <w:pPr>
              <w:contextualSpacing/>
              <w:jc w:val="both"/>
              <w:rPr>
                <w:rFonts w:ascii="Calibri" w:hAnsi="Calibri"/>
                <w:bCs/>
              </w:rPr>
            </w:pPr>
            <w:r w:rsidRPr="002B1554">
              <w:rPr>
                <w:rFonts w:ascii="Calibri" w:hAnsi="Calibri"/>
                <w:bCs/>
              </w:rPr>
              <w:t>In this respect Key Statement EN5 states that:</w:t>
            </w:r>
          </w:p>
          <w:p w14:paraId="21AC71D6" w14:textId="77777777" w:rsidR="00BB4772" w:rsidRPr="002B1554" w:rsidRDefault="00BB4772" w:rsidP="00BB4772">
            <w:pPr>
              <w:contextualSpacing/>
              <w:rPr>
                <w:rFonts w:ascii="Calibri" w:hAnsi="Calibri"/>
                <w:bCs/>
              </w:rPr>
            </w:pPr>
          </w:p>
          <w:p w14:paraId="6F97EBB1"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239D40C" w14:textId="77777777" w:rsidR="00BB4772" w:rsidRPr="002B1554" w:rsidRDefault="00BB4772" w:rsidP="00BB4772">
            <w:pPr>
              <w:jc w:val="both"/>
              <w:rPr>
                <w:rFonts w:asciiTheme="minorHAnsi" w:hAnsiTheme="minorHAnsi" w:cstheme="minorHAnsi"/>
                <w:bCs/>
                <w:i/>
                <w:iCs/>
                <w:szCs w:val="22"/>
              </w:rPr>
            </w:pPr>
          </w:p>
          <w:p w14:paraId="6F8895D1"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This will be achieved through:</w:t>
            </w:r>
          </w:p>
          <w:p w14:paraId="65E85B60" w14:textId="77777777" w:rsidR="00BB4772" w:rsidRPr="002B1554" w:rsidRDefault="00BB4772" w:rsidP="00BB4772">
            <w:pPr>
              <w:jc w:val="both"/>
              <w:rPr>
                <w:rFonts w:asciiTheme="minorHAnsi" w:hAnsiTheme="minorHAnsi" w:cstheme="minorHAnsi"/>
                <w:bCs/>
                <w:i/>
                <w:iCs/>
                <w:szCs w:val="22"/>
              </w:rPr>
            </w:pPr>
          </w:p>
          <w:p w14:paraId="1E0653CF" w14:textId="77777777" w:rsidR="00BB4772" w:rsidRPr="002B155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73C9EF2F" w14:textId="77777777" w:rsidR="00BB4772" w:rsidRPr="002B155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24E9C6C0" w14:textId="77777777" w:rsidR="00BB4772" w:rsidRPr="002B155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377A8426" w14:textId="77777777" w:rsidR="00BB4772" w:rsidRPr="002B155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Requiring all development proposals to make a positive contribution to local distinctiveness/sense of place.</w:t>
            </w:r>
          </w:p>
          <w:p w14:paraId="722C7BD2" w14:textId="77777777" w:rsidR="00BB4772" w:rsidRPr="002B155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F971536" w14:textId="77777777" w:rsidR="00BB4772" w:rsidRPr="002B1554" w:rsidRDefault="00BB4772" w:rsidP="00BB4772">
            <w:pPr>
              <w:contextualSpacing/>
              <w:rPr>
                <w:rFonts w:ascii="Calibri" w:hAnsi="Calibri"/>
                <w:bCs/>
              </w:rPr>
            </w:pPr>
          </w:p>
          <w:p w14:paraId="52157E13" w14:textId="77777777" w:rsidR="00BB4772" w:rsidRPr="002B1554" w:rsidRDefault="00BB4772" w:rsidP="00BB4772">
            <w:pPr>
              <w:contextualSpacing/>
              <w:rPr>
                <w:rFonts w:ascii="Calibri" w:hAnsi="Calibri"/>
                <w:bCs/>
              </w:rPr>
            </w:pPr>
            <w:r w:rsidRPr="002B1554">
              <w:rPr>
                <w:rFonts w:ascii="Calibri" w:hAnsi="Calibri"/>
                <w:bCs/>
              </w:rPr>
              <w:t>With Policy DME4 stating, in respect of development within conservation areas or those affecting the listed buildings or their setting, that development will be assessed on the following basis:</w:t>
            </w:r>
          </w:p>
          <w:p w14:paraId="1D92875B" w14:textId="77777777" w:rsidR="00BB4772" w:rsidRPr="002B1554" w:rsidRDefault="00BB4772" w:rsidP="00BB4772">
            <w:pPr>
              <w:contextualSpacing/>
              <w:rPr>
                <w:rFonts w:ascii="Calibri" w:hAnsi="Calibri"/>
                <w:bCs/>
              </w:rPr>
            </w:pPr>
          </w:p>
          <w:p w14:paraId="195F697B"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1: CONSERVATION AREAS</w:t>
            </w:r>
          </w:p>
          <w:p w14:paraId="7C5E48BB" w14:textId="77777777" w:rsidR="00BB4772" w:rsidRPr="002B1554" w:rsidRDefault="00BB4772" w:rsidP="00BB4772">
            <w:pPr>
              <w:jc w:val="both"/>
              <w:rPr>
                <w:rFonts w:asciiTheme="minorHAnsi" w:hAnsiTheme="minorHAnsi" w:cstheme="minorHAnsi"/>
                <w:bCs/>
                <w:i/>
                <w:iCs/>
                <w:szCs w:val="22"/>
                <w:u w:val="single"/>
              </w:rPr>
            </w:pPr>
          </w:p>
          <w:p w14:paraId="48191EDA"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06C160D9" w14:textId="77777777" w:rsidR="00BB4772" w:rsidRPr="002B1554" w:rsidRDefault="00BB4772" w:rsidP="00BB4772">
            <w:pPr>
              <w:jc w:val="both"/>
              <w:rPr>
                <w:rFonts w:asciiTheme="minorHAnsi" w:hAnsiTheme="minorHAnsi" w:cstheme="minorHAnsi"/>
                <w:bCs/>
                <w:i/>
                <w:iCs/>
                <w:szCs w:val="22"/>
              </w:rPr>
            </w:pPr>
          </w:p>
          <w:p w14:paraId="43AD1B88"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6305FACF" w14:textId="77777777" w:rsidR="00BB4772" w:rsidRPr="002B1554" w:rsidRDefault="00BB4772" w:rsidP="00BB4772">
            <w:pPr>
              <w:jc w:val="both"/>
              <w:rPr>
                <w:rFonts w:asciiTheme="minorHAnsi" w:hAnsiTheme="minorHAnsi" w:cstheme="minorHAnsi"/>
                <w:bCs/>
                <w:i/>
                <w:iCs/>
                <w:szCs w:val="22"/>
              </w:rPr>
            </w:pPr>
          </w:p>
          <w:p w14:paraId="7773BF32"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2: LISTED BUILDINGS AND OTHER BUILDINGS OF SIGNIFICANT HERITAGE INTEREST</w:t>
            </w:r>
          </w:p>
          <w:p w14:paraId="2E7AE5DD" w14:textId="77777777" w:rsidR="00BB4772" w:rsidRPr="002B1554" w:rsidRDefault="00BB4772" w:rsidP="00BB4772">
            <w:pPr>
              <w:jc w:val="both"/>
              <w:rPr>
                <w:rFonts w:asciiTheme="minorHAnsi" w:hAnsiTheme="minorHAnsi" w:cstheme="minorHAnsi"/>
                <w:bCs/>
                <w:i/>
                <w:iCs/>
                <w:szCs w:val="22"/>
              </w:rPr>
            </w:pPr>
          </w:p>
          <w:p w14:paraId="3BD11D23"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lastRenderedPageBreak/>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605796FD" w14:textId="77777777" w:rsidR="00BB4772" w:rsidRPr="002B1554" w:rsidRDefault="00BB4772" w:rsidP="00BB4772">
            <w:pPr>
              <w:contextualSpacing/>
              <w:rPr>
                <w:rFonts w:ascii="Calibri" w:hAnsi="Calibri"/>
                <w:bCs/>
              </w:rPr>
            </w:pPr>
          </w:p>
          <w:p w14:paraId="1B48487F" w14:textId="77777777" w:rsidR="00BB4772" w:rsidRPr="002B1554" w:rsidRDefault="00BB4772" w:rsidP="00BB4772">
            <w:pPr>
              <w:contextualSpacing/>
              <w:jc w:val="both"/>
              <w:rPr>
                <w:rFonts w:ascii="Calibri" w:hAnsi="Calibri"/>
                <w:bCs/>
              </w:rPr>
            </w:pPr>
            <w:r w:rsidRPr="002B155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3F11E8C8" w14:textId="77777777" w:rsidR="00BB4772" w:rsidRPr="002B1554" w:rsidRDefault="00BB4772" w:rsidP="00BB4772">
            <w:pPr>
              <w:contextualSpacing/>
              <w:rPr>
                <w:rFonts w:ascii="Calibri" w:hAnsi="Calibri"/>
                <w:bCs/>
              </w:rPr>
            </w:pPr>
          </w:p>
          <w:p w14:paraId="2D1C26C9"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In determining planning applications, all development must:</w:t>
            </w:r>
          </w:p>
          <w:p w14:paraId="2C08B69A" w14:textId="77777777" w:rsidR="00BB4772" w:rsidRPr="002B1554" w:rsidRDefault="00BB4772" w:rsidP="00BB4772">
            <w:pPr>
              <w:jc w:val="both"/>
              <w:rPr>
                <w:rFonts w:asciiTheme="minorHAnsi" w:hAnsiTheme="minorHAnsi" w:cstheme="minorHAnsi"/>
                <w:bCs/>
                <w:i/>
                <w:iCs/>
                <w:szCs w:val="22"/>
              </w:rPr>
            </w:pPr>
          </w:p>
          <w:p w14:paraId="6551F3A8"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DESIGN</w:t>
            </w:r>
          </w:p>
          <w:p w14:paraId="13FD5956" w14:textId="77777777" w:rsidR="00BB4772" w:rsidRPr="002B1554" w:rsidRDefault="00BB4772" w:rsidP="00BB4772">
            <w:pPr>
              <w:jc w:val="both"/>
              <w:rPr>
                <w:rFonts w:asciiTheme="minorHAnsi" w:hAnsiTheme="minorHAnsi" w:cstheme="minorHAnsi"/>
                <w:bCs/>
                <w:i/>
                <w:iCs/>
                <w:szCs w:val="22"/>
              </w:rPr>
            </w:pPr>
          </w:p>
          <w:p w14:paraId="795901E5" w14:textId="77777777" w:rsidR="00BB4772" w:rsidRPr="002B155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66AA9D3C" w14:textId="77777777" w:rsidR="00BB4772" w:rsidRPr="002B155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3A5EE821" w14:textId="77777777" w:rsidR="00BB4772" w:rsidRPr="002B155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5FC11F4" w14:textId="77777777" w:rsidR="00BB4772" w:rsidRPr="002B1554" w:rsidRDefault="00BB4772" w:rsidP="00BB4772">
            <w:pPr>
              <w:pStyle w:val="ListParagraph"/>
              <w:overflowPunct/>
              <w:autoSpaceDE/>
              <w:autoSpaceDN/>
              <w:adjustRightInd/>
              <w:jc w:val="both"/>
              <w:textAlignment w:val="auto"/>
              <w:rPr>
                <w:rFonts w:asciiTheme="minorHAnsi" w:hAnsiTheme="minorHAnsi" w:cstheme="minorHAnsi"/>
                <w:bCs/>
                <w:i/>
                <w:iCs/>
                <w:szCs w:val="22"/>
              </w:rPr>
            </w:pPr>
          </w:p>
          <w:p w14:paraId="1249A0EC"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AMENITY</w:t>
            </w:r>
          </w:p>
          <w:p w14:paraId="2DAF4B10" w14:textId="77777777" w:rsidR="00BB4772" w:rsidRPr="002B1554" w:rsidRDefault="00BB4772" w:rsidP="00BB4772">
            <w:pPr>
              <w:jc w:val="both"/>
              <w:rPr>
                <w:rFonts w:asciiTheme="minorHAnsi" w:hAnsiTheme="minorHAnsi" w:cstheme="minorHAnsi"/>
                <w:bCs/>
                <w:i/>
                <w:iCs/>
                <w:szCs w:val="22"/>
              </w:rPr>
            </w:pPr>
          </w:p>
          <w:p w14:paraId="38DF69AC" w14:textId="77777777" w:rsidR="00BB4772" w:rsidRPr="002B155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Not adversely affect the amenities of the surrounding area.</w:t>
            </w:r>
          </w:p>
          <w:p w14:paraId="6DE5C28C" w14:textId="77777777" w:rsidR="00BB4772" w:rsidRPr="002B1554" w:rsidRDefault="00BB4772" w:rsidP="00BB4772">
            <w:pPr>
              <w:contextualSpacing/>
              <w:rPr>
                <w:rFonts w:ascii="Calibri" w:hAnsi="Calibri"/>
                <w:bCs/>
              </w:rPr>
            </w:pPr>
          </w:p>
          <w:p w14:paraId="2265779D" w14:textId="77777777" w:rsidR="00BB4772" w:rsidRPr="002B1554" w:rsidRDefault="00BB4772" w:rsidP="00BB4772">
            <w:pPr>
              <w:jc w:val="both"/>
              <w:rPr>
                <w:rFonts w:asciiTheme="minorHAnsi" w:hAnsiTheme="minorHAnsi" w:cstheme="minorHAnsi"/>
                <w:bCs/>
                <w:i/>
                <w:iCs/>
                <w:szCs w:val="22"/>
              </w:rPr>
            </w:pPr>
            <w:r w:rsidRPr="002B1554">
              <w:rPr>
                <w:rFonts w:asciiTheme="minorHAnsi" w:hAnsiTheme="minorHAnsi" w:cstheme="minorHAnsi"/>
                <w:bCs/>
                <w:i/>
                <w:iCs/>
                <w:szCs w:val="22"/>
              </w:rPr>
              <w:t>ENVIRONMENT</w:t>
            </w:r>
          </w:p>
          <w:p w14:paraId="29AA742A" w14:textId="77777777" w:rsidR="00BB4772" w:rsidRPr="002B1554" w:rsidRDefault="00BB4772" w:rsidP="00BB4772">
            <w:pPr>
              <w:jc w:val="both"/>
              <w:rPr>
                <w:rFonts w:asciiTheme="minorHAnsi" w:hAnsiTheme="minorHAnsi" w:cstheme="minorHAnsi"/>
                <w:bCs/>
                <w:i/>
                <w:iCs/>
                <w:szCs w:val="22"/>
              </w:rPr>
            </w:pPr>
          </w:p>
          <w:p w14:paraId="0B373698" w14:textId="77777777" w:rsidR="00BB4772" w:rsidRPr="002B155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All development must protect and enhance heritage assets and their settings.</w:t>
            </w:r>
          </w:p>
          <w:p w14:paraId="0C31A165" w14:textId="77777777" w:rsidR="00814CFF" w:rsidRPr="00D45384" w:rsidRDefault="00814CFF" w:rsidP="00BB4772">
            <w:pPr>
              <w:contextualSpacing/>
              <w:jc w:val="both"/>
              <w:rPr>
                <w:rFonts w:ascii="Calibri" w:hAnsi="Calibri"/>
                <w:b/>
                <w:color w:val="FF0000"/>
              </w:rPr>
            </w:pPr>
          </w:p>
          <w:p w14:paraId="05BA4D16" w14:textId="56A5CE88" w:rsidR="00E06A23" w:rsidRPr="00814CFF" w:rsidRDefault="00E06A23" w:rsidP="00BB4772">
            <w:pPr>
              <w:pStyle w:val="Header"/>
              <w:tabs>
                <w:tab w:val="clear" w:pos="4153"/>
                <w:tab w:val="clear" w:pos="8306"/>
              </w:tabs>
              <w:contextualSpacing/>
              <w:jc w:val="both"/>
              <w:rPr>
                <w:rFonts w:ascii="Calibri" w:hAnsi="Calibri"/>
                <w:bCs/>
                <w:szCs w:val="22"/>
              </w:rPr>
            </w:pPr>
            <w:r w:rsidRPr="00814CFF">
              <w:rPr>
                <w:rFonts w:ascii="Calibri" w:hAnsi="Calibri"/>
                <w:bCs/>
                <w:szCs w:val="22"/>
              </w:rPr>
              <w:t xml:space="preserve">The submitted details do not propose any </w:t>
            </w:r>
            <w:r w:rsidR="00814CFF">
              <w:rPr>
                <w:rFonts w:ascii="Calibri" w:hAnsi="Calibri"/>
                <w:bCs/>
                <w:szCs w:val="22"/>
              </w:rPr>
              <w:t xml:space="preserve">significant </w:t>
            </w:r>
            <w:r w:rsidRPr="00814CFF">
              <w:rPr>
                <w:rFonts w:ascii="Calibri" w:hAnsi="Calibri"/>
                <w:bCs/>
                <w:szCs w:val="22"/>
              </w:rPr>
              <w:t>external physical works to the fabric of the building save that for the following:</w:t>
            </w:r>
          </w:p>
          <w:p w14:paraId="4CB147B9" w14:textId="77777777" w:rsidR="00E06A23" w:rsidRPr="00814CFF" w:rsidRDefault="00E06A23" w:rsidP="00BB4772">
            <w:pPr>
              <w:pStyle w:val="Header"/>
              <w:tabs>
                <w:tab w:val="clear" w:pos="4153"/>
                <w:tab w:val="clear" w:pos="8306"/>
              </w:tabs>
              <w:contextualSpacing/>
              <w:jc w:val="both"/>
              <w:rPr>
                <w:rFonts w:ascii="Calibri" w:hAnsi="Calibri"/>
                <w:bCs/>
                <w:szCs w:val="22"/>
              </w:rPr>
            </w:pPr>
          </w:p>
          <w:p w14:paraId="2326895B" w14:textId="77777777" w:rsidR="00E06A23" w:rsidRPr="00814CFF" w:rsidRDefault="00E06A23" w:rsidP="00E06A23">
            <w:pPr>
              <w:pStyle w:val="Header"/>
              <w:numPr>
                <w:ilvl w:val="0"/>
                <w:numId w:val="13"/>
              </w:numPr>
              <w:tabs>
                <w:tab w:val="clear" w:pos="4153"/>
                <w:tab w:val="clear" w:pos="8306"/>
              </w:tabs>
              <w:contextualSpacing/>
              <w:jc w:val="both"/>
              <w:rPr>
                <w:rFonts w:ascii="Calibri" w:hAnsi="Calibri"/>
                <w:bCs/>
                <w:szCs w:val="22"/>
              </w:rPr>
            </w:pPr>
            <w:r w:rsidRPr="00814CFF">
              <w:rPr>
                <w:rFonts w:ascii="Calibri" w:hAnsi="Calibri"/>
                <w:bCs/>
                <w:szCs w:val="22"/>
              </w:rPr>
              <w:t>Replacement of existing windows to that of painted timber</w:t>
            </w:r>
          </w:p>
          <w:p w14:paraId="56C6972A" w14:textId="77777777" w:rsidR="00E06A23" w:rsidRPr="00814CFF" w:rsidRDefault="00E06A23" w:rsidP="00E06A23">
            <w:pPr>
              <w:pStyle w:val="Header"/>
              <w:numPr>
                <w:ilvl w:val="0"/>
                <w:numId w:val="13"/>
              </w:numPr>
              <w:tabs>
                <w:tab w:val="clear" w:pos="4153"/>
                <w:tab w:val="clear" w:pos="8306"/>
              </w:tabs>
              <w:contextualSpacing/>
              <w:jc w:val="both"/>
              <w:rPr>
                <w:rFonts w:ascii="Calibri" w:hAnsi="Calibri"/>
                <w:bCs/>
                <w:szCs w:val="22"/>
              </w:rPr>
            </w:pPr>
            <w:r w:rsidRPr="00814CFF">
              <w:rPr>
                <w:rFonts w:ascii="Calibri" w:hAnsi="Calibri"/>
                <w:bCs/>
                <w:szCs w:val="22"/>
              </w:rPr>
              <w:t>Raising of ‘cill’ on ground floor window (side elevation)</w:t>
            </w:r>
          </w:p>
          <w:p w14:paraId="15EB3B83" w14:textId="2EE0E3CD" w:rsidR="00BB4772" w:rsidRPr="00814CFF" w:rsidRDefault="00E06A23" w:rsidP="00E06A23">
            <w:pPr>
              <w:pStyle w:val="Header"/>
              <w:numPr>
                <w:ilvl w:val="0"/>
                <w:numId w:val="13"/>
              </w:numPr>
              <w:tabs>
                <w:tab w:val="clear" w:pos="4153"/>
                <w:tab w:val="clear" w:pos="8306"/>
              </w:tabs>
              <w:contextualSpacing/>
              <w:jc w:val="both"/>
              <w:rPr>
                <w:rFonts w:ascii="Calibri" w:hAnsi="Calibri"/>
                <w:bCs/>
                <w:szCs w:val="22"/>
              </w:rPr>
            </w:pPr>
            <w:r w:rsidRPr="00814CFF">
              <w:rPr>
                <w:rFonts w:ascii="Calibri" w:hAnsi="Calibri"/>
                <w:bCs/>
                <w:szCs w:val="22"/>
              </w:rPr>
              <w:t>Replacement of ‘entrance door’ (front elevation)</w:t>
            </w:r>
          </w:p>
          <w:p w14:paraId="41F6A9E7" w14:textId="04A77757" w:rsidR="00E06A23" w:rsidRPr="00814CFF" w:rsidRDefault="00E06A23" w:rsidP="00E06A23">
            <w:pPr>
              <w:pStyle w:val="Header"/>
              <w:numPr>
                <w:ilvl w:val="0"/>
                <w:numId w:val="13"/>
              </w:numPr>
              <w:tabs>
                <w:tab w:val="clear" w:pos="4153"/>
                <w:tab w:val="clear" w:pos="8306"/>
              </w:tabs>
              <w:contextualSpacing/>
              <w:jc w:val="both"/>
              <w:rPr>
                <w:rFonts w:ascii="Calibri" w:hAnsi="Calibri"/>
                <w:bCs/>
                <w:szCs w:val="22"/>
              </w:rPr>
            </w:pPr>
            <w:r w:rsidRPr="00814CFF">
              <w:rPr>
                <w:rFonts w:ascii="Calibri" w:hAnsi="Calibri"/>
                <w:bCs/>
                <w:szCs w:val="22"/>
              </w:rPr>
              <w:t xml:space="preserve">External fabric of the building to be painted with </w:t>
            </w:r>
            <w:r w:rsidR="005C736D" w:rsidRPr="00814CFF">
              <w:rPr>
                <w:rFonts w:ascii="Calibri" w:hAnsi="Calibri"/>
                <w:bCs/>
                <w:szCs w:val="22"/>
              </w:rPr>
              <w:t>white coloured ‘masonry paint’</w:t>
            </w:r>
          </w:p>
          <w:p w14:paraId="57F77900" w14:textId="77777777" w:rsidR="005C736D" w:rsidRPr="00814CFF" w:rsidRDefault="005C736D" w:rsidP="005C736D">
            <w:pPr>
              <w:pStyle w:val="Header"/>
              <w:tabs>
                <w:tab w:val="clear" w:pos="4153"/>
                <w:tab w:val="clear" w:pos="8306"/>
              </w:tabs>
              <w:contextualSpacing/>
              <w:jc w:val="both"/>
              <w:rPr>
                <w:rFonts w:ascii="Calibri" w:hAnsi="Calibri"/>
                <w:bCs/>
                <w:szCs w:val="22"/>
              </w:rPr>
            </w:pPr>
          </w:p>
          <w:p w14:paraId="56667276" w14:textId="7DBDA5A2" w:rsidR="005C736D" w:rsidRPr="00814CFF" w:rsidRDefault="005C736D" w:rsidP="005C736D">
            <w:pPr>
              <w:pStyle w:val="Header"/>
              <w:tabs>
                <w:tab w:val="clear" w:pos="4153"/>
                <w:tab w:val="clear" w:pos="8306"/>
              </w:tabs>
              <w:contextualSpacing/>
              <w:jc w:val="both"/>
              <w:rPr>
                <w:rFonts w:ascii="Calibri" w:hAnsi="Calibri"/>
                <w:bCs/>
                <w:szCs w:val="22"/>
              </w:rPr>
            </w:pPr>
            <w:r w:rsidRPr="00814CFF">
              <w:rPr>
                <w:rFonts w:ascii="Calibri" w:hAnsi="Calibri"/>
                <w:bCs/>
                <w:szCs w:val="22"/>
              </w:rPr>
              <w:t>Taking account of the limited spectrum of works to the external fabric of the building, and subject to appropriate details in relation to replacement windows/doors and external paint finishes, which will be required to be submitted via the imposition of planning conditions(s).  It is not considered that the proposed works will have any measurable detrimental impact(s) upon the character nor visual amenities of the designated Clitheroe Conservation Area or the immediate area.</w:t>
            </w:r>
          </w:p>
          <w:p w14:paraId="5825FF78" w14:textId="77777777" w:rsidR="005C736D" w:rsidRDefault="005C736D" w:rsidP="005C736D">
            <w:pPr>
              <w:pStyle w:val="Header"/>
              <w:tabs>
                <w:tab w:val="clear" w:pos="4153"/>
                <w:tab w:val="clear" w:pos="8306"/>
              </w:tabs>
              <w:contextualSpacing/>
              <w:jc w:val="both"/>
              <w:rPr>
                <w:rFonts w:ascii="Calibri" w:hAnsi="Calibri"/>
                <w:bCs/>
                <w:color w:val="FF0000"/>
                <w:szCs w:val="22"/>
              </w:rPr>
            </w:pPr>
          </w:p>
          <w:p w14:paraId="77B8FDBF" w14:textId="02E84DDD" w:rsidR="00814CFF" w:rsidRPr="00B572D2" w:rsidRDefault="00814CFF" w:rsidP="00814CFF">
            <w:pPr>
              <w:contextualSpacing/>
              <w:jc w:val="both"/>
              <w:rPr>
                <w:rFonts w:ascii="Calibri" w:hAnsi="Calibri"/>
                <w:bCs/>
                <w:szCs w:val="22"/>
              </w:rPr>
            </w:pPr>
            <w:r w:rsidRPr="00B572D2">
              <w:rPr>
                <w:rFonts w:ascii="Calibri" w:hAnsi="Calibri"/>
                <w:bCs/>
                <w:szCs w:val="22"/>
              </w:rPr>
              <w:t>As such, taking account of the above matters, it is not considered that the proposed development raises any significant direct conflict(s) with Key Statement EN5 or Policies DMG1 or DME4 of the Ribble valley Core Strategy, nor any significant measurable conflicts with the aims and objectives of the Planning (Listed Building and Conservation Areas) Act 1990 nor Paragraphs 205 - 21</w:t>
            </w:r>
            <w:r w:rsidR="00AF24C2">
              <w:rPr>
                <w:rFonts w:ascii="Calibri" w:hAnsi="Calibri"/>
                <w:bCs/>
                <w:szCs w:val="22"/>
              </w:rPr>
              <w:t>4</w:t>
            </w:r>
            <w:r w:rsidRPr="00B572D2">
              <w:rPr>
                <w:rFonts w:ascii="Calibri" w:hAnsi="Calibri"/>
                <w:bCs/>
                <w:szCs w:val="22"/>
              </w:rPr>
              <w:t xml:space="preserve"> of the National Planning Policy Framework. Particularly In respect of measurable adverse impacts upon the character or visual amenities of the designated </w:t>
            </w:r>
            <w:r>
              <w:rPr>
                <w:rFonts w:ascii="Calibri" w:hAnsi="Calibri"/>
                <w:bCs/>
                <w:szCs w:val="22"/>
              </w:rPr>
              <w:t xml:space="preserve">Clitheroe </w:t>
            </w:r>
            <w:r w:rsidRPr="00B572D2">
              <w:rPr>
                <w:rFonts w:ascii="Calibri" w:hAnsi="Calibri"/>
                <w:bCs/>
                <w:szCs w:val="22"/>
              </w:rPr>
              <w:t>Conservation Area.</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5819FFE" w14:textId="77777777" w:rsidR="00AD49BF" w:rsidRPr="003E4F9F" w:rsidRDefault="00D23499" w:rsidP="00D23499">
            <w:pPr>
              <w:contextualSpacing/>
              <w:jc w:val="both"/>
              <w:rPr>
                <w:rFonts w:ascii="Calibri" w:hAnsi="Calibri"/>
                <w:bCs/>
                <w:szCs w:val="22"/>
              </w:rPr>
            </w:pPr>
            <w:r w:rsidRPr="003E4F9F">
              <w:rPr>
                <w:rFonts w:ascii="Calibri" w:hAnsi="Calibri"/>
                <w:bCs/>
                <w:szCs w:val="22"/>
              </w:rPr>
              <w:lastRenderedPageBreak/>
              <w:t xml:space="preserve">Given the proposed development would result in the creation of two residential planning Policy DMG1 is engaged for the purposes of ensuring of adequate standards of residential amenity for future occupiers of residential development which also seeks to protect against development(s) that would result in measurable detrimental impact(s) upon nearby existing residential amenities.  </w:t>
            </w:r>
          </w:p>
          <w:p w14:paraId="0243F9E6" w14:textId="77777777" w:rsidR="00AD49BF" w:rsidRDefault="00AD49BF" w:rsidP="00D23499">
            <w:pPr>
              <w:contextualSpacing/>
              <w:jc w:val="both"/>
              <w:rPr>
                <w:rFonts w:ascii="Calibri" w:hAnsi="Calibri"/>
                <w:bCs/>
                <w:color w:val="FF0000"/>
                <w:szCs w:val="22"/>
              </w:rPr>
            </w:pPr>
          </w:p>
          <w:p w14:paraId="70F9AE97" w14:textId="6C631A19" w:rsidR="009D69F1" w:rsidRPr="009D69F1" w:rsidRDefault="009D69F1" w:rsidP="00D23499">
            <w:pPr>
              <w:contextualSpacing/>
              <w:jc w:val="both"/>
              <w:rPr>
                <w:rFonts w:ascii="Calibri" w:hAnsi="Calibri"/>
                <w:bCs/>
                <w:szCs w:val="22"/>
              </w:rPr>
            </w:pPr>
            <w:r w:rsidRPr="009D69F1">
              <w:rPr>
                <w:rFonts w:ascii="Calibri" w:hAnsi="Calibri"/>
                <w:bCs/>
                <w:szCs w:val="22"/>
              </w:rPr>
              <w:t>The proposal involves the change of use of the property to that of 2 residential planning units with the submitted details not proposing any external alterations nor the addition of any windows.  In this respect,</w:t>
            </w:r>
            <w:r>
              <w:rPr>
                <w:rFonts w:ascii="Calibri" w:hAnsi="Calibri"/>
                <w:bCs/>
                <w:szCs w:val="22"/>
              </w:rPr>
              <w:t xml:space="preserve"> </w:t>
            </w:r>
            <w:r w:rsidRPr="009D69F1">
              <w:rPr>
                <w:rFonts w:ascii="Calibri" w:hAnsi="Calibri"/>
                <w:bCs/>
                <w:szCs w:val="22"/>
              </w:rPr>
              <w:t>taking account of the outlook afforded from the proposed habitable rooms, and the lack of any direct inter-visibility within any nearby residential receptors within close proximity, it is not considered that the creation of two residential planning units will result in any adverse impacts upon existing nearby residential amenity.</w:t>
            </w:r>
          </w:p>
          <w:p w14:paraId="5D8F2FBB" w14:textId="77777777" w:rsidR="00BB4772" w:rsidRDefault="00BB4772" w:rsidP="00BB4772">
            <w:pPr>
              <w:contextualSpacing/>
              <w:jc w:val="both"/>
              <w:rPr>
                <w:rFonts w:ascii="Calibri" w:hAnsi="Calibri"/>
                <w:bCs/>
                <w:szCs w:val="22"/>
              </w:rPr>
            </w:pPr>
          </w:p>
          <w:p w14:paraId="5BF7AAF1" w14:textId="4E098063" w:rsidR="00BB4772" w:rsidRDefault="00BB4772" w:rsidP="00BB4772">
            <w:pPr>
              <w:contextualSpacing/>
              <w:jc w:val="both"/>
              <w:rPr>
                <w:rFonts w:ascii="Calibri" w:hAnsi="Calibri"/>
                <w:bCs/>
                <w:szCs w:val="22"/>
              </w:rPr>
            </w:pPr>
            <w:r w:rsidRPr="00237438">
              <w:rPr>
                <w:rFonts w:ascii="Calibri" w:hAnsi="Calibri"/>
                <w:bCs/>
                <w:szCs w:val="22"/>
              </w:rPr>
              <w:t xml:space="preserve">As such, and taking account of the above matters, </w:t>
            </w:r>
            <w:r>
              <w:rPr>
                <w:rFonts w:ascii="Calibri" w:hAnsi="Calibri"/>
                <w:bCs/>
                <w:szCs w:val="22"/>
              </w:rPr>
              <w:t xml:space="preserve">the </w:t>
            </w:r>
            <w:r w:rsidRPr="00237438">
              <w:rPr>
                <w:rFonts w:ascii="Calibri" w:hAnsi="Calibri"/>
                <w:bCs/>
                <w:szCs w:val="22"/>
              </w:rPr>
              <w:t xml:space="preserve">proposal does not raise any significant direct conflicts with Policy DMG1 which seeks to ensure of adequate standards of residential amenity and protect against </w:t>
            </w:r>
            <w:r>
              <w:rPr>
                <w:rFonts w:ascii="Calibri" w:hAnsi="Calibri"/>
                <w:bCs/>
                <w:szCs w:val="22"/>
              </w:rPr>
              <w:t>development(s)</w:t>
            </w:r>
            <w:r w:rsidRPr="00237438">
              <w:rPr>
                <w:rFonts w:ascii="Calibri" w:hAnsi="Calibri"/>
                <w:bCs/>
                <w:szCs w:val="22"/>
              </w:rPr>
              <w:t xml:space="preserve"> that would result in measurable detrimental impact(s) upon nearby existing residential amenities.</w:t>
            </w:r>
          </w:p>
          <w:p w14:paraId="0DB485A3" w14:textId="2B4F152C" w:rsidR="00BB4772" w:rsidRPr="00C0704D" w:rsidRDefault="00BB4772" w:rsidP="00BB1EB6">
            <w:pPr>
              <w:contextualSpacing/>
              <w:jc w:val="both"/>
              <w:rPr>
                <w:rFonts w:ascii="Calibri" w:hAnsi="Calibri"/>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264E0CD" w14:textId="77777777" w:rsidR="00CA7986" w:rsidRDefault="00CA7986" w:rsidP="00EA09F9">
            <w:pPr>
              <w:pStyle w:val="Header"/>
              <w:tabs>
                <w:tab w:val="clear" w:pos="4153"/>
                <w:tab w:val="clear" w:pos="8306"/>
              </w:tabs>
              <w:contextualSpacing/>
              <w:jc w:val="both"/>
              <w:rPr>
                <w:rFonts w:ascii="Calibri" w:hAnsi="Calibri"/>
                <w:bCs/>
                <w:szCs w:val="22"/>
              </w:rPr>
            </w:pPr>
            <w:r w:rsidRPr="00CA7986">
              <w:rPr>
                <w:rFonts w:ascii="Calibri" w:hAnsi="Calibri"/>
                <w:bCs/>
                <w:szCs w:val="22"/>
              </w:rPr>
              <w:t>The proposed development will result in the creation of two new residential planning units, as such consideration must be given in respect of potential vehicular parking needs generated by the habitation of the units.</w:t>
            </w:r>
            <w:r>
              <w:rPr>
                <w:rFonts w:ascii="Calibri" w:hAnsi="Calibri"/>
                <w:bCs/>
                <w:szCs w:val="22"/>
              </w:rPr>
              <w:t xml:space="preserve">  In this respect the application building is located within the defined settlement limits of Clitheroe, within close proximity to and</w:t>
            </w:r>
            <w:r w:rsidRPr="00CA7986">
              <w:rPr>
                <w:rFonts w:ascii="Calibri" w:hAnsi="Calibri"/>
                <w:bCs/>
                <w:szCs w:val="22"/>
              </w:rPr>
              <w:t xml:space="preserve"> outside of the defined ‘Main Centre Boundary’</w:t>
            </w:r>
            <w:r>
              <w:rPr>
                <w:rFonts w:ascii="Calibri" w:hAnsi="Calibri"/>
                <w:bCs/>
                <w:szCs w:val="22"/>
              </w:rPr>
              <w:t xml:space="preserve"> of the settlement</w:t>
            </w:r>
            <w:r w:rsidRPr="00CA7986">
              <w:rPr>
                <w:rFonts w:ascii="Calibri" w:hAnsi="Calibri"/>
                <w:bCs/>
                <w:szCs w:val="22"/>
              </w:rPr>
              <w:t>.</w:t>
            </w:r>
            <w:r>
              <w:rPr>
                <w:rFonts w:ascii="Calibri" w:hAnsi="Calibri"/>
                <w:bCs/>
                <w:szCs w:val="22"/>
              </w:rPr>
              <w:t xml:space="preserve">  As such the location of the property is afforded walkable access to a wide range of services and facilities, with readily available walkable access to a number of sustainable public transport option.  </w:t>
            </w:r>
          </w:p>
          <w:p w14:paraId="078F4DE4" w14:textId="77777777" w:rsidR="00CA7986" w:rsidRDefault="00CA7986" w:rsidP="00EA09F9">
            <w:pPr>
              <w:pStyle w:val="Header"/>
              <w:tabs>
                <w:tab w:val="clear" w:pos="4153"/>
                <w:tab w:val="clear" w:pos="8306"/>
              </w:tabs>
              <w:contextualSpacing/>
              <w:jc w:val="both"/>
              <w:rPr>
                <w:rFonts w:ascii="Calibri" w:hAnsi="Calibri"/>
                <w:bCs/>
                <w:szCs w:val="22"/>
              </w:rPr>
            </w:pPr>
          </w:p>
          <w:p w14:paraId="05E1CDFE" w14:textId="16607508" w:rsidR="00BB4772" w:rsidRPr="003E4F9F" w:rsidRDefault="00CA798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respect, given the sustainable location of the proposal building, it is not considered that the proposal need bring forward dedicated vehicular parking provision to serve the occupiers of the </w:t>
            </w:r>
            <w:r w:rsidR="003E4F9F">
              <w:rPr>
                <w:rFonts w:ascii="Calibri" w:hAnsi="Calibri"/>
                <w:bCs/>
                <w:szCs w:val="22"/>
              </w:rPr>
              <w:t>residential</w:t>
            </w:r>
            <w:r>
              <w:rPr>
                <w:rFonts w:ascii="Calibri" w:hAnsi="Calibri"/>
                <w:bCs/>
                <w:szCs w:val="22"/>
              </w:rPr>
              <w:t xml:space="preserve"> planning units.  It is further </w:t>
            </w:r>
            <w:r w:rsidRPr="003E4F9F">
              <w:rPr>
                <w:rFonts w:ascii="Calibri" w:hAnsi="Calibri"/>
                <w:bCs/>
                <w:szCs w:val="22"/>
              </w:rPr>
              <w:t xml:space="preserve">noted that </w:t>
            </w:r>
            <w:r w:rsidR="003E4F9F" w:rsidRPr="003E4F9F">
              <w:rPr>
                <w:rFonts w:ascii="Calibri" w:hAnsi="Calibri"/>
                <w:bCs/>
                <w:szCs w:val="22"/>
              </w:rPr>
              <w:t>t</w:t>
            </w:r>
            <w:r w:rsidR="00D76E8A" w:rsidRPr="003E4F9F">
              <w:rPr>
                <w:rFonts w:ascii="Calibri" w:hAnsi="Calibri"/>
                <w:bCs/>
                <w:szCs w:val="22"/>
              </w:rPr>
              <w:t xml:space="preserve">he Local Highways Authority </w:t>
            </w:r>
            <w:r w:rsidRPr="003E4F9F">
              <w:rPr>
                <w:rFonts w:ascii="Calibri" w:hAnsi="Calibri"/>
                <w:bCs/>
                <w:szCs w:val="22"/>
              </w:rPr>
              <w:t xml:space="preserve">have raised no objection to the proposal requesting that should consent be granted, a condition be imposed in respect of the need for the submission of a construction method statement prior to the commencement of any works. </w:t>
            </w:r>
          </w:p>
          <w:p w14:paraId="49BC941B" w14:textId="77777777" w:rsidR="00BB4772" w:rsidRDefault="00BB4772" w:rsidP="00EA09F9">
            <w:pPr>
              <w:pStyle w:val="Header"/>
              <w:tabs>
                <w:tab w:val="clear" w:pos="4153"/>
                <w:tab w:val="clear" w:pos="8306"/>
              </w:tabs>
              <w:contextualSpacing/>
              <w:jc w:val="both"/>
              <w:rPr>
                <w:rFonts w:ascii="Calibri" w:hAnsi="Calibri"/>
                <w:b/>
                <w:szCs w:val="22"/>
              </w:rPr>
            </w:pPr>
          </w:p>
          <w:p w14:paraId="55293AE9" w14:textId="1058E0B8" w:rsidR="00824DB6" w:rsidRPr="00BB4772" w:rsidRDefault="00BB4772" w:rsidP="00EA09F9">
            <w:pPr>
              <w:pStyle w:val="Header"/>
              <w:tabs>
                <w:tab w:val="clear" w:pos="4153"/>
                <w:tab w:val="clear" w:pos="8306"/>
              </w:tabs>
              <w:contextualSpacing/>
              <w:jc w:val="both"/>
              <w:rPr>
                <w:rFonts w:ascii="Calibri" w:hAnsi="Calibri"/>
                <w:bCs/>
                <w:szCs w:val="22"/>
              </w:rPr>
            </w:pPr>
            <w:r w:rsidRPr="00BB4772">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parking provision and sustainable methods of travel are brought forward to accommodate and serve existing and proposed development.</w:t>
            </w:r>
          </w:p>
          <w:p w14:paraId="337694ED" w14:textId="70B66541" w:rsidR="00BB4772" w:rsidRDefault="00BB477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7BAB133" w14:textId="4455DF9C" w:rsidR="0051621E" w:rsidRPr="0051621E" w:rsidRDefault="0051621E" w:rsidP="00EA09F9">
            <w:pPr>
              <w:pStyle w:val="Header"/>
              <w:tabs>
                <w:tab w:val="clear" w:pos="4153"/>
                <w:tab w:val="clear" w:pos="8306"/>
              </w:tabs>
              <w:contextualSpacing/>
              <w:jc w:val="both"/>
              <w:rPr>
                <w:rFonts w:ascii="Calibri" w:hAnsi="Calibri"/>
                <w:bCs/>
                <w:szCs w:val="22"/>
              </w:rPr>
            </w:pPr>
            <w:r w:rsidRPr="0051621E">
              <w:rPr>
                <w:rFonts w:ascii="Calibri" w:hAnsi="Calibri"/>
                <w:bCs/>
                <w:szCs w:val="22"/>
              </w:rPr>
              <w:t>The proposal involves the configuration of the internal layout of the property to accommodate two residential apartments, with no alterations proposed to the external fabric of the building nor any works to the internal roof void.  As such the proposal does not necessitate the need for the submission of a protected species survey (bats) nor is it considered that the proposed development will result in any adverse impacts upon ecology, habitat, protected species or species of conservation concern.</w:t>
            </w:r>
          </w:p>
          <w:p w14:paraId="46D2A9A1" w14:textId="77777777" w:rsidR="0051621E" w:rsidRDefault="0051621E" w:rsidP="00EA09F9">
            <w:pPr>
              <w:pStyle w:val="Header"/>
              <w:tabs>
                <w:tab w:val="clear" w:pos="4153"/>
                <w:tab w:val="clear" w:pos="8306"/>
              </w:tabs>
              <w:contextualSpacing/>
              <w:jc w:val="both"/>
              <w:rPr>
                <w:rFonts w:ascii="Calibri" w:hAnsi="Calibri"/>
                <w:b/>
                <w:szCs w:val="22"/>
              </w:rPr>
            </w:pPr>
          </w:p>
          <w:p w14:paraId="4342BB4D" w14:textId="08D09020" w:rsidR="0051621E" w:rsidRPr="00D5593A" w:rsidRDefault="00D5593A" w:rsidP="00EA09F9">
            <w:pPr>
              <w:pStyle w:val="Header"/>
              <w:tabs>
                <w:tab w:val="clear" w:pos="4153"/>
                <w:tab w:val="clear" w:pos="8306"/>
              </w:tabs>
              <w:contextualSpacing/>
              <w:jc w:val="both"/>
              <w:rPr>
                <w:rFonts w:ascii="Calibri" w:hAnsi="Calibri"/>
                <w:bCs/>
                <w:szCs w:val="22"/>
              </w:rPr>
            </w:pPr>
            <w:r w:rsidRPr="00D5593A">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8"/>
  </w:num>
  <w:num w:numId="2" w16cid:durableId="1573781848">
    <w:abstractNumId w:val="4"/>
  </w:num>
  <w:num w:numId="3" w16cid:durableId="1015419233">
    <w:abstractNumId w:val="17"/>
  </w:num>
  <w:num w:numId="4" w16cid:durableId="1999267513">
    <w:abstractNumId w:val="9"/>
  </w:num>
  <w:num w:numId="5" w16cid:durableId="1666664353">
    <w:abstractNumId w:val="5"/>
  </w:num>
  <w:num w:numId="6" w16cid:durableId="1127435632">
    <w:abstractNumId w:val="16"/>
  </w:num>
  <w:num w:numId="7" w16cid:durableId="653022212">
    <w:abstractNumId w:val="12"/>
  </w:num>
  <w:num w:numId="8" w16cid:durableId="1876768117">
    <w:abstractNumId w:val="10"/>
  </w:num>
  <w:num w:numId="9" w16cid:durableId="1745637641">
    <w:abstractNumId w:val="11"/>
  </w:num>
  <w:num w:numId="10" w16cid:durableId="1908762735">
    <w:abstractNumId w:val="7"/>
  </w:num>
  <w:num w:numId="11" w16cid:durableId="1067647930">
    <w:abstractNumId w:val="3"/>
  </w:num>
  <w:num w:numId="12" w16cid:durableId="1836601465">
    <w:abstractNumId w:val="15"/>
  </w:num>
  <w:num w:numId="13" w16cid:durableId="1666202717">
    <w:abstractNumId w:val="0"/>
  </w:num>
  <w:num w:numId="14" w16cid:durableId="139201204">
    <w:abstractNumId w:val="6"/>
  </w:num>
  <w:num w:numId="15" w16cid:durableId="1241020497">
    <w:abstractNumId w:val="1"/>
  </w:num>
  <w:num w:numId="16" w16cid:durableId="1633512680">
    <w:abstractNumId w:val="8"/>
  </w:num>
  <w:num w:numId="17" w16cid:durableId="1947812948">
    <w:abstractNumId w:val="2"/>
  </w:num>
  <w:num w:numId="18" w16cid:durableId="1631932183">
    <w:abstractNumId w:val="14"/>
  </w:num>
  <w:num w:numId="19" w16cid:durableId="1706370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3584C"/>
    <w:rsid w:val="000748C5"/>
    <w:rsid w:val="000B5CB5"/>
    <w:rsid w:val="00130035"/>
    <w:rsid w:val="0019713D"/>
    <w:rsid w:val="001D4F7A"/>
    <w:rsid w:val="001E2D62"/>
    <w:rsid w:val="00230C50"/>
    <w:rsid w:val="00246992"/>
    <w:rsid w:val="00250879"/>
    <w:rsid w:val="002743DC"/>
    <w:rsid w:val="00280CAB"/>
    <w:rsid w:val="00282E3A"/>
    <w:rsid w:val="00287B4C"/>
    <w:rsid w:val="0029334A"/>
    <w:rsid w:val="002954E5"/>
    <w:rsid w:val="002A01CF"/>
    <w:rsid w:val="002C6277"/>
    <w:rsid w:val="002F2580"/>
    <w:rsid w:val="00321B6E"/>
    <w:rsid w:val="00324056"/>
    <w:rsid w:val="003E4F9F"/>
    <w:rsid w:val="00423DFB"/>
    <w:rsid w:val="00440CB6"/>
    <w:rsid w:val="0046548C"/>
    <w:rsid w:val="004947BB"/>
    <w:rsid w:val="00497407"/>
    <w:rsid w:val="004A5EA9"/>
    <w:rsid w:val="004C2434"/>
    <w:rsid w:val="004F0649"/>
    <w:rsid w:val="00510FA2"/>
    <w:rsid w:val="0051621E"/>
    <w:rsid w:val="00556ECD"/>
    <w:rsid w:val="0058040A"/>
    <w:rsid w:val="00580869"/>
    <w:rsid w:val="0059127F"/>
    <w:rsid w:val="005B31B6"/>
    <w:rsid w:val="005C2CD0"/>
    <w:rsid w:val="005C736D"/>
    <w:rsid w:val="005E1C6C"/>
    <w:rsid w:val="005E4ECC"/>
    <w:rsid w:val="005E65DF"/>
    <w:rsid w:val="00612AB3"/>
    <w:rsid w:val="00623A50"/>
    <w:rsid w:val="006429CF"/>
    <w:rsid w:val="00692B60"/>
    <w:rsid w:val="0069545C"/>
    <w:rsid w:val="006A71AD"/>
    <w:rsid w:val="006C2BFA"/>
    <w:rsid w:val="006E0BC9"/>
    <w:rsid w:val="006F6849"/>
    <w:rsid w:val="0070054B"/>
    <w:rsid w:val="00733BB5"/>
    <w:rsid w:val="00761D2C"/>
    <w:rsid w:val="00773A66"/>
    <w:rsid w:val="00776AE2"/>
    <w:rsid w:val="00794673"/>
    <w:rsid w:val="007C791C"/>
    <w:rsid w:val="007D7DF4"/>
    <w:rsid w:val="007E0D23"/>
    <w:rsid w:val="007F16D6"/>
    <w:rsid w:val="007F51A6"/>
    <w:rsid w:val="00811771"/>
    <w:rsid w:val="00814CFF"/>
    <w:rsid w:val="00824DB6"/>
    <w:rsid w:val="00837F4F"/>
    <w:rsid w:val="008542DE"/>
    <w:rsid w:val="008A28C8"/>
    <w:rsid w:val="008F30D9"/>
    <w:rsid w:val="009D3C91"/>
    <w:rsid w:val="009D69F1"/>
    <w:rsid w:val="009F380B"/>
    <w:rsid w:val="009F4443"/>
    <w:rsid w:val="00A42E82"/>
    <w:rsid w:val="00A579BB"/>
    <w:rsid w:val="00A63D55"/>
    <w:rsid w:val="00A92C2E"/>
    <w:rsid w:val="00A95D89"/>
    <w:rsid w:val="00AD401C"/>
    <w:rsid w:val="00AD49BF"/>
    <w:rsid w:val="00AF24C2"/>
    <w:rsid w:val="00B93EB5"/>
    <w:rsid w:val="00BB1EB6"/>
    <w:rsid w:val="00BB4772"/>
    <w:rsid w:val="00BD3F03"/>
    <w:rsid w:val="00C0704D"/>
    <w:rsid w:val="00C25722"/>
    <w:rsid w:val="00C618DB"/>
    <w:rsid w:val="00C76525"/>
    <w:rsid w:val="00C80B9D"/>
    <w:rsid w:val="00CA7986"/>
    <w:rsid w:val="00D11007"/>
    <w:rsid w:val="00D17EB1"/>
    <w:rsid w:val="00D23499"/>
    <w:rsid w:val="00D2449B"/>
    <w:rsid w:val="00D536F5"/>
    <w:rsid w:val="00D54E67"/>
    <w:rsid w:val="00D5593A"/>
    <w:rsid w:val="00D655BD"/>
    <w:rsid w:val="00D75039"/>
    <w:rsid w:val="00D76E8A"/>
    <w:rsid w:val="00D84147"/>
    <w:rsid w:val="00DD3EA9"/>
    <w:rsid w:val="00DD62F6"/>
    <w:rsid w:val="00E025FC"/>
    <w:rsid w:val="00E06A23"/>
    <w:rsid w:val="00E46243"/>
    <w:rsid w:val="00E66534"/>
    <w:rsid w:val="00E72F6C"/>
    <w:rsid w:val="00EA09F9"/>
    <w:rsid w:val="00EC23C7"/>
    <w:rsid w:val="00ED00B7"/>
    <w:rsid w:val="00EE5131"/>
    <w:rsid w:val="00EF44E6"/>
    <w:rsid w:val="00F056A7"/>
    <w:rsid w:val="00F15EBF"/>
    <w:rsid w:val="00F347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0B"/>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2024-03-08T14:24:00Z</cp:lastPrinted>
  <dcterms:created xsi:type="dcterms:W3CDTF">2024-03-08T14:30:00Z</dcterms:created>
  <dcterms:modified xsi:type="dcterms:W3CDTF">2024-03-08T14:30:00Z</dcterms:modified>
</cp:coreProperties>
</file>