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1030"/>
        <w:gridCol w:w="1030"/>
        <w:gridCol w:w="1075"/>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D5DB96C" w:rsidR="00837F4F" w:rsidRPr="00D2449B" w:rsidRDefault="00D6792F"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F73353C" w:rsidR="00837F4F" w:rsidRPr="00D2449B" w:rsidRDefault="00722BF8" w:rsidP="00D2449B">
            <w:pPr>
              <w:jc w:val="center"/>
              <w:rPr>
                <w:rFonts w:ascii="Calibri" w:hAnsi="Calibri"/>
                <w:b/>
                <w:szCs w:val="22"/>
              </w:rPr>
            </w:pPr>
            <w:r>
              <w:rPr>
                <w:rFonts w:ascii="Calibri" w:hAnsi="Calibri"/>
                <w:b/>
                <w:szCs w:val="22"/>
              </w:rPr>
              <w:t>26/03/24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A7A03FB" w:rsidR="00837F4F" w:rsidRPr="00D2449B" w:rsidRDefault="00D9292A" w:rsidP="00D2449B">
            <w:pPr>
              <w:jc w:val="center"/>
              <w:rPr>
                <w:rFonts w:ascii="Calibri" w:hAnsi="Calibri"/>
                <w:b/>
                <w:szCs w:val="22"/>
              </w:rPr>
            </w:pPr>
            <w:r>
              <w:rPr>
                <w:rFonts w:ascii="Calibri" w:hAnsi="Calibri"/>
                <w:b/>
                <w:szCs w:val="22"/>
              </w:rPr>
              <w:t>KH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0756E83" w:rsidR="00837F4F" w:rsidRPr="00D2449B" w:rsidRDefault="00D9292A" w:rsidP="00D2449B">
            <w:pPr>
              <w:jc w:val="center"/>
              <w:rPr>
                <w:rFonts w:ascii="Calibri" w:hAnsi="Calibri"/>
                <w:b/>
                <w:szCs w:val="22"/>
              </w:rPr>
            </w:pPr>
            <w:r>
              <w:rPr>
                <w:rFonts w:ascii="Calibri" w:hAnsi="Calibri"/>
                <w:b/>
                <w:szCs w:val="22"/>
              </w:rPr>
              <w:t>26/03/24</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9703FE4" w:rsidR="004A5EA9" w:rsidRPr="00250879" w:rsidRDefault="00D6792F" w:rsidP="008542DE">
            <w:pPr>
              <w:rPr>
                <w:rFonts w:ascii="Calibri" w:hAnsi="Calibri"/>
                <w:color w:val="548DD4" w:themeColor="text2" w:themeTint="99"/>
                <w:szCs w:val="22"/>
              </w:rPr>
            </w:pPr>
            <w:r w:rsidRPr="00D6792F">
              <w:rPr>
                <w:rFonts w:ascii="Calibri" w:hAnsi="Calibri"/>
                <w:szCs w:val="22"/>
              </w:rPr>
              <w:t>3/2024/0080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E5FADA2" w:rsidR="00824DB6" w:rsidRPr="00C0704D" w:rsidRDefault="00D6792F" w:rsidP="002C6277">
            <w:pPr>
              <w:rPr>
                <w:rFonts w:ascii="Calibri" w:hAnsi="Calibri"/>
                <w:szCs w:val="22"/>
              </w:rPr>
            </w:pPr>
            <w:r>
              <w:rPr>
                <w:rFonts w:ascii="Calibri" w:hAnsi="Calibri"/>
                <w:szCs w:val="22"/>
              </w:rPr>
              <w:t>22/02/24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4C63A12" w:rsidR="00824DB6" w:rsidRPr="00C0704D" w:rsidRDefault="00D6792F" w:rsidP="002C6277">
            <w:pPr>
              <w:rPr>
                <w:rFonts w:ascii="Calibri" w:hAnsi="Calibri"/>
                <w:szCs w:val="22"/>
              </w:rPr>
            </w:pPr>
            <w:r>
              <w:rPr>
                <w:rFonts w:ascii="Calibri" w:hAnsi="Calibri"/>
                <w:szCs w:val="22"/>
              </w:rPr>
              <w:t>22/02/24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778F922" w:rsidR="004A5EA9" w:rsidRPr="00250879" w:rsidRDefault="00D6792F" w:rsidP="00811771">
            <w:pPr>
              <w:rPr>
                <w:rFonts w:ascii="Calibri" w:hAnsi="Calibri"/>
                <w:color w:val="548DD4" w:themeColor="text2" w:themeTint="99"/>
                <w:szCs w:val="22"/>
              </w:rPr>
            </w:pPr>
            <w:r w:rsidRPr="00D6792F">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C5AE634" w:rsidR="004A5EA9" w:rsidRPr="002C6277" w:rsidRDefault="00D6792F">
            <w:pPr>
              <w:rPr>
                <w:rFonts w:ascii="Calibri" w:hAnsi="Calibri"/>
                <w:szCs w:val="22"/>
              </w:rPr>
            </w:pPr>
            <w:r>
              <w:rPr>
                <w:rFonts w:ascii="Calibri" w:hAnsi="Calibri"/>
                <w:szCs w:val="22"/>
              </w:rPr>
              <w:t xml:space="preserve">Listed Building Consent for replacement of all windows (mix of timber and uPVC top-opening) with timber sliding-sash windows, plus one small, flush, timber casement window to rear. </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31CBECB" w:rsidR="002A01CF" w:rsidRPr="002C6277" w:rsidRDefault="00D6792F" w:rsidP="00A42E82">
            <w:pPr>
              <w:rPr>
                <w:rFonts w:ascii="Calibri" w:hAnsi="Calibri"/>
                <w:szCs w:val="22"/>
              </w:rPr>
            </w:pPr>
            <w:r>
              <w:rPr>
                <w:rFonts w:ascii="Calibri" w:hAnsi="Calibri"/>
                <w:szCs w:val="22"/>
              </w:rPr>
              <w:t>12 Higher Road, Longridge, Preston PR3 3SX</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8DBC515" w:rsidR="002A01CF" w:rsidRPr="00D6792F" w:rsidRDefault="00D6792F">
            <w:pPr>
              <w:rPr>
                <w:rFonts w:ascii="Calibri" w:hAnsi="Calibri"/>
                <w:bCs/>
                <w:szCs w:val="22"/>
              </w:rPr>
            </w:pPr>
            <w:r>
              <w:rPr>
                <w:rFonts w:ascii="Calibri" w:hAnsi="Calibri"/>
                <w:bCs/>
                <w:szCs w:val="22"/>
              </w:rPr>
              <w:t>A consultation response was received from Longridge Town Council on 19</w:t>
            </w:r>
            <w:r w:rsidRPr="00D6792F">
              <w:rPr>
                <w:rFonts w:ascii="Calibri" w:hAnsi="Calibri"/>
                <w:bCs/>
                <w:szCs w:val="22"/>
                <w:vertAlign w:val="superscript"/>
              </w:rPr>
              <w:t>th</w:t>
            </w:r>
            <w:r>
              <w:rPr>
                <w:rFonts w:ascii="Calibri" w:hAnsi="Calibri"/>
                <w:bCs/>
                <w:szCs w:val="22"/>
              </w:rPr>
              <w:t xml:space="preserve"> February 2024 stating that the Town Council has no observations to make in respect of the proposed development. </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3AC71FC8" w:rsidR="002A01CF" w:rsidRPr="00D6792F" w:rsidRDefault="00D6792F">
            <w:pPr>
              <w:rPr>
                <w:rFonts w:ascii="Calibri" w:hAnsi="Calibri"/>
                <w:bCs/>
                <w:szCs w:val="22"/>
              </w:rPr>
            </w:pPr>
            <w:r>
              <w:rPr>
                <w:rFonts w:ascii="Calibri" w:hAnsi="Calibri"/>
                <w:bCs/>
                <w:szCs w:val="22"/>
              </w:rPr>
              <w:t>N/A</w:t>
            </w: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26BD18B4" w:rsidR="00C0704D" w:rsidRPr="00C0704D" w:rsidRDefault="00D6792F"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4A77E8F9" w14:textId="1AC09D57" w:rsidR="00F056A7" w:rsidRDefault="00F056A7" w:rsidP="008542DE">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5CC2ACE9" w14:textId="1BE8A66D" w:rsidR="00F056A7" w:rsidRDefault="00F056A7" w:rsidP="00F056A7">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1360EE56" w14:textId="77777777" w:rsidR="008542DE" w:rsidRDefault="008542DE" w:rsidP="008542DE">
            <w:pPr>
              <w:pStyle w:val="PLANNING"/>
              <w:rPr>
                <w:rFonts w:ascii="Calibri" w:hAnsi="Calibri"/>
                <w:szCs w:val="22"/>
              </w:rPr>
            </w:pPr>
          </w:p>
          <w:p w14:paraId="08A423E0" w14:textId="77777777" w:rsidR="008542DE" w:rsidRPr="00C618DB" w:rsidRDefault="008542DE" w:rsidP="008542DE">
            <w:pPr>
              <w:pStyle w:val="PLANNING"/>
              <w:rPr>
                <w:rFonts w:ascii="Calibri" w:hAnsi="Calibri"/>
                <w:szCs w:val="22"/>
              </w:rPr>
            </w:pPr>
            <w:r w:rsidRPr="00D11007">
              <w:rPr>
                <w:rFonts w:ascii="Calibri" w:hAnsi="Calibri"/>
                <w:szCs w:val="22"/>
              </w:rPr>
              <w:t>Planning (Listed Buildings and Conservation Areas) Act</w:t>
            </w: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73A67AF6" w14:textId="54C828FA" w:rsidR="00D6792F" w:rsidRPr="00D6792F" w:rsidRDefault="00D6792F" w:rsidP="00C0704D">
            <w:pPr>
              <w:pStyle w:val="PLANNING"/>
              <w:rPr>
                <w:rFonts w:ascii="Calibri" w:hAnsi="Calibri"/>
                <w:szCs w:val="22"/>
              </w:rPr>
            </w:pPr>
            <w:r>
              <w:rPr>
                <w:rFonts w:ascii="Calibri" w:hAnsi="Calibri"/>
                <w:szCs w:val="22"/>
              </w:rPr>
              <w:t xml:space="preserve">3/2011/0182: Listed Building Consent for replacement of rotten door frame with wooden painted door frame. Replacement of front door with wooden panelled door (and small viewing glazed panel). Door and frame to be finished in a cream Farrow and Ball paint (Approved with conditions).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5CEADD25" w:rsidR="00C0704D" w:rsidRDefault="001D1BEC" w:rsidP="001D1BEC">
            <w:pPr>
              <w:pStyle w:val="Header"/>
              <w:tabs>
                <w:tab w:val="clear" w:pos="4153"/>
                <w:tab w:val="clear" w:pos="8306"/>
                <w:tab w:val="left" w:pos="975"/>
              </w:tabs>
              <w:contextualSpacing/>
              <w:jc w:val="both"/>
              <w:rPr>
                <w:rFonts w:ascii="Calibri" w:hAnsi="Calibri"/>
                <w:bCs/>
                <w:szCs w:val="22"/>
              </w:rPr>
            </w:pPr>
            <w:r>
              <w:rPr>
                <w:rFonts w:ascii="Calibri" w:hAnsi="Calibri"/>
                <w:bCs/>
                <w:szCs w:val="22"/>
              </w:rPr>
              <w:lastRenderedPageBreak/>
              <w:t>The application relates to a mid-terraced property at no.12 Higher Road. The entire row of terraced properties</w:t>
            </w:r>
            <w:r w:rsidR="001C3739">
              <w:rPr>
                <w:rFonts w:ascii="Calibri" w:hAnsi="Calibri"/>
                <w:bCs/>
                <w:szCs w:val="22"/>
              </w:rPr>
              <w:t xml:space="preserve">, </w:t>
            </w:r>
            <w:r>
              <w:rPr>
                <w:rFonts w:ascii="Calibri" w:hAnsi="Calibri"/>
                <w:bCs/>
                <w:szCs w:val="22"/>
              </w:rPr>
              <w:t xml:space="preserve">nos. 6-44 inclusive, collectively form a Grade II Listed Building. </w:t>
            </w:r>
            <w:r w:rsidR="00534F3C">
              <w:rPr>
                <w:rFonts w:ascii="Calibri" w:hAnsi="Calibri"/>
                <w:bCs/>
                <w:szCs w:val="22"/>
              </w:rPr>
              <w:t xml:space="preserve">The official listing description for nos. 6-44 Higher Road reads as follows: </w:t>
            </w:r>
          </w:p>
          <w:p w14:paraId="5037F803" w14:textId="77777777" w:rsidR="00534F3C" w:rsidRDefault="00534F3C" w:rsidP="001D1BEC">
            <w:pPr>
              <w:pStyle w:val="Header"/>
              <w:tabs>
                <w:tab w:val="clear" w:pos="4153"/>
                <w:tab w:val="clear" w:pos="8306"/>
                <w:tab w:val="left" w:pos="975"/>
              </w:tabs>
              <w:contextualSpacing/>
              <w:jc w:val="both"/>
              <w:rPr>
                <w:rFonts w:ascii="Calibri" w:hAnsi="Calibri"/>
                <w:bCs/>
                <w:szCs w:val="22"/>
              </w:rPr>
            </w:pPr>
          </w:p>
          <w:p w14:paraId="3E37318E" w14:textId="687D34A7" w:rsidR="00534F3C" w:rsidRDefault="00534F3C" w:rsidP="001D1BEC">
            <w:pPr>
              <w:pStyle w:val="Header"/>
              <w:tabs>
                <w:tab w:val="clear" w:pos="4153"/>
                <w:tab w:val="clear" w:pos="8306"/>
                <w:tab w:val="left" w:pos="975"/>
              </w:tabs>
              <w:contextualSpacing/>
              <w:jc w:val="both"/>
              <w:rPr>
                <w:rFonts w:ascii="Calibri" w:hAnsi="Calibri"/>
                <w:bCs/>
                <w:i/>
                <w:iCs/>
                <w:szCs w:val="22"/>
              </w:rPr>
            </w:pPr>
            <w:r>
              <w:rPr>
                <w:rFonts w:ascii="Calibri" w:hAnsi="Calibri"/>
                <w:bCs/>
                <w:szCs w:val="22"/>
              </w:rPr>
              <w:t>‘</w:t>
            </w:r>
            <w:r w:rsidR="007A75B0">
              <w:rPr>
                <w:rFonts w:ascii="Calibri" w:hAnsi="Calibri"/>
                <w:bCs/>
                <w:i/>
                <w:iCs/>
                <w:szCs w:val="22"/>
              </w:rPr>
              <w:t>Row of houses, begun in 1793. Squared coursed sandstone with slate roof and brick stacks, except that on the gable (left-hand) wall of no.44. 2 storeys with cellars entered at lower ground level to the rear. Windows have plain reveals and projecting stone sills, with modern windows. Each house is of one bay, with the doors of adjacent houses paired, with a third door, leading through a tunnel to the yard, between them. The doorways have plain stone surrounds</w:t>
            </w:r>
            <w:r w:rsidR="00FF7AB8">
              <w:rPr>
                <w:rFonts w:ascii="Calibri" w:hAnsi="Calibri"/>
                <w:bCs/>
                <w:i/>
                <w:iCs/>
                <w:szCs w:val="22"/>
              </w:rPr>
              <w:t>. Some of the houses now have an extra window on the 1</w:t>
            </w:r>
            <w:r w:rsidR="00FF7AB8" w:rsidRPr="00FF7AB8">
              <w:rPr>
                <w:rFonts w:ascii="Calibri" w:hAnsi="Calibri"/>
                <w:bCs/>
                <w:i/>
                <w:iCs/>
                <w:szCs w:val="22"/>
                <w:vertAlign w:val="superscript"/>
              </w:rPr>
              <w:t>st</w:t>
            </w:r>
            <w:r w:rsidR="00FF7AB8">
              <w:rPr>
                <w:rFonts w:ascii="Calibri" w:hAnsi="Calibri"/>
                <w:bCs/>
                <w:i/>
                <w:iCs/>
                <w:szCs w:val="22"/>
              </w:rPr>
              <w:t xml:space="preserve"> floor over the door. Nos.6, 8 and 44 have stone gutter brackets. A keyed joint between no.24 and 26 indicates a break in construction. Built by the Longridge Building Society, one of the earliest terminating building societies in the country, and used as an example by Price, Seymour J., Building Societies, their Origin and History, Cambridge, 1958, pp 32-44.’</w:t>
            </w:r>
          </w:p>
          <w:p w14:paraId="624C61EA" w14:textId="77777777" w:rsidR="00FF7AB8" w:rsidRDefault="00FF7AB8" w:rsidP="001D1BEC">
            <w:pPr>
              <w:pStyle w:val="Header"/>
              <w:tabs>
                <w:tab w:val="clear" w:pos="4153"/>
                <w:tab w:val="clear" w:pos="8306"/>
                <w:tab w:val="left" w:pos="975"/>
              </w:tabs>
              <w:contextualSpacing/>
              <w:jc w:val="both"/>
              <w:rPr>
                <w:rFonts w:ascii="Calibri" w:hAnsi="Calibri"/>
                <w:bCs/>
                <w:i/>
                <w:iCs/>
                <w:szCs w:val="22"/>
              </w:rPr>
            </w:pPr>
          </w:p>
          <w:p w14:paraId="0CC634E4" w14:textId="4A03048A" w:rsidR="00FF7AB8" w:rsidRPr="00FF7AB8" w:rsidRDefault="00FF7AB8" w:rsidP="001D1BEC">
            <w:pPr>
              <w:pStyle w:val="Header"/>
              <w:tabs>
                <w:tab w:val="clear" w:pos="4153"/>
                <w:tab w:val="clear" w:pos="8306"/>
                <w:tab w:val="left" w:pos="975"/>
              </w:tabs>
              <w:contextualSpacing/>
              <w:jc w:val="both"/>
              <w:rPr>
                <w:rFonts w:ascii="Calibri" w:hAnsi="Calibri"/>
                <w:bCs/>
                <w:szCs w:val="22"/>
              </w:rPr>
            </w:pPr>
            <w:r>
              <w:rPr>
                <w:rFonts w:ascii="Calibri" w:hAnsi="Calibri"/>
                <w:bCs/>
                <w:szCs w:val="22"/>
              </w:rPr>
              <w:t xml:space="preserve">The application premises if situated on a main road location on the eastern side of the defined settlement area of Longridge and within the Longridge Conservation Area. The area surrounding the premises is predominantly residential in character. </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4506CDC0" w14:textId="23686031" w:rsidR="00FF7AB8" w:rsidRPr="00FF7AB8" w:rsidRDefault="00FF7AB8" w:rsidP="00440CB6">
            <w:pPr>
              <w:pStyle w:val="Header"/>
              <w:tabs>
                <w:tab w:val="clear" w:pos="4153"/>
                <w:tab w:val="clear" w:pos="8306"/>
              </w:tabs>
              <w:jc w:val="both"/>
              <w:rPr>
                <w:rFonts w:ascii="Calibri" w:hAnsi="Calibri"/>
                <w:bCs/>
                <w:szCs w:val="22"/>
              </w:rPr>
            </w:pPr>
            <w:r>
              <w:rPr>
                <w:rFonts w:ascii="Calibri" w:hAnsi="Calibri"/>
                <w:bCs/>
                <w:szCs w:val="22"/>
              </w:rPr>
              <w:t>Listed Building Consent is sought for the replacement of all the property’s windows</w:t>
            </w:r>
            <w:r w:rsidR="00D67966">
              <w:rPr>
                <w:rFonts w:ascii="Calibri" w:hAnsi="Calibri"/>
                <w:bCs/>
                <w:szCs w:val="22"/>
              </w:rPr>
              <w:t xml:space="preserve"> w</w:t>
            </w:r>
            <w:r>
              <w:rPr>
                <w:rFonts w:ascii="Calibri" w:hAnsi="Calibri"/>
                <w:bCs/>
                <w:szCs w:val="22"/>
              </w:rPr>
              <w:t>ith timber sliding-sash windows,</w:t>
            </w:r>
            <w:r w:rsidR="00D67966">
              <w:rPr>
                <w:rFonts w:ascii="Calibri" w:hAnsi="Calibri"/>
                <w:bCs/>
                <w:szCs w:val="22"/>
              </w:rPr>
              <w:t xml:space="preserve"> along with one flush, timber casement window to the rear. </w:t>
            </w:r>
            <w:r w:rsidR="00B103AD">
              <w:rPr>
                <w:rFonts w:ascii="Calibri" w:hAnsi="Calibri"/>
                <w:bCs/>
                <w:szCs w:val="22"/>
              </w:rPr>
              <w:t xml:space="preserve">This would include 2no. timber windows to the front elevation (ground floor living room and first floor bedroom), along with 1no. timber and 2no. </w:t>
            </w:r>
            <w:r w:rsidR="00DC636D">
              <w:rPr>
                <w:rFonts w:ascii="Calibri" w:hAnsi="Calibri"/>
                <w:bCs/>
                <w:szCs w:val="22"/>
              </w:rPr>
              <w:t xml:space="preserve">uPVC windows to the rear </w:t>
            </w:r>
            <w:r w:rsidR="00B103AD">
              <w:rPr>
                <w:rFonts w:ascii="Calibri" w:hAnsi="Calibri"/>
                <w:bCs/>
                <w:szCs w:val="22"/>
              </w:rPr>
              <w:t xml:space="preserve">(ground floor kitchen and first floor bedroom and bathroom). </w:t>
            </w:r>
          </w:p>
          <w:p w14:paraId="1B20488F" w14:textId="77777777" w:rsidR="00C0704D" w:rsidRPr="00D54E67" w:rsidRDefault="00C0704D" w:rsidP="002F2580">
            <w:pPr>
              <w:rPr>
                <w:rFonts w:ascii="Calibri" w:hAnsi="Calibri"/>
                <w:szCs w:val="22"/>
              </w:rPr>
            </w:pPr>
          </w:p>
        </w:tc>
      </w:tr>
      <w:tr w:rsidR="008542DE" w:rsidRPr="00D2449B" w14:paraId="2540EE5C"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24EC54F0" w:rsidR="008542DE" w:rsidRDefault="008542DE" w:rsidP="00C16C74">
            <w:pPr>
              <w:pStyle w:val="Header"/>
              <w:tabs>
                <w:tab w:val="clear" w:pos="4153"/>
                <w:tab w:val="clear" w:pos="8306"/>
              </w:tabs>
              <w:contextualSpacing/>
              <w:jc w:val="both"/>
              <w:rPr>
                <w:rFonts w:ascii="Calibri" w:hAnsi="Calibri"/>
                <w:b/>
                <w:szCs w:val="22"/>
              </w:rPr>
            </w:pPr>
            <w:r>
              <w:rPr>
                <w:rFonts w:ascii="Calibri" w:hAnsi="Calibri"/>
                <w:b/>
                <w:szCs w:val="22"/>
              </w:rPr>
              <w:t>Impact upon Listed Building:</w:t>
            </w:r>
          </w:p>
          <w:p w14:paraId="6A2BDA66" w14:textId="77777777" w:rsidR="008542DE" w:rsidRDefault="008542DE" w:rsidP="00C16C74">
            <w:pPr>
              <w:contextualSpacing/>
              <w:jc w:val="both"/>
              <w:rPr>
                <w:rFonts w:ascii="Calibri" w:hAnsi="Calibri"/>
                <w:b/>
              </w:rPr>
            </w:pPr>
          </w:p>
          <w:p w14:paraId="2709A46D" w14:textId="77777777" w:rsidR="00C16C74" w:rsidRDefault="00C16C74" w:rsidP="00C16C74">
            <w:pPr>
              <w:jc w:val="both"/>
              <w:rPr>
                <w:rFonts w:ascii="Calibri" w:hAnsi="Calibri"/>
                <w:bCs/>
              </w:rPr>
            </w:pPr>
            <w:r>
              <w:rPr>
                <w:rFonts w:ascii="Calibri" w:hAnsi="Calibri"/>
                <w:bCs/>
              </w:rPr>
              <w:t xml:space="preserve">Paragraph 205 of the NPPF states: </w:t>
            </w:r>
          </w:p>
          <w:p w14:paraId="37F59E46" w14:textId="77777777" w:rsidR="00C16C74" w:rsidRDefault="00C16C74" w:rsidP="00C16C74">
            <w:pPr>
              <w:jc w:val="both"/>
              <w:rPr>
                <w:rFonts w:ascii="Calibri" w:hAnsi="Calibri"/>
                <w:bCs/>
              </w:rPr>
            </w:pPr>
          </w:p>
          <w:p w14:paraId="64C5B181" w14:textId="77777777" w:rsidR="00C16C74" w:rsidRDefault="00C16C74" w:rsidP="00C16C74">
            <w:pPr>
              <w:jc w:val="both"/>
              <w:rPr>
                <w:rFonts w:ascii="Calibri" w:hAnsi="Calibri"/>
                <w:bCs/>
                <w:i/>
                <w:iCs/>
              </w:rPr>
            </w:pPr>
            <w:r>
              <w:rPr>
                <w:rFonts w:ascii="Calibri" w:hAnsi="Calibri"/>
                <w:bCs/>
                <w:i/>
                <w:iCs/>
              </w:rPr>
              <w:t xml:space="preserve">‘When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 </w:t>
            </w:r>
          </w:p>
          <w:p w14:paraId="0F37860C" w14:textId="77777777" w:rsidR="00C16C74" w:rsidRDefault="00C16C74" w:rsidP="00C16C74">
            <w:pPr>
              <w:jc w:val="both"/>
              <w:rPr>
                <w:rFonts w:ascii="Calibri" w:hAnsi="Calibri"/>
                <w:bCs/>
              </w:rPr>
            </w:pPr>
          </w:p>
          <w:p w14:paraId="601E2837" w14:textId="77777777" w:rsidR="00C16C74" w:rsidRDefault="00C16C74" w:rsidP="00C16C74">
            <w:pPr>
              <w:jc w:val="both"/>
              <w:rPr>
                <w:rFonts w:ascii="Calibri" w:hAnsi="Calibri"/>
                <w:bCs/>
              </w:rPr>
            </w:pPr>
            <w:r>
              <w:rPr>
                <w:rFonts w:ascii="Calibri" w:hAnsi="Calibri"/>
                <w:bCs/>
              </w:rPr>
              <w:t xml:space="preserve">In addition, Key Statement EN5 of the Ribble Valley Core Strategy states: </w:t>
            </w:r>
          </w:p>
          <w:p w14:paraId="7FF9A61C" w14:textId="77777777" w:rsidR="00C16C74" w:rsidRDefault="00C16C74" w:rsidP="00C16C74">
            <w:pPr>
              <w:jc w:val="both"/>
              <w:rPr>
                <w:rFonts w:ascii="Calibri" w:hAnsi="Calibri"/>
                <w:bCs/>
              </w:rPr>
            </w:pPr>
          </w:p>
          <w:p w14:paraId="27668219" w14:textId="77777777" w:rsidR="00C16C74" w:rsidRDefault="00C16C74" w:rsidP="00C16C74">
            <w:pPr>
              <w:jc w:val="both"/>
              <w:rPr>
                <w:rFonts w:ascii="Calibri" w:hAnsi="Calibri"/>
                <w:bCs/>
                <w:i/>
                <w:iCs/>
              </w:rPr>
            </w:pPr>
            <w:r>
              <w:rPr>
                <w:rFonts w:ascii="Calibri" w:hAnsi="Calibri"/>
                <w:bCs/>
                <w:i/>
                <w:iCs/>
              </w:rPr>
              <w:t xml:space="preserve">‘There will be a presumption in favour of the conservation and enhancement of the significance of heritage assets and their settings.’ </w:t>
            </w:r>
          </w:p>
          <w:p w14:paraId="2299D1B9" w14:textId="77777777" w:rsidR="00C16C74" w:rsidRDefault="00C16C74" w:rsidP="00C16C74">
            <w:pPr>
              <w:jc w:val="both"/>
              <w:rPr>
                <w:rFonts w:ascii="Calibri" w:hAnsi="Calibri"/>
                <w:bCs/>
                <w:i/>
                <w:iCs/>
              </w:rPr>
            </w:pPr>
          </w:p>
          <w:p w14:paraId="020F7B7B" w14:textId="77777777" w:rsidR="00C16C74" w:rsidRDefault="00C16C74" w:rsidP="00C16C74">
            <w:pPr>
              <w:jc w:val="both"/>
              <w:rPr>
                <w:rFonts w:ascii="Calibri" w:hAnsi="Calibri"/>
                <w:bCs/>
              </w:rPr>
            </w:pPr>
            <w:r>
              <w:rPr>
                <w:rFonts w:ascii="Calibri" w:hAnsi="Calibri"/>
                <w:bCs/>
              </w:rPr>
              <w:t xml:space="preserve">Furthermore, Policy DME4 of the Core Strategy states: </w:t>
            </w:r>
          </w:p>
          <w:p w14:paraId="2700C5EC" w14:textId="77777777" w:rsidR="00C16C74" w:rsidRDefault="00C16C74" w:rsidP="00C16C74">
            <w:pPr>
              <w:jc w:val="both"/>
              <w:rPr>
                <w:rFonts w:ascii="Calibri" w:hAnsi="Calibri"/>
                <w:bCs/>
                <w:i/>
                <w:iCs/>
              </w:rPr>
            </w:pPr>
          </w:p>
          <w:p w14:paraId="63B5B6F7" w14:textId="77777777" w:rsidR="00C16C74" w:rsidRDefault="00C16C74" w:rsidP="00C16C74">
            <w:pPr>
              <w:jc w:val="both"/>
              <w:rPr>
                <w:rFonts w:ascii="Calibri" w:hAnsi="Calibri"/>
                <w:bCs/>
                <w:i/>
                <w:iCs/>
              </w:rPr>
            </w:pPr>
            <w:r>
              <w:rPr>
                <w:rFonts w:ascii="Calibri" w:hAnsi="Calibri"/>
                <w:bCs/>
                <w:i/>
                <w:iCs/>
              </w:rPr>
              <w:t xml:space="preserve">‘Alterations or extensions to Listed Buildings or buildings of local heritage interest, or development proposals on sites within their setting which cause harm to the significance of the heritage asset will not be supported.’ </w:t>
            </w:r>
          </w:p>
          <w:p w14:paraId="4D391678" w14:textId="77777777" w:rsidR="00C16C74" w:rsidRDefault="00C16C74" w:rsidP="00C16C74">
            <w:pPr>
              <w:jc w:val="both"/>
              <w:rPr>
                <w:rFonts w:ascii="Calibri" w:hAnsi="Calibri"/>
                <w:bCs/>
              </w:rPr>
            </w:pPr>
          </w:p>
          <w:p w14:paraId="221FD349" w14:textId="77777777" w:rsidR="00C16C74" w:rsidRDefault="00C16C74" w:rsidP="00C16C74">
            <w:pPr>
              <w:jc w:val="both"/>
              <w:rPr>
                <w:rFonts w:ascii="Calibri" w:hAnsi="Calibri"/>
                <w:bCs/>
              </w:rPr>
            </w:pPr>
            <w:r>
              <w:rPr>
                <w:rFonts w:ascii="Calibri" w:hAnsi="Calibri"/>
                <w:bCs/>
              </w:rPr>
              <w:t xml:space="preserve">Heritage impact is considered to be the potential level of harm upon the significance of a heritage asset caused by development proposals. The NPPF defines significance as ‘the value of a heritage asset to this and future generations because of its heritage interest’. Such interest can be archaeological, architectural, artistic or historic. </w:t>
            </w:r>
          </w:p>
          <w:p w14:paraId="7FEE100C" w14:textId="77777777" w:rsidR="001C3739" w:rsidRDefault="001C3739" w:rsidP="00C16C74">
            <w:pPr>
              <w:jc w:val="both"/>
              <w:rPr>
                <w:rFonts w:ascii="Calibri" w:hAnsi="Calibri"/>
                <w:bCs/>
              </w:rPr>
            </w:pPr>
          </w:p>
          <w:p w14:paraId="4E3649BD" w14:textId="77777777" w:rsidR="001C3739" w:rsidRDefault="001C3739" w:rsidP="001C3739">
            <w:pPr>
              <w:rPr>
                <w:rFonts w:ascii="Calibri" w:hAnsi="Calibri"/>
                <w:bCs/>
              </w:rPr>
            </w:pPr>
            <w:r>
              <w:rPr>
                <w:rFonts w:ascii="Calibri" w:hAnsi="Calibri"/>
                <w:bCs/>
                <w:i/>
                <w:iCs/>
              </w:rPr>
              <w:t>Making Changes to Heritage Assets (Historic England, 2016</w:t>
            </w:r>
            <w:r>
              <w:rPr>
                <w:rFonts w:ascii="Calibri" w:hAnsi="Calibri"/>
                <w:bCs/>
              </w:rPr>
              <w:t xml:space="preserve">) provides general guidance with regards to the repair and alteration of heritage assets: </w:t>
            </w:r>
          </w:p>
          <w:p w14:paraId="13B7B938" w14:textId="77777777" w:rsidR="001C3739" w:rsidRDefault="001C3739" w:rsidP="001C3739">
            <w:pPr>
              <w:rPr>
                <w:rFonts w:ascii="Calibri" w:hAnsi="Calibri"/>
                <w:bCs/>
              </w:rPr>
            </w:pPr>
          </w:p>
          <w:p w14:paraId="0A495FDB" w14:textId="77777777" w:rsidR="001C3739" w:rsidRDefault="001C3739" w:rsidP="001C3739">
            <w:pPr>
              <w:rPr>
                <w:rFonts w:ascii="Calibri" w:hAnsi="Calibri"/>
                <w:bCs/>
                <w:i/>
                <w:iCs/>
              </w:rPr>
            </w:pPr>
            <w:r>
              <w:rPr>
                <w:rFonts w:ascii="Calibri" w:hAnsi="Calibri"/>
                <w:bCs/>
                <w:i/>
                <w:iCs/>
              </w:rPr>
              <w:lastRenderedPageBreak/>
              <w:t>‘The main issues to consider in proposals for additions to heritage assets, including new development in conservation areas are proportion, height, massing, bulk, use of materials, durability and adaptability, use, enclosure, relationship with adjacent assets and definition of spaces and streets, alignment, active frontages, permeability and treatment of setting…the junction between new work and the existing fabric needs particular attention, both for its impact on the significance of the existing asset and the impact on the contribution of its setting… original materials normally only need to be replaced when they have failed in their structural purpose.’</w:t>
            </w:r>
          </w:p>
          <w:p w14:paraId="3BEF051D" w14:textId="77777777" w:rsidR="001C3739" w:rsidRDefault="001C3739" w:rsidP="001C3739">
            <w:pPr>
              <w:rPr>
                <w:rFonts w:ascii="Calibri" w:hAnsi="Calibri"/>
                <w:bCs/>
                <w:i/>
                <w:iCs/>
              </w:rPr>
            </w:pPr>
          </w:p>
          <w:p w14:paraId="5BA3F7FC" w14:textId="77777777" w:rsidR="001C3739" w:rsidRDefault="001C3739" w:rsidP="001C3739">
            <w:pPr>
              <w:rPr>
                <w:rFonts w:ascii="Calibri" w:hAnsi="Calibri"/>
                <w:bCs/>
              </w:rPr>
            </w:pPr>
            <w:r>
              <w:rPr>
                <w:rFonts w:ascii="Calibri" w:hAnsi="Calibri"/>
                <w:bCs/>
              </w:rPr>
              <w:t xml:space="preserve">In addition, </w:t>
            </w:r>
            <w:r>
              <w:rPr>
                <w:rFonts w:ascii="Calibri" w:hAnsi="Calibri"/>
                <w:bCs/>
                <w:i/>
                <w:iCs/>
              </w:rPr>
              <w:t>Guidance on Alterations to Listed Buildings (IHBC, 2021)</w:t>
            </w:r>
            <w:r>
              <w:rPr>
                <w:rFonts w:ascii="Calibri" w:hAnsi="Calibri"/>
                <w:bCs/>
              </w:rPr>
              <w:t xml:space="preserve"> states: </w:t>
            </w:r>
          </w:p>
          <w:p w14:paraId="3C6D5F34" w14:textId="77777777" w:rsidR="001C3739" w:rsidRDefault="001C3739" w:rsidP="001C3739">
            <w:pPr>
              <w:rPr>
                <w:rFonts w:ascii="Calibri" w:hAnsi="Calibri"/>
                <w:bCs/>
              </w:rPr>
            </w:pPr>
          </w:p>
          <w:p w14:paraId="1B16CFFD" w14:textId="5535DB1A" w:rsidR="001C3739" w:rsidRDefault="001C3739" w:rsidP="001C3739">
            <w:pPr>
              <w:rPr>
                <w:rFonts w:ascii="Calibri" w:hAnsi="Calibri"/>
                <w:bCs/>
                <w:i/>
                <w:iCs/>
              </w:rPr>
            </w:pPr>
            <w:r>
              <w:rPr>
                <w:rFonts w:ascii="Calibri" w:hAnsi="Calibri"/>
                <w:bCs/>
                <w:i/>
                <w:iCs/>
              </w:rPr>
              <w:t>‘As a general rule, original doors and windows should be retained. They should be replaced only where they are demonstrably beyond repair and should match the originals, or later historically or architecturally important replacements, in every respect.’</w:t>
            </w:r>
          </w:p>
          <w:p w14:paraId="3BFD1B58" w14:textId="77777777" w:rsidR="0066227C" w:rsidRDefault="0066227C" w:rsidP="001C3739">
            <w:pPr>
              <w:rPr>
                <w:rFonts w:ascii="Calibri" w:hAnsi="Calibri"/>
                <w:bCs/>
                <w:i/>
                <w:iCs/>
              </w:rPr>
            </w:pPr>
          </w:p>
          <w:p w14:paraId="6D91C401" w14:textId="4585191A" w:rsidR="0066227C" w:rsidRPr="0066227C" w:rsidRDefault="0066227C" w:rsidP="001C3739">
            <w:pPr>
              <w:rPr>
                <w:rFonts w:ascii="Calibri" w:hAnsi="Calibri"/>
                <w:bCs/>
              </w:rPr>
            </w:pPr>
            <w:r>
              <w:rPr>
                <w:rFonts w:ascii="Calibri" w:hAnsi="Calibri"/>
                <w:bCs/>
              </w:rPr>
              <w:t xml:space="preserve">A heritage statement has been submitted in support of the application which states that the row of terraced properties </w:t>
            </w:r>
            <w:r w:rsidR="00A6331E">
              <w:rPr>
                <w:rFonts w:ascii="Calibri" w:hAnsi="Calibri"/>
                <w:bCs/>
              </w:rPr>
              <w:t>was</w:t>
            </w:r>
            <w:r>
              <w:rPr>
                <w:rFonts w:ascii="Calibri" w:hAnsi="Calibri"/>
                <w:bCs/>
              </w:rPr>
              <w:t xml:space="preserve"> built by the Longridge Building Society and are listed for their historical value, believed to be the oldest surviving row of houses </w:t>
            </w:r>
            <w:r w:rsidR="00A6331E">
              <w:rPr>
                <w:rFonts w:ascii="Calibri" w:hAnsi="Calibri"/>
                <w:bCs/>
              </w:rPr>
              <w:t xml:space="preserve">built by the earliest terminating building society. </w:t>
            </w:r>
          </w:p>
          <w:p w14:paraId="4386407E" w14:textId="77777777" w:rsidR="0066227C" w:rsidRDefault="0066227C" w:rsidP="001C3739">
            <w:pPr>
              <w:rPr>
                <w:rFonts w:ascii="Calibri" w:hAnsi="Calibri"/>
                <w:bCs/>
                <w:i/>
                <w:iCs/>
              </w:rPr>
            </w:pPr>
          </w:p>
          <w:p w14:paraId="005199A4" w14:textId="5FFA1F68" w:rsidR="00C16C74" w:rsidRDefault="00A6331E" w:rsidP="00C16C74">
            <w:pPr>
              <w:jc w:val="both"/>
              <w:rPr>
                <w:rFonts w:ascii="Calibri" w:hAnsi="Calibri"/>
                <w:bCs/>
              </w:rPr>
            </w:pPr>
            <w:r>
              <w:rPr>
                <w:rFonts w:ascii="Calibri" w:hAnsi="Calibri"/>
                <w:bCs/>
              </w:rPr>
              <w:t>It is understood that the current windows featured to the application property comprise a mix</w:t>
            </w:r>
            <w:r w:rsidR="00DC636D">
              <w:rPr>
                <w:rFonts w:ascii="Calibri" w:hAnsi="Calibri"/>
                <w:bCs/>
              </w:rPr>
              <w:t>ture</w:t>
            </w:r>
            <w:r>
              <w:rPr>
                <w:rFonts w:ascii="Calibri" w:hAnsi="Calibri"/>
                <w:bCs/>
              </w:rPr>
              <w:t xml:space="preserve"> of top-opening timber and uPVC windows which are of no heritage or historical valu</w:t>
            </w:r>
            <w:r w:rsidR="00B103AD">
              <w:rPr>
                <w:rFonts w:ascii="Calibri" w:hAnsi="Calibri"/>
                <w:bCs/>
              </w:rPr>
              <w:t xml:space="preserve">e and are either rotten or feature failed </w:t>
            </w:r>
            <w:r w:rsidR="00DC636D">
              <w:rPr>
                <w:rFonts w:ascii="Calibri" w:hAnsi="Calibri"/>
                <w:bCs/>
              </w:rPr>
              <w:t>double-glazing</w:t>
            </w:r>
            <w:r w:rsidR="00B103AD">
              <w:rPr>
                <w:rFonts w:ascii="Calibri" w:hAnsi="Calibri"/>
                <w:bCs/>
              </w:rPr>
              <w:t xml:space="preserve"> units. </w:t>
            </w:r>
            <w:r w:rsidR="00DC636D">
              <w:rPr>
                <w:rFonts w:ascii="Calibri" w:hAnsi="Calibri"/>
                <w:bCs/>
              </w:rPr>
              <w:t xml:space="preserve">The existing windows are modern in appearance, lacking depth due to the channels in the window reveals having previously been infilled and appearing unbalanced by virtue of the small top opening section. </w:t>
            </w:r>
            <w:r>
              <w:rPr>
                <w:rFonts w:ascii="Calibri" w:hAnsi="Calibri"/>
                <w:bCs/>
              </w:rPr>
              <w:t xml:space="preserve">As such, it is clearly apparent that the property’s existing window design offers little contribution to the interest of the building and does not reflect the historic or architectural significance of the </w:t>
            </w:r>
            <w:r w:rsidR="00DC636D">
              <w:rPr>
                <w:rFonts w:ascii="Calibri" w:hAnsi="Calibri"/>
                <w:bCs/>
              </w:rPr>
              <w:t>heritage asset</w:t>
            </w:r>
            <w:r>
              <w:rPr>
                <w:rFonts w:ascii="Calibri" w:hAnsi="Calibri"/>
                <w:bCs/>
              </w:rPr>
              <w:t xml:space="preserve">. </w:t>
            </w:r>
          </w:p>
          <w:p w14:paraId="3F074E49" w14:textId="73E4A564" w:rsidR="0098471E" w:rsidRDefault="0098471E" w:rsidP="00C16C74">
            <w:pPr>
              <w:jc w:val="both"/>
              <w:rPr>
                <w:rFonts w:ascii="Calibri" w:hAnsi="Calibri"/>
                <w:bCs/>
              </w:rPr>
            </w:pPr>
          </w:p>
          <w:p w14:paraId="636D55FD" w14:textId="0D9F34FD" w:rsidR="0098471E" w:rsidRDefault="0098471E" w:rsidP="00C16C74">
            <w:pPr>
              <w:jc w:val="both"/>
              <w:rPr>
                <w:rFonts w:ascii="Calibri" w:hAnsi="Calibri"/>
                <w:bCs/>
              </w:rPr>
            </w:pPr>
            <w:r>
              <w:rPr>
                <w:rFonts w:ascii="Calibri" w:hAnsi="Calibri"/>
                <w:bCs/>
              </w:rPr>
              <w:t xml:space="preserve">The works proposed would involve the replacement of the property’s existing </w:t>
            </w:r>
            <w:r w:rsidR="00537423">
              <w:rPr>
                <w:rFonts w:ascii="Calibri" w:hAnsi="Calibri"/>
                <w:bCs/>
              </w:rPr>
              <w:t xml:space="preserve">modern top-opening </w:t>
            </w:r>
            <w:r>
              <w:rPr>
                <w:rFonts w:ascii="Calibri" w:hAnsi="Calibri"/>
                <w:bCs/>
              </w:rPr>
              <w:t>timber and uPVC windows with</w:t>
            </w:r>
            <w:r w:rsidR="00537423">
              <w:rPr>
                <w:rFonts w:ascii="Calibri" w:hAnsi="Calibri"/>
                <w:bCs/>
              </w:rPr>
              <w:t xml:space="preserve"> </w:t>
            </w:r>
            <w:r>
              <w:rPr>
                <w:rFonts w:ascii="Calibri" w:hAnsi="Calibri"/>
                <w:bCs/>
              </w:rPr>
              <w:t xml:space="preserve">timber </w:t>
            </w:r>
            <w:r w:rsidR="00537423">
              <w:rPr>
                <w:rFonts w:ascii="Calibri" w:hAnsi="Calibri"/>
                <w:bCs/>
              </w:rPr>
              <w:t xml:space="preserve">double glazed </w:t>
            </w:r>
            <w:r>
              <w:rPr>
                <w:rFonts w:ascii="Calibri" w:hAnsi="Calibri"/>
                <w:bCs/>
              </w:rPr>
              <w:t>sliding-sash windows and one flush, timber casement</w:t>
            </w:r>
            <w:r w:rsidR="001C3739">
              <w:rPr>
                <w:rFonts w:ascii="Calibri" w:hAnsi="Calibri"/>
                <w:bCs/>
              </w:rPr>
              <w:t xml:space="preserve"> window</w:t>
            </w:r>
            <w:r>
              <w:rPr>
                <w:rFonts w:ascii="Calibri" w:hAnsi="Calibri"/>
                <w:bCs/>
              </w:rPr>
              <w:t xml:space="preserve"> to the rear.</w:t>
            </w:r>
            <w:r w:rsidR="00DC636D">
              <w:rPr>
                <w:rFonts w:ascii="Calibri" w:hAnsi="Calibri"/>
                <w:bCs/>
              </w:rPr>
              <w:t xml:space="preserve"> There would</w:t>
            </w:r>
            <w:r w:rsidR="00537423">
              <w:rPr>
                <w:rFonts w:ascii="Calibri" w:hAnsi="Calibri"/>
                <w:bCs/>
              </w:rPr>
              <w:t xml:space="preserve"> be</w:t>
            </w:r>
            <w:r w:rsidR="00DC636D">
              <w:rPr>
                <w:rFonts w:ascii="Calibri" w:hAnsi="Calibri"/>
                <w:bCs/>
              </w:rPr>
              <w:t xml:space="preserve"> no loss of structure or fabric to the building, apart from the existing modern </w:t>
            </w:r>
            <w:r w:rsidR="00537423">
              <w:rPr>
                <w:rFonts w:ascii="Calibri" w:hAnsi="Calibri"/>
                <w:bCs/>
              </w:rPr>
              <w:t>windowpanes</w:t>
            </w:r>
            <w:r w:rsidR="00DC636D">
              <w:rPr>
                <w:rFonts w:ascii="Calibri" w:hAnsi="Calibri"/>
                <w:bCs/>
              </w:rPr>
              <w:t xml:space="preserve"> and frame</w:t>
            </w:r>
            <w:r w:rsidR="00537423">
              <w:rPr>
                <w:rFonts w:ascii="Calibri" w:hAnsi="Calibri"/>
                <w:bCs/>
              </w:rPr>
              <w:t>s, and the surrounding sandstone will remain intact.</w:t>
            </w:r>
            <w:r>
              <w:rPr>
                <w:rFonts w:ascii="Calibri" w:hAnsi="Calibri"/>
                <w:bCs/>
              </w:rPr>
              <w:t xml:space="preserve"> The replacement</w:t>
            </w:r>
            <w:r w:rsidR="00537423">
              <w:rPr>
                <w:rFonts w:ascii="Calibri" w:hAnsi="Calibri"/>
                <w:bCs/>
              </w:rPr>
              <w:t xml:space="preserve"> sliding sash</w:t>
            </w:r>
            <w:r>
              <w:rPr>
                <w:rFonts w:ascii="Calibri" w:hAnsi="Calibri"/>
                <w:bCs/>
              </w:rPr>
              <w:t xml:space="preserve"> window frames would comprise a slim </w:t>
            </w:r>
            <w:r w:rsidR="00537423">
              <w:rPr>
                <w:rFonts w:ascii="Calibri" w:hAnsi="Calibri"/>
                <w:bCs/>
              </w:rPr>
              <w:t xml:space="preserve">hardwood profile, painted </w:t>
            </w:r>
            <w:r w:rsidR="002A7B97">
              <w:rPr>
                <w:rFonts w:ascii="Calibri" w:hAnsi="Calibri"/>
                <w:bCs/>
              </w:rPr>
              <w:t>with micro-porous pain treatment colour matched to</w:t>
            </w:r>
            <w:r w:rsidR="00537423">
              <w:rPr>
                <w:rFonts w:ascii="Calibri" w:hAnsi="Calibri"/>
                <w:bCs/>
              </w:rPr>
              <w:t xml:space="preserve"> </w:t>
            </w:r>
            <w:r w:rsidR="00E630B3">
              <w:rPr>
                <w:rFonts w:ascii="Calibri" w:hAnsi="Calibri"/>
                <w:bCs/>
              </w:rPr>
              <w:t>Farrow</w:t>
            </w:r>
            <w:r w:rsidR="00537423">
              <w:rPr>
                <w:rFonts w:ascii="Calibri" w:hAnsi="Calibri"/>
                <w:bCs/>
              </w:rPr>
              <w:t xml:space="preserve"> and Ball Ammonite (pale grey)</w:t>
            </w:r>
            <w:r w:rsidR="002A7B97">
              <w:rPr>
                <w:rFonts w:ascii="Calibri" w:hAnsi="Calibri"/>
                <w:bCs/>
              </w:rPr>
              <w:t>,</w:t>
            </w:r>
            <w:r w:rsidR="00537423">
              <w:rPr>
                <w:rFonts w:ascii="Calibri" w:hAnsi="Calibri"/>
                <w:bCs/>
              </w:rPr>
              <w:t xml:space="preserve"> and would slide open at the top and bottom with a hidden spring mechanism. The rear bathroom window would incorporate a flush timber casement due to its small size, along with </w:t>
            </w:r>
            <w:r w:rsidR="002A7B97">
              <w:rPr>
                <w:rFonts w:ascii="Calibri" w:hAnsi="Calibri"/>
                <w:bCs/>
              </w:rPr>
              <w:t xml:space="preserve">Canterbury etched glass </w:t>
            </w:r>
            <w:r w:rsidR="00537423">
              <w:rPr>
                <w:rFonts w:ascii="Calibri" w:hAnsi="Calibri"/>
                <w:bCs/>
              </w:rPr>
              <w:t xml:space="preserve">to the lower half of the window and no opening, replicating that of the existing. The </w:t>
            </w:r>
            <w:r w:rsidR="002A7B97">
              <w:rPr>
                <w:rFonts w:ascii="Calibri" w:hAnsi="Calibri"/>
                <w:bCs/>
              </w:rPr>
              <w:t>proposed</w:t>
            </w:r>
            <w:r w:rsidR="00537423">
              <w:rPr>
                <w:rFonts w:ascii="Calibri" w:hAnsi="Calibri"/>
                <w:bCs/>
              </w:rPr>
              <w:t xml:space="preserve"> windows would therefore go </w:t>
            </w:r>
            <w:r w:rsidR="00E630B3">
              <w:rPr>
                <w:rFonts w:ascii="Calibri" w:hAnsi="Calibri"/>
                <w:bCs/>
              </w:rPr>
              <w:t>some way</w:t>
            </w:r>
            <w:r w:rsidR="00537423">
              <w:rPr>
                <w:rFonts w:ascii="Calibri" w:hAnsi="Calibri"/>
                <w:bCs/>
              </w:rPr>
              <w:t xml:space="preserve"> to restore the original Geogian appearance of the property</w:t>
            </w:r>
            <w:r w:rsidR="002A7B97">
              <w:rPr>
                <w:rFonts w:ascii="Calibri" w:hAnsi="Calibri"/>
                <w:bCs/>
              </w:rPr>
              <w:t xml:space="preserve">. </w:t>
            </w:r>
            <w:r>
              <w:rPr>
                <w:rFonts w:ascii="Calibri" w:hAnsi="Calibri"/>
                <w:bCs/>
              </w:rPr>
              <w:t>As such, the replacement windows proposed would be respectful to the historic character of the building by virtue of their slim and understated profile</w:t>
            </w:r>
            <w:r w:rsidR="00FD3534">
              <w:rPr>
                <w:rFonts w:ascii="Calibri" w:hAnsi="Calibri"/>
                <w:bCs/>
              </w:rPr>
              <w:t xml:space="preserve"> and would</w:t>
            </w:r>
            <w:r w:rsidR="00A6331E">
              <w:rPr>
                <w:rFonts w:ascii="Calibri" w:hAnsi="Calibri"/>
                <w:bCs/>
              </w:rPr>
              <w:t xml:space="preserve"> improve the scale and appearance of the current windows, subsequently</w:t>
            </w:r>
            <w:r w:rsidR="00FD3534">
              <w:rPr>
                <w:rFonts w:ascii="Calibri" w:hAnsi="Calibri"/>
                <w:bCs/>
              </w:rPr>
              <w:t xml:space="preserve"> </w:t>
            </w:r>
            <w:r>
              <w:rPr>
                <w:rFonts w:ascii="Calibri" w:hAnsi="Calibri"/>
                <w:bCs/>
              </w:rPr>
              <w:t>enhan</w:t>
            </w:r>
            <w:r w:rsidR="00A6331E">
              <w:rPr>
                <w:rFonts w:ascii="Calibri" w:hAnsi="Calibri"/>
                <w:bCs/>
              </w:rPr>
              <w:t>cing</w:t>
            </w:r>
            <w:r>
              <w:rPr>
                <w:rFonts w:ascii="Calibri" w:hAnsi="Calibri"/>
                <w:bCs/>
              </w:rPr>
              <w:t xml:space="preserve"> the historic and architectural character of the </w:t>
            </w:r>
            <w:r w:rsidR="00286F15">
              <w:rPr>
                <w:rFonts w:ascii="Calibri" w:hAnsi="Calibri"/>
                <w:bCs/>
              </w:rPr>
              <w:t>property</w:t>
            </w:r>
            <w:r w:rsidR="00FD3534">
              <w:rPr>
                <w:rFonts w:ascii="Calibri" w:hAnsi="Calibri"/>
                <w:bCs/>
              </w:rPr>
              <w:t xml:space="preserve"> in its existing form</w:t>
            </w:r>
            <w:r>
              <w:rPr>
                <w:rFonts w:ascii="Calibri" w:hAnsi="Calibri"/>
                <w:bCs/>
              </w:rPr>
              <w:t xml:space="preserve">. </w:t>
            </w:r>
          </w:p>
          <w:p w14:paraId="6631E419" w14:textId="77777777" w:rsidR="0046548C" w:rsidRDefault="0046548C" w:rsidP="00FD3534">
            <w:pPr>
              <w:jc w:val="both"/>
              <w:rPr>
                <w:rFonts w:ascii="Calibri" w:hAnsi="Calibri"/>
                <w:b/>
              </w:rPr>
            </w:pPr>
          </w:p>
          <w:p w14:paraId="4C128F0D" w14:textId="77777777" w:rsidR="00FD3534" w:rsidRDefault="00FD3534" w:rsidP="00FD3534">
            <w:pPr>
              <w:jc w:val="both"/>
              <w:rPr>
                <w:rFonts w:ascii="Calibri" w:hAnsi="Calibri"/>
                <w:bCs/>
              </w:rPr>
            </w:pPr>
            <w:r>
              <w:rPr>
                <w:rFonts w:ascii="Calibri" w:hAnsi="Calibri"/>
                <w:bCs/>
              </w:rPr>
              <w:t xml:space="preserve">Taking account of the above, the works proposed would be complaint with current heritage guidance and would not result in any harm to the significance of the heritage asset. The works proposed would contribute to the preservation and enhancement of the Listed Building and would therefore satisfy the requirements of Section 16 of the Listed Buildings and Conservation Area Act 1990, as well as paragraphs 205 and 208 of the National Planning Policy Framework and Policy DME4 of the Ribble Valley Core Strategy. </w:t>
            </w:r>
          </w:p>
          <w:p w14:paraId="632BE018" w14:textId="4672B059" w:rsidR="00FD3534" w:rsidRPr="00FD3534" w:rsidRDefault="00FD3534" w:rsidP="00FD3534">
            <w:pPr>
              <w:jc w:val="both"/>
              <w:rPr>
                <w:rFonts w:ascii="Calibri" w:hAnsi="Calibri"/>
                <w:bCs/>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E630B3"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E630B3" w:rsidRPr="00D2449B" w:rsidRDefault="00E630B3" w:rsidP="00E630B3">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4C4CADBE" w:rsidR="00E630B3" w:rsidRPr="00D2449B" w:rsidRDefault="00E630B3" w:rsidP="00E630B3">
            <w:pPr>
              <w:rPr>
                <w:rFonts w:ascii="Calibri" w:hAnsi="Calibri"/>
                <w:bCs/>
                <w:szCs w:val="22"/>
              </w:rPr>
            </w:pPr>
            <w:r w:rsidRPr="009F4443">
              <w:rPr>
                <w:rFonts w:asciiTheme="minorHAnsi" w:hAnsiTheme="minorHAnsi"/>
                <w:bCs/>
                <w:szCs w:val="22"/>
              </w:rPr>
              <w:t xml:space="preserve">That </w:t>
            </w:r>
            <w:r w:rsidR="00483FEA">
              <w:rPr>
                <w:rFonts w:asciiTheme="minorHAnsi" w:hAnsiTheme="minorHAnsi"/>
                <w:bCs/>
                <w:szCs w:val="22"/>
              </w:rPr>
              <w:t xml:space="preserve">listed building </w:t>
            </w:r>
            <w:r w:rsidRPr="009F4443">
              <w:rPr>
                <w:rFonts w:asciiTheme="minorHAnsi" w:hAnsiTheme="minorHAnsi"/>
                <w:bCs/>
                <w:szCs w:val="22"/>
              </w:rPr>
              <w:t xml:space="preserve">consent be </w:t>
            </w:r>
            <w:r>
              <w:rPr>
                <w:rFonts w:asciiTheme="minorHAnsi" w:hAnsiTheme="minorHAnsi"/>
                <w:bCs/>
                <w:szCs w:val="22"/>
              </w:rPr>
              <w:t>granted subject to the imposition of conditions.</w:t>
            </w:r>
          </w:p>
        </w:tc>
      </w:tr>
    </w:tbl>
    <w:p w14:paraId="513FB541" w14:textId="77777777" w:rsidR="007920AC" w:rsidRPr="00D2449B" w:rsidRDefault="007920AC">
      <w:pPr>
        <w:rPr>
          <w:rFonts w:ascii="Calibri" w:hAnsi="Calibri"/>
          <w:szCs w:val="22"/>
        </w:rPr>
      </w:pPr>
    </w:p>
    <w:sectPr w:rsidR="007920AC"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A00B0"/>
    <w:rsid w:val="001C3739"/>
    <w:rsid w:val="001D1BEC"/>
    <w:rsid w:val="001D4F7A"/>
    <w:rsid w:val="00250879"/>
    <w:rsid w:val="00282E3A"/>
    <w:rsid w:val="00286F15"/>
    <w:rsid w:val="0029334A"/>
    <w:rsid w:val="002954E5"/>
    <w:rsid w:val="002A01CF"/>
    <w:rsid w:val="002A7B97"/>
    <w:rsid w:val="002C6277"/>
    <w:rsid w:val="002F2580"/>
    <w:rsid w:val="00321B6E"/>
    <w:rsid w:val="003E14BB"/>
    <w:rsid w:val="00440CB6"/>
    <w:rsid w:val="0046548C"/>
    <w:rsid w:val="00483FEA"/>
    <w:rsid w:val="004947BB"/>
    <w:rsid w:val="00497407"/>
    <w:rsid w:val="004A5EA9"/>
    <w:rsid w:val="004C2434"/>
    <w:rsid w:val="004F0649"/>
    <w:rsid w:val="00510FA2"/>
    <w:rsid w:val="00534F3C"/>
    <w:rsid w:val="00537423"/>
    <w:rsid w:val="00556ECD"/>
    <w:rsid w:val="005E1C6C"/>
    <w:rsid w:val="005E65DF"/>
    <w:rsid w:val="0066227C"/>
    <w:rsid w:val="00692B60"/>
    <w:rsid w:val="006A71AD"/>
    <w:rsid w:val="006C2BFA"/>
    <w:rsid w:val="006F6849"/>
    <w:rsid w:val="0070054B"/>
    <w:rsid w:val="00722BF8"/>
    <w:rsid w:val="00761D2C"/>
    <w:rsid w:val="00773A66"/>
    <w:rsid w:val="00776AE2"/>
    <w:rsid w:val="007920AC"/>
    <w:rsid w:val="007A75B0"/>
    <w:rsid w:val="007C791C"/>
    <w:rsid w:val="007D7DF4"/>
    <w:rsid w:val="007E0D23"/>
    <w:rsid w:val="007F16D6"/>
    <w:rsid w:val="00811771"/>
    <w:rsid w:val="00824DB6"/>
    <w:rsid w:val="00837F4F"/>
    <w:rsid w:val="008542DE"/>
    <w:rsid w:val="008A28C8"/>
    <w:rsid w:val="0098471E"/>
    <w:rsid w:val="009F4443"/>
    <w:rsid w:val="00A42E82"/>
    <w:rsid w:val="00A579BB"/>
    <w:rsid w:val="00A6331E"/>
    <w:rsid w:val="00A63D55"/>
    <w:rsid w:val="00A95D89"/>
    <w:rsid w:val="00B103AD"/>
    <w:rsid w:val="00B93EB5"/>
    <w:rsid w:val="00BD3F03"/>
    <w:rsid w:val="00BE337E"/>
    <w:rsid w:val="00C0704D"/>
    <w:rsid w:val="00C16C74"/>
    <w:rsid w:val="00C25722"/>
    <w:rsid w:val="00C618DB"/>
    <w:rsid w:val="00D11007"/>
    <w:rsid w:val="00D17EB1"/>
    <w:rsid w:val="00D2449B"/>
    <w:rsid w:val="00D54E67"/>
    <w:rsid w:val="00D6792F"/>
    <w:rsid w:val="00D67966"/>
    <w:rsid w:val="00D9292A"/>
    <w:rsid w:val="00DC636D"/>
    <w:rsid w:val="00DD62F6"/>
    <w:rsid w:val="00DE2FFB"/>
    <w:rsid w:val="00E46243"/>
    <w:rsid w:val="00E630B3"/>
    <w:rsid w:val="00E66534"/>
    <w:rsid w:val="00E72F6C"/>
    <w:rsid w:val="00EA09F9"/>
    <w:rsid w:val="00EC23C7"/>
    <w:rsid w:val="00ED00B7"/>
    <w:rsid w:val="00EF44E6"/>
    <w:rsid w:val="00F056A7"/>
    <w:rsid w:val="00FD3534"/>
    <w:rsid w:val="00FD6AE3"/>
    <w:rsid w:val="00FF7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590626">
      <w:bodyDiv w:val="1"/>
      <w:marLeft w:val="0"/>
      <w:marRight w:val="0"/>
      <w:marTop w:val="0"/>
      <w:marBottom w:val="0"/>
      <w:divBdr>
        <w:top w:val="none" w:sz="0" w:space="0" w:color="auto"/>
        <w:left w:val="none" w:sz="0" w:space="0" w:color="auto"/>
        <w:bottom w:val="none" w:sz="0" w:space="0" w:color="auto"/>
        <w:right w:val="none" w:sz="0" w:space="0" w:color="auto"/>
      </w:divBdr>
    </w:div>
    <w:div w:id="283929892">
      <w:bodyDiv w:val="1"/>
      <w:marLeft w:val="0"/>
      <w:marRight w:val="0"/>
      <w:marTop w:val="0"/>
      <w:marBottom w:val="0"/>
      <w:divBdr>
        <w:top w:val="none" w:sz="0" w:space="0" w:color="auto"/>
        <w:left w:val="none" w:sz="0" w:space="0" w:color="auto"/>
        <w:bottom w:val="none" w:sz="0" w:space="0" w:color="auto"/>
        <w:right w:val="none" w:sz="0" w:space="0" w:color="auto"/>
      </w:divBdr>
    </w:div>
    <w:div w:id="214075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1357</Words>
  <Characters>7737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2024-03-28T16:06:00Z</cp:lastPrinted>
  <dcterms:created xsi:type="dcterms:W3CDTF">2024-03-28T16:06:00Z</dcterms:created>
  <dcterms:modified xsi:type="dcterms:W3CDTF">2024-03-28T16:06:00Z</dcterms:modified>
</cp:coreProperties>
</file>