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475"/>
        <w:gridCol w:w="723"/>
        <w:gridCol w:w="577"/>
        <w:gridCol w:w="498"/>
        <w:gridCol w:w="699"/>
        <w:gridCol w:w="579"/>
        <w:gridCol w:w="1030"/>
        <w:gridCol w:w="1030"/>
        <w:gridCol w:w="1031"/>
      </w:tblGrid>
      <w:tr w:rsidR="004A5EA9" w:rsidRPr="00D2449B" w14:paraId="230E00AF"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065833">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26349917" w:rsidR="00837F4F" w:rsidRPr="00D2449B" w:rsidRDefault="001A7ABF" w:rsidP="00D2449B">
            <w:pPr>
              <w:jc w:val="center"/>
              <w:rPr>
                <w:rFonts w:ascii="Calibri" w:hAnsi="Calibri"/>
                <w:b/>
                <w:szCs w:val="22"/>
              </w:rPr>
            </w:pPr>
            <w:r>
              <w:rPr>
                <w:rFonts w:ascii="Calibri" w:hAnsi="Calibri"/>
                <w:b/>
                <w:szCs w:val="22"/>
              </w:rPr>
              <w:t>LW</w:t>
            </w:r>
          </w:p>
        </w:tc>
        <w:tc>
          <w:tcPr>
            <w:tcW w:w="11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30135965" w:rsidR="00837F4F" w:rsidRPr="00D2449B" w:rsidRDefault="00F732DE" w:rsidP="00D2449B">
            <w:pPr>
              <w:jc w:val="center"/>
              <w:rPr>
                <w:rFonts w:ascii="Calibri" w:hAnsi="Calibri"/>
                <w:b/>
                <w:szCs w:val="22"/>
              </w:rPr>
            </w:pPr>
            <w:r>
              <w:rPr>
                <w:rFonts w:ascii="Calibri" w:hAnsi="Calibri"/>
                <w:b/>
                <w:szCs w:val="22"/>
              </w:rPr>
              <w:t>15/04/24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215B55B" w:rsidR="00837F4F" w:rsidRPr="00D2449B" w:rsidRDefault="0030060D"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715C28A1" w:rsidR="00837F4F" w:rsidRPr="00D2449B" w:rsidRDefault="0030060D" w:rsidP="00D2449B">
            <w:pPr>
              <w:jc w:val="center"/>
              <w:rPr>
                <w:rFonts w:ascii="Calibri" w:hAnsi="Calibri"/>
                <w:b/>
                <w:szCs w:val="22"/>
              </w:rPr>
            </w:pPr>
            <w:r>
              <w:rPr>
                <w:rFonts w:ascii="Calibri" w:hAnsi="Calibri"/>
                <w:b/>
                <w:szCs w:val="22"/>
              </w:rPr>
              <w:t>16/4/24</w:t>
            </w:r>
          </w:p>
        </w:tc>
      </w:tr>
      <w:tr w:rsidR="004A5EA9" w:rsidRPr="00D2449B" w14:paraId="2094A164" w14:textId="77777777" w:rsidTr="00065833">
        <w:trPr>
          <w:jc w:val="center"/>
        </w:trPr>
        <w:tc>
          <w:tcPr>
            <w:tcW w:w="96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06583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78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9E723C2" w:rsidR="004A5EA9" w:rsidRPr="00406EBD" w:rsidRDefault="001A7ABF" w:rsidP="008542DE">
            <w:pPr>
              <w:rPr>
                <w:rFonts w:ascii="Calibri" w:hAnsi="Calibri"/>
                <w:color w:val="FF0000"/>
                <w:szCs w:val="22"/>
              </w:rPr>
            </w:pPr>
            <w:r w:rsidRPr="001A7ABF">
              <w:rPr>
                <w:rFonts w:ascii="Calibri" w:hAnsi="Calibri"/>
                <w:szCs w:val="22"/>
              </w:rPr>
              <w:t>3/2024/0099</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06583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3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6C3103E4" w:rsidR="00824DB6" w:rsidRPr="00C0704D" w:rsidRDefault="00F732DE" w:rsidP="002C6277">
            <w:pPr>
              <w:rPr>
                <w:rFonts w:ascii="Calibri" w:hAnsi="Calibri"/>
                <w:szCs w:val="22"/>
              </w:rPr>
            </w:pPr>
            <w:r>
              <w:rPr>
                <w:rFonts w:ascii="Calibri" w:hAnsi="Calibri"/>
                <w:szCs w:val="22"/>
              </w:rPr>
              <w:t>09/04/24</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2AC1540B" w:rsidR="00824DB6" w:rsidRPr="00C0704D" w:rsidRDefault="001A7ABF" w:rsidP="002C6277">
            <w:pPr>
              <w:rPr>
                <w:rFonts w:ascii="Calibri" w:hAnsi="Calibri"/>
                <w:szCs w:val="22"/>
              </w:rPr>
            </w:pPr>
            <w:r>
              <w:rPr>
                <w:rFonts w:ascii="Calibri" w:hAnsi="Calibri"/>
                <w:szCs w:val="22"/>
              </w:rPr>
              <w:t>12/03/24</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06583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78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49A66A70" w:rsidR="004A5EA9" w:rsidRPr="00250879" w:rsidRDefault="001A7ABF" w:rsidP="00811771">
            <w:pPr>
              <w:rPr>
                <w:rFonts w:ascii="Calibri" w:hAnsi="Calibri"/>
                <w:color w:val="548DD4" w:themeColor="text2" w:themeTint="99"/>
                <w:szCs w:val="22"/>
              </w:rPr>
            </w:pPr>
            <w:r w:rsidRPr="001A7ABF">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065833">
        <w:trPr>
          <w:jc w:val="center"/>
        </w:trPr>
        <w:tc>
          <w:tcPr>
            <w:tcW w:w="601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065833">
        <w:trPr>
          <w:trHeight w:hRule="exact" w:val="170"/>
          <w:jc w:val="center"/>
        </w:trPr>
        <w:tc>
          <w:tcPr>
            <w:tcW w:w="96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0658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7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255EE99" w:rsidR="004A5EA9" w:rsidRPr="001A7ABF" w:rsidRDefault="001A7ABF" w:rsidP="001A7ABF">
            <w:pPr>
              <w:overflowPunct/>
              <w:autoSpaceDE/>
              <w:autoSpaceDN/>
              <w:adjustRightInd/>
              <w:textAlignment w:val="auto"/>
              <w:rPr>
                <w:rFonts w:ascii="Calibri" w:hAnsi="Calibri" w:cs="Calibri"/>
                <w:color w:val="000000"/>
                <w:szCs w:val="22"/>
              </w:rPr>
            </w:pPr>
            <w:r>
              <w:rPr>
                <w:rFonts w:ascii="Calibri" w:hAnsi="Calibri" w:cs="Calibri"/>
                <w:color w:val="000000"/>
                <w:szCs w:val="22"/>
              </w:rPr>
              <w:t>Proposed erection of agricultural workshop and machinery/implement storage building. Resubmission of 3/2023/0542.</w:t>
            </w:r>
          </w:p>
        </w:tc>
      </w:tr>
      <w:tr w:rsidR="002A01CF" w:rsidRPr="00D2449B" w14:paraId="52988241" w14:textId="77777777" w:rsidTr="000658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7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27D11DB2" w:rsidR="002A01CF" w:rsidRPr="002C6277" w:rsidRDefault="001A7ABF" w:rsidP="00A42E82">
            <w:pPr>
              <w:rPr>
                <w:rFonts w:ascii="Calibri" w:hAnsi="Calibri"/>
                <w:szCs w:val="22"/>
              </w:rPr>
            </w:pPr>
            <w:r>
              <w:rPr>
                <w:rFonts w:ascii="Calibri" w:hAnsi="Calibri"/>
                <w:szCs w:val="22"/>
              </w:rPr>
              <w:t xml:space="preserve">Yew Tree Farm, Chipping Road, </w:t>
            </w:r>
            <w:proofErr w:type="spellStart"/>
            <w:r>
              <w:rPr>
                <w:rFonts w:ascii="Calibri" w:hAnsi="Calibri"/>
                <w:szCs w:val="22"/>
              </w:rPr>
              <w:t>Chaigley</w:t>
            </w:r>
            <w:proofErr w:type="spellEnd"/>
            <w:r>
              <w:rPr>
                <w:rFonts w:ascii="Calibri" w:hAnsi="Calibri"/>
                <w:szCs w:val="22"/>
              </w:rPr>
              <w:t xml:space="preserve"> BB7 3LX</w:t>
            </w:r>
          </w:p>
        </w:tc>
      </w:tr>
      <w:tr w:rsidR="00A95D89" w:rsidRPr="00D2449B" w14:paraId="3FB99B2E" w14:textId="77777777" w:rsidTr="00065833">
        <w:trPr>
          <w:trHeight w:hRule="exact" w:val="170"/>
          <w:jc w:val="center"/>
        </w:trPr>
        <w:tc>
          <w:tcPr>
            <w:tcW w:w="96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0658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7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A6B6ADB" w:rsidR="002A01CF" w:rsidRPr="00295A61" w:rsidRDefault="00F732DE">
            <w:pPr>
              <w:rPr>
                <w:rFonts w:ascii="Calibri" w:hAnsi="Calibri"/>
                <w:bCs/>
                <w:szCs w:val="22"/>
              </w:rPr>
            </w:pPr>
            <w:r>
              <w:rPr>
                <w:rFonts w:ascii="Calibri" w:hAnsi="Calibri"/>
                <w:bCs/>
                <w:szCs w:val="22"/>
              </w:rPr>
              <w:t>A consultation response from ABC Parish Council was received 15</w:t>
            </w:r>
            <w:r w:rsidRPr="00F732DE">
              <w:rPr>
                <w:rFonts w:ascii="Calibri" w:hAnsi="Calibri"/>
                <w:bCs/>
                <w:szCs w:val="22"/>
                <w:vertAlign w:val="superscript"/>
              </w:rPr>
              <w:t>th</w:t>
            </w:r>
            <w:r>
              <w:rPr>
                <w:rFonts w:ascii="Calibri" w:hAnsi="Calibri"/>
                <w:bCs/>
                <w:szCs w:val="22"/>
              </w:rPr>
              <w:t xml:space="preserve"> March 2024 stating that the Parish Council support the application which is for an industrial buildings on a working farm and essential for the maintenance and security of farm equipment. </w:t>
            </w:r>
          </w:p>
        </w:tc>
      </w:tr>
      <w:tr w:rsidR="00C618DB" w:rsidRPr="00D2449B" w14:paraId="639E958B" w14:textId="77777777" w:rsidTr="00065833">
        <w:trPr>
          <w:trHeight w:hRule="exact" w:val="170"/>
          <w:jc w:val="center"/>
        </w:trPr>
        <w:tc>
          <w:tcPr>
            <w:tcW w:w="96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0658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7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0658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7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47D1D04C" w:rsidR="002A01CF" w:rsidRPr="001A7ABF" w:rsidRDefault="001A7ABF">
            <w:pPr>
              <w:rPr>
                <w:rFonts w:ascii="Calibri" w:hAnsi="Calibri"/>
                <w:bCs/>
                <w:szCs w:val="22"/>
              </w:rPr>
            </w:pPr>
            <w:r w:rsidRPr="001A7ABF">
              <w:rPr>
                <w:rFonts w:ascii="Calibri" w:hAnsi="Calibri"/>
                <w:bCs/>
                <w:szCs w:val="22"/>
              </w:rPr>
              <w:t>N/A</w:t>
            </w:r>
          </w:p>
        </w:tc>
      </w:tr>
      <w:tr w:rsidR="00C0704D" w:rsidRPr="00D2449B" w14:paraId="62663AAF"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0658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7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E63377F" w:rsidR="00C0704D" w:rsidRPr="00C0704D" w:rsidRDefault="0030060D" w:rsidP="00692B60">
            <w:pPr>
              <w:rPr>
                <w:rFonts w:ascii="Calibri" w:hAnsi="Calibri"/>
                <w:szCs w:val="22"/>
              </w:rPr>
            </w:pPr>
            <w:r>
              <w:rPr>
                <w:rFonts w:ascii="Calibri" w:hAnsi="Calibri"/>
                <w:szCs w:val="22"/>
              </w:rPr>
              <w:t>A committee call-in request was received from Councillor Alcock in the event that officers are minded to refuse the application stating that this is identical to a nearby building and cannot be seen by anyone outside the property.</w:t>
            </w:r>
          </w:p>
        </w:tc>
      </w:tr>
      <w:tr w:rsidR="00C0704D" w:rsidRPr="00D2449B" w14:paraId="1CDFA4C3" w14:textId="77777777" w:rsidTr="00065833">
        <w:trPr>
          <w:trHeight w:hRule="exact" w:val="170"/>
          <w:jc w:val="center"/>
        </w:trPr>
        <w:tc>
          <w:tcPr>
            <w:tcW w:w="96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13AB6DA5" w14:textId="77777777" w:rsidR="00406EBD" w:rsidRPr="00C618DB" w:rsidRDefault="00406EBD" w:rsidP="00406EBD">
            <w:pPr>
              <w:pStyle w:val="PLANNING"/>
              <w:rPr>
                <w:rFonts w:ascii="Calibri" w:hAnsi="Calibri"/>
                <w:szCs w:val="22"/>
              </w:rPr>
            </w:pPr>
            <w:r w:rsidRPr="00C618DB">
              <w:rPr>
                <w:rFonts w:ascii="Calibri" w:hAnsi="Calibri"/>
                <w:szCs w:val="22"/>
              </w:rPr>
              <w:t>Key Statement DS1</w:t>
            </w:r>
            <w:r>
              <w:rPr>
                <w:rFonts w:ascii="Calibri" w:hAnsi="Calibri"/>
                <w:szCs w:val="22"/>
              </w:rPr>
              <w:t>:</w:t>
            </w:r>
            <w:r>
              <w:rPr>
                <w:rFonts w:ascii="Calibri" w:hAnsi="Calibri"/>
                <w:szCs w:val="22"/>
              </w:rPr>
              <w:tab/>
            </w:r>
            <w:r w:rsidRPr="00C618DB">
              <w:rPr>
                <w:rFonts w:ascii="Calibri" w:hAnsi="Calibri"/>
                <w:szCs w:val="22"/>
              </w:rPr>
              <w:t>Development Strategy</w:t>
            </w:r>
          </w:p>
          <w:p w14:paraId="329A1674" w14:textId="77777777" w:rsidR="00406EBD" w:rsidRDefault="00406EBD" w:rsidP="00406EBD">
            <w:pPr>
              <w:pStyle w:val="PLANNING"/>
              <w:rPr>
                <w:rFonts w:ascii="Calibri" w:hAnsi="Calibri"/>
                <w:szCs w:val="22"/>
              </w:rPr>
            </w:pPr>
            <w:r w:rsidRPr="00C618DB">
              <w:rPr>
                <w:rFonts w:ascii="Calibri" w:hAnsi="Calibri"/>
                <w:szCs w:val="22"/>
              </w:rPr>
              <w:t>Key Statement DS2</w:t>
            </w:r>
            <w:r>
              <w:rPr>
                <w:rFonts w:ascii="Calibri" w:hAnsi="Calibri"/>
                <w:szCs w:val="22"/>
              </w:rPr>
              <w:t xml:space="preserve">: </w:t>
            </w:r>
            <w:r>
              <w:rPr>
                <w:rFonts w:ascii="Calibri" w:hAnsi="Calibri"/>
                <w:szCs w:val="22"/>
              </w:rPr>
              <w:tab/>
            </w:r>
            <w:r w:rsidRPr="00C618DB">
              <w:rPr>
                <w:rFonts w:ascii="Calibri" w:hAnsi="Calibri"/>
                <w:szCs w:val="22"/>
              </w:rPr>
              <w:t>Sustainable Development</w:t>
            </w:r>
          </w:p>
          <w:p w14:paraId="57321A7D" w14:textId="77777777" w:rsidR="00406EBD" w:rsidRDefault="00406EBD" w:rsidP="00406EBD">
            <w:pPr>
              <w:pStyle w:val="PLANNING"/>
              <w:rPr>
                <w:rFonts w:ascii="Calibri" w:hAnsi="Calibri"/>
                <w:szCs w:val="22"/>
              </w:rPr>
            </w:pPr>
            <w:r>
              <w:rPr>
                <w:rFonts w:ascii="Calibri" w:hAnsi="Calibri"/>
                <w:szCs w:val="22"/>
              </w:rPr>
              <w:t>Key Statement EN2:</w:t>
            </w:r>
            <w:r>
              <w:rPr>
                <w:rFonts w:ascii="Calibri" w:hAnsi="Calibri"/>
                <w:szCs w:val="22"/>
              </w:rPr>
              <w:tab/>
              <w:t>Landscape</w:t>
            </w:r>
          </w:p>
          <w:p w14:paraId="635BE509" w14:textId="77777777" w:rsidR="00406EBD" w:rsidRDefault="00406EBD" w:rsidP="00406EBD">
            <w:pPr>
              <w:pStyle w:val="PLANNING"/>
              <w:rPr>
                <w:rFonts w:ascii="Calibri" w:hAnsi="Calibri"/>
                <w:szCs w:val="22"/>
              </w:rPr>
            </w:pPr>
            <w:r>
              <w:rPr>
                <w:rFonts w:ascii="Calibri" w:hAnsi="Calibri"/>
                <w:szCs w:val="22"/>
              </w:rPr>
              <w:t>Key Statement EC1:</w:t>
            </w:r>
            <w:r>
              <w:rPr>
                <w:rFonts w:ascii="Calibri" w:hAnsi="Calibri"/>
                <w:szCs w:val="22"/>
              </w:rPr>
              <w:tab/>
              <w:t>Business and Employment Development</w:t>
            </w:r>
          </w:p>
          <w:p w14:paraId="45244ECA" w14:textId="77777777" w:rsidR="00406EBD" w:rsidRPr="00C618DB" w:rsidRDefault="00406EBD" w:rsidP="00406EBD">
            <w:pPr>
              <w:pStyle w:val="PLANNING"/>
              <w:rPr>
                <w:rFonts w:ascii="Calibri" w:hAnsi="Calibri"/>
                <w:szCs w:val="22"/>
              </w:rPr>
            </w:pPr>
          </w:p>
          <w:p w14:paraId="1CEF8675" w14:textId="77777777" w:rsidR="00406EBD" w:rsidRPr="00C618DB" w:rsidRDefault="00406EBD" w:rsidP="00406EBD">
            <w:pPr>
              <w:pStyle w:val="PLANNING"/>
              <w:rPr>
                <w:rFonts w:ascii="Calibri" w:hAnsi="Calibri"/>
                <w:szCs w:val="22"/>
              </w:rPr>
            </w:pPr>
            <w:r w:rsidRPr="00C618DB">
              <w:rPr>
                <w:rFonts w:ascii="Calibri" w:hAnsi="Calibri"/>
                <w:szCs w:val="22"/>
              </w:rPr>
              <w:t>Policy DMG1</w:t>
            </w:r>
            <w:r>
              <w:rPr>
                <w:rFonts w:ascii="Calibri" w:hAnsi="Calibri"/>
                <w:szCs w:val="22"/>
              </w:rPr>
              <w:t>:</w:t>
            </w:r>
            <w:r>
              <w:rPr>
                <w:rFonts w:ascii="Calibri" w:hAnsi="Calibri"/>
                <w:szCs w:val="22"/>
              </w:rPr>
              <w:tab/>
            </w:r>
            <w:r w:rsidRPr="00C618DB">
              <w:rPr>
                <w:rFonts w:ascii="Calibri" w:hAnsi="Calibri"/>
                <w:szCs w:val="22"/>
              </w:rPr>
              <w:t>General Considerations</w:t>
            </w:r>
          </w:p>
          <w:p w14:paraId="2C05FFA3" w14:textId="77777777" w:rsidR="00406EBD" w:rsidRPr="00C618DB" w:rsidRDefault="00406EBD" w:rsidP="00406EBD">
            <w:pPr>
              <w:pStyle w:val="PLANNING"/>
              <w:rPr>
                <w:rFonts w:ascii="Calibri" w:hAnsi="Calibri"/>
                <w:szCs w:val="22"/>
              </w:rPr>
            </w:pPr>
            <w:r w:rsidRPr="00C618DB">
              <w:rPr>
                <w:rFonts w:ascii="Calibri" w:hAnsi="Calibri"/>
                <w:szCs w:val="22"/>
              </w:rPr>
              <w:t>Policy DMG2</w:t>
            </w:r>
            <w:r>
              <w:rPr>
                <w:rFonts w:ascii="Calibri" w:hAnsi="Calibri"/>
                <w:szCs w:val="22"/>
              </w:rPr>
              <w:t>:</w:t>
            </w:r>
            <w:r>
              <w:rPr>
                <w:rFonts w:ascii="Calibri" w:hAnsi="Calibri"/>
                <w:szCs w:val="22"/>
              </w:rPr>
              <w:tab/>
            </w:r>
            <w:r w:rsidRPr="00C618DB">
              <w:rPr>
                <w:rFonts w:ascii="Calibri" w:hAnsi="Calibri"/>
                <w:szCs w:val="22"/>
              </w:rPr>
              <w:t>Strategic Considerations</w:t>
            </w:r>
          </w:p>
          <w:p w14:paraId="281E7041" w14:textId="77777777" w:rsidR="00406EBD" w:rsidRDefault="00406EBD" w:rsidP="00406EBD">
            <w:pPr>
              <w:pStyle w:val="PLANNING"/>
              <w:rPr>
                <w:rFonts w:ascii="Calibri" w:hAnsi="Calibri"/>
                <w:szCs w:val="22"/>
              </w:rPr>
            </w:pPr>
            <w:r w:rsidRPr="00C618DB">
              <w:rPr>
                <w:rFonts w:ascii="Calibri" w:hAnsi="Calibri"/>
                <w:szCs w:val="22"/>
              </w:rPr>
              <w:t>Policy DME2</w:t>
            </w:r>
            <w:r>
              <w:rPr>
                <w:rFonts w:ascii="Calibri" w:hAnsi="Calibri"/>
                <w:szCs w:val="22"/>
              </w:rPr>
              <w:t>:</w:t>
            </w:r>
            <w:r>
              <w:rPr>
                <w:rFonts w:ascii="Calibri" w:hAnsi="Calibri"/>
                <w:szCs w:val="22"/>
              </w:rPr>
              <w:tab/>
            </w:r>
            <w:r w:rsidRPr="00C618DB">
              <w:rPr>
                <w:rFonts w:ascii="Calibri" w:hAnsi="Calibri"/>
                <w:szCs w:val="22"/>
              </w:rPr>
              <w:t>Landscape &amp; Townscape Protection</w:t>
            </w:r>
          </w:p>
          <w:p w14:paraId="1E40D07A" w14:textId="77777777" w:rsidR="00406EBD" w:rsidRDefault="00406EBD" w:rsidP="00406EBD">
            <w:pPr>
              <w:pStyle w:val="PLANNING"/>
              <w:rPr>
                <w:rFonts w:ascii="Calibri" w:hAnsi="Calibri"/>
                <w:szCs w:val="22"/>
              </w:rPr>
            </w:pPr>
          </w:p>
          <w:p w14:paraId="5B4F89B1" w14:textId="77777777" w:rsidR="00406EBD" w:rsidRDefault="00406EBD" w:rsidP="00406EBD">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0E12E4A3" w14:textId="4D22C37D" w:rsidR="0046548C" w:rsidRPr="007D0CEC" w:rsidRDefault="0046548C" w:rsidP="00C0704D">
            <w:pPr>
              <w:pStyle w:val="PLANNING"/>
              <w:rPr>
                <w:rFonts w:ascii="Calibri" w:hAnsi="Calibri"/>
                <w:szCs w:val="22"/>
              </w:rPr>
            </w:pPr>
          </w:p>
          <w:p w14:paraId="1C5DCD3C" w14:textId="62CE5DB5" w:rsidR="0046548C" w:rsidRDefault="001A7ABF" w:rsidP="00C0704D">
            <w:pPr>
              <w:pStyle w:val="PLANNING"/>
              <w:rPr>
                <w:rFonts w:ascii="Calibri" w:hAnsi="Calibri"/>
                <w:szCs w:val="22"/>
              </w:rPr>
            </w:pPr>
            <w:r>
              <w:rPr>
                <w:rFonts w:ascii="Calibri" w:hAnsi="Calibri"/>
                <w:szCs w:val="22"/>
              </w:rPr>
              <w:t xml:space="preserve">3/2023/0542: Proposed erection of agricultural workshop and machinery/ implement storage building (Refused). </w:t>
            </w:r>
          </w:p>
          <w:p w14:paraId="3E4599BB" w14:textId="77777777" w:rsidR="001A7ABF" w:rsidRDefault="001A7ABF" w:rsidP="00C0704D">
            <w:pPr>
              <w:pStyle w:val="PLANNING"/>
              <w:rPr>
                <w:rFonts w:ascii="Calibri" w:hAnsi="Calibri"/>
                <w:szCs w:val="22"/>
              </w:rPr>
            </w:pPr>
          </w:p>
          <w:p w14:paraId="74E34230" w14:textId="7CBBD586" w:rsidR="001A7ABF" w:rsidRDefault="001A7ABF" w:rsidP="00C0704D">
            <w:pPr>
              <w:pStyle w:val="PLANNING"/>
              <w:rPr>
                <w:rFonts w:ascii="Calibri" w:hAnsi="Calibri"/>
                <w:szCs w:val="22"/>
              </w:rPr>
            </w:pPr>
            <w:r>
              <w:rPr>
                <w:rFonts w:ascii="Calibri" w:hAnsi="Calibri"/>
                <w:szCs w:val="22"/>
              </w:rPr>
              <w:t xml:space="preserve">3/2015/0681: Erection of milking parlour and dairy building (Approved). </w:t>
            </w:r>
          </w:p>
          <w:p w14:paraId="651A19F4" w14:textId="77777777" w:rsidR="001A7ABF" w:rsidRDefault="001A7ABF" w:rsidP="00C0704D">
            <w:pPr>
              <w:pStyle w:val="PLANNING"/>
              <w:rPr>
                <w:rFonts w:ascii="Calibri" w:hAnsi="Calibri"/>
                <w:szCs w:val="22"/>
              </w:rPr>
            </w:pPr>
          </w:p>
          <w:p w14:paraId="224ADA9F" w14:textId="65E83E59" w:rsidR="001A7ABF" w:rsidRDefault="001A7ABF" w:rsidP="00C0704D">
            <w:pPr>
              <w:pStyle w:val="PLANNING"/>
              <w:rPr>
                <w:rFonts w:ascii="Calibri" w:hAnsi="Calibri"/>
                <w:szCs w:val="22"/>
              </w:rPr>
            </w:pPr>
            <w:r>
              <w:rPr>
                <w:rFonts w:ascii="Calibri" w:hAnsi="Calibri"/>
                <w:szCs w:val="22"/>
              </w:rPr>
              <w:t xml:space="preserve">3/2012/0894: Phase 2 of the two-phase application for a new covered manure store (Approved). </w:t>
            </w:r>
          </w:p>
          <w:p w14:paraId="13AA1294" w14:textId="77777777" w:rsidR="001A7ABF" w:rsidRDefault="001A7ABF" w:rsidP="00C0704D">
            <w:pPr>
              <w:pStyle w:val="PLANNING"/>
              <w:rPr>
                <w:rFonts w:ascii="Calibri" w:hAnsi="Calibri"/>
                <w:szCs w:val="22"/>
              </w:rPr>
            </w:pPr>
          </w:p>
          <w:p w14:paraId="14BA3B83" w14:textId="7A22BAC4" w:rsidR="001A7ABF" w:rsidRPr="001A7ABF" w:rsidRDefault="001A7ABF" w:rsidP="00C0704D">
            <w:pPr>
              <w:pStyle w:val="PLANNING"/>
              <w:rPr>
                <w:rFonts w:ascii="Calibri" w:hAnsi="Calibri"/>
                <w:szCs w:val="22"/>
              </w:rPr>
            </w:pPr>
            <w:r>
              <w:rPr>
                <w:rFonts w:ascii="Calibri" w:hAnsi="Calibri"/>
                <w:szCs w:val="22"/>
              </w:rPr>
              <w:t xml:space="preserve">3/2012/0893: Phase 1 of a two-phase new covered manure store (Approved). </w:t>
            </w:r>
          </w:p>
          <w:p w14:paraId="28289875" w14:textId="77777777" w:rsidR="00406EBD" w:rsidRDefault="00406EBD" w:rsidP="00C0704D">
            <w:pPr>
              <w:pStyle w:val="PLANNING"/>
              <w:rPr>
                <w:rFonts w:ascii="Calibri" w:hAnsi="Calibri"/>
                <w:b/>
                <w:bCs/>
                <w:szCs w:val="22"/>
              </w:rPr>
            </w:pPr>
          </w:p>
          <w:p w14:paraId="17147D50" w14:textId="230BFDE5" w:rsidR="00406EBD" w:rsidRPr="00D2449B" w:rsidRDefault="00406EBD" w:rsidP="00C0704D">
            <w:pPr>
              <w:pStyle w:val="PLANNING"/>
              <w:rPr>
                <w:rFonts w:ascii="Calibri" w:hAnsi="Calibri"/>
                <w:b/>
                <w:bCs/>
                <w:szCs w:val="22"/>
              </w:rPr>
            </w:pPr>
          </w:p>
        </w:tc>
      </w:tr>
      <w:tr w:rsidR="00C0704D" w:rsidRPr="00D2449B" w14:paraId="6AAC3B0A" w14:textId="77777777" w:rsidTr="00065833">
        <w:trPr>
          <w:trHeight w:hRule="exact" w:val="170"/>
          <w:jc w:val="center"/>
        </w:trPr>
        <w:tc>
          <w:tcPr>
            <w:tcW w:w="96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5AED1C12" w14:textId="77777777" w:rsidR="007D0CEC" w:rsidRDefault="007D0CEC" w:rsidP="00406EBD">
            <w:pPr>
              <w:pStyle w:val="Header"/>
              <w:tabs>
                <w:tab w:val="clear" w:pos="4153"/>
                <w:tab w:val="clear" w:pos="8306"/>
              </w:tabs>
              <w:contextualSpacing/>
              <w:jc w:val="both"/>
              <w:rPr>
                <w:rFonts w:ascii="Calibri" w:hAnsi="Calibri"/>
                <w:bCs/>
                <w:szCs w:val="22"/>
              </w:rPr>
            </w:pPr>
          </w:p>
          <w:p w14:paraId="0D3BE250" w14:textId="52A572D9" w:rsidR="00C11EAF" w:rsidRDefault="001A7ABF" w:rsidP="001A7ABF">
            <w:pPr>
              <w:pStyle w:val="Header"/>
              <w:tabs>
                <w:tab w:val="left" w:pos="720"/>
              </w:tabs>
              <w:jc w:val="both"/>
              <w:rPr>
                <w:rFonts w:ascii="Calibri" w:hAnsi="Calibri"/>
                <w:bCs/>
                <w:szCs w:val="22"/>
              </w:rPr>
            </w:pPr>
            <w:r>
              <w:rPr>
                <w:rFonts w:ascii="Calibri" w:hAnsi="Calibri"/>
                <w:bCs/>
                <w:szCs w:val="22"/>
              </w:rPr>
              <w:t xml:space="preserve">The site is comprised of an agricultural complex at Yew Tree Farm, inclusive of a number of mixed agricultural buildings </w:t>
            </w:r>
            <w:r w:rsidR="00C11EAF">
              <w:rPr>
                <w:rFonts w:ascii="Calibri" w:hAnsi="Calibri"/>
                <w:bCs/>
                <w:szCs w:val="22"/>
              </w:rPr>
              <w:t>accessed off</w:t>
            </w:r>
            <w:r>
              <w:rPr>
                <w:rFonts w:ascii="Calibri" w:hAnsi="Calibri"/>
                <w:bCs/>
                <w:szCs w:val="22"/>
              </w:rPr>
              <w:t xml:space="preserve"> Chipping Road. The site lies </w:t>
            </w:r>
            <w:r w:rsidR="00C11EAF">
              <w:rPr>
                <w:rFonts w:ascii="Calibri" w:hAnsi="Calibri"/>
                <w:bCs/>
                <w:szCs w:val="22"/>
              </w:rPr>
              <w:t>within</w:t>
            </w:r>
            <w:r>
              <w:rPr>
                <w:rFonts w:ascii="Calibri" w:hAnsi="Calibri"/>
                <w:bCs/>
                <w:szCs w:val="22"/>
              </w:rPr>
              <w:t xml:space="preserve"> </w:t>
            </w:r>
            <w:proofErr w:type="spellStart"/>
            <w:r>
              <w:rPr>
                <w:rFonts w:ascii="Calibri" w:hAnsi="Calibri"/>
                <w:bCs/>
                <w:szCs w:val="22"/>
              </w:rPr>
              <w:t>Chaigley</w:t>
            </w:r>
            <w:proofErr w:type="spellEnd"/>
            <w:r>
              <w:rPr>
                <w:rFonts w:ascii="Calibri" w:hAnsi="Calibri"/>
                <w:bCs/>
                <w:szCs w:val="22"/>
              </w:rPr>
              <w:t xml:space="preserve">, </w:t>
            </w:r>
            <w:r w:rsidR="00C11EAF">
              <w:rPr>
                <w:rFonts w:ascii="Calibri" w:hAnsi="Calibri"/>
                <w:bCs/>
                <w:szCs w:val="22"/>
              </w:rPr>
              <w:t xml:space="preserve">and the surrounding area is predominantly rural in nature. </w:t>
            </w:r>
          </w:p>
          <w:p w14:paraId="62370E9F" w14:textId="195E3E33" w:rsidR="00406EBD" w:rsidRPr="006C2BFA" w:rsidRDefault="00406EBD" w:rsidP="00C11EAF">
            <w:pPr>
              <w:pStyle w:val="Header"/>
              <w:tabs>
                <w:tab w:val="left" w:pos="720"/>
              </w:tabs>
              <w:jc w:val="both"/>
              <w:rPr>
                <w:rFonts w:ascii="Calibri" w:hAnsi="Calibri"/>
                <w:bCs/>
                <w:szCs w:val="22"/>
              </w:rPr>
            </w:pPr>
          </w:p>
        </w:tc>
      </w:tr>
      <w:tr w:rsidR="00C0704D" w:rsidRPr="00D2449B" w14:paraId="408C6380"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15325B60" w14:textId="2D88013E" w:rsidR="00C11EAF" w:rsidRDefault="00C11EAF" w:rsidP="00440CB6">
            <w:pPr>
              <w:pStyle w:val="Header"/>
              <w:tabs>
                <w:tab w:val="clear" w:pos="4153"/>
                <w:tab w:val="clear" w:pos="8306"/>
              </w:tabs>
              <w:jc w:val="both"/>
              <w:rPr>
                <w:rFonts w:ascii="Calibri" w:hAnsi="Calibri"/>
                <w:bCs/>
                <w:szCs w:val="22"/>
              </w:rPr>
            </w:pPr>
            <w:r>
              <w:rPr>
                <w:rFonts w:ascii="Calibri" w:hAnsi="Calibri"/>
                <w:bCs/>
                <w:szCs w:val="22"/>
              </w:rPr>
              <w:t xml:space="preserve">Consent is sought for the construction of an agricultural storage building to be utilised as a workshop and machinery/ implement store. </w:t>
            </w:r>
          </w:p>
          <w:p w14:paraId="23347C43" w14:textId="77777777" w:rsidR="00C11EAF" w:rsidRDefault="00C11EAF" w:rsidP="00440CB6">
            <w:pPr>
              <w:pStyle w:val="Header"/>
              <w:tabs>
                <w:tab w:val="clear" w:pos="4153"/>
                <w:tab w:val="clear" w:pos="8306"/>
              </w:tabs>
              <w:jc w:val="both"/>
              <w:rPr>
                <w:rFonts w:ascii="Calibri" w:hAnsi="Calibri"/>
                <w:bCs/>
                <w:szCs w:val="22"/>
              </w:rPr>
            </w:pPr>
          </w:p>
          <w:p w14:paraId="5621D216" w14:textId="0FB83ADC" w:rsidR="00B54875" w:rsidRDefault="00C11EAF" w:rsidP="00440CB6">
            <w:pPr>
              <w:pStyle w:val="Header"/>
              <w:tabs>
                <w:tab w:val="clear" w:pos="4153"/>
                <w:tab w:val="clear" w:pos="8306"/>
              </w:tabs>
              <w:jc w:val="both"/>
              <w:rPr>
                <w:rFonts w:ascii="Calibri" w:hAnsi="Calibri"/>
                <w:bCs/>
                <w:szCs w:val="22"/>
              </w:rPr>
            </w:pPr>
            <w:r>
              <w:rPr>
                <w:rFonts w:ascii="Calibri" w:hAnsi="Calibri"/>
                <w:bCs/>
                <w:szCs w:val="22"/>
              </w:rPr>
              <w:t>The proposed building would have a width and depth of 42.7m and 10.7m respectively and</w:t>
            </w:r>
            <w:r w:rsidR="00B54875">
              <w:rPr>
                <w:rFonts w:ascii="Calibri" w:hAnsi="Calibri"/>
                <w:bCs/>
                <w:szCs w:val="22"/>
              </w:rPr>
              <w:t xml:space="preserve"> incorporate a pitched roof form measuring 4.8m to the eaves and 7.1m to the ridge. To the front (south-easterly) elevation of the building, 3no. uPVC windows would be included, along with 2no. roller shutter doors and 2no. open fronted bays. </w:t>
            </w:r>
          </w:p>
          <w:p w14:paraId="6233A7BC" w14:textId="77777777" w:rsidR="00B54875" w:rsidRDefault="00B54875" w:rsidP="00440CB6">
            <w:pPr>
              <w:pStyle w:val="Header"/>
              <w:tabs>
                <w:tab w:val="clear" w:pos="4153"/>
                <w:tab w:val="clear" w:pos="8306"/>
              </w:tabs>
              <w:jc w:val="both"/>
              <w:rPr>
                <w:rFonts w:ascii="Calibri" w:hAnsi="Calibri"/>
                <w:bCs/>
                <w:szCs w:val="22"/>
              </w:rPr>
            </w:pPr>
          </w:p>
          <w:p w14:paraId="678AE84E" w14:textId="0F54C42E" w:rsidR="00B54875" w:rsidRDefault="00B54875" w:rsidP="00440CB6">
            <w:pPr>
              <w:pStyle w:val="Header"/>
              <w:tabs>
                <w:tab w:val="clear" w:pos="4153"/>
                <w:tab w:val="clear" w:pos="8306"/>
              </w:tabs>
              <w:jc w:val="both"/>
              <w:rPr>
                <w:rFonts w:ascii="Calibri" w:hAnsi="Calibri"/>
                <w:bCs/>
                <w:szCs w:val="22"/>
              </w:rPr>
            </w:pPr>
            <w:r>
              <w:rPr>
                <w:rFonts w:ascii="Calibri" w:hAnsi="Calibri"/>
                <w:bCs/>
                <w:szCs w:val="22"/>
              </w:rPr>
              <w:t xml:space="preserve">In regard to materiality, the proposal would be constructed from stone coloured concrete block to the lower elevations and timber boarding to the higher elevations. Slate blue box profile cladding would be featured to the roof. </w:t>
            </w:r>
          </w:p>
          <w:p w14:paraId="1B20488F" w14:textId="77777777" w:rsidR="00C0704D" w:rsidRPr="00D54E67" w:rsidRDefault="00C0704D" w:rsidP="00B54875">
            <w:pPr>
              <w:pStyle w:val="Header"/>
              <w:tabs>
                <w:tab w:val="clear" w:pos="4153"/>
                <w:tab w:val="clear" w:pos="8306"/>
              </w:tabs>
              <w:jc w:val="both"/>
              <w:rPr>
                <w:rFonts w:ascii="Calibri" w:hAnsi="Calibri"/>
                <w:szCs w:val="22"/>
              </w:rPr>
            </w:pPr>
          </w:p>
        </w:tc>
      </w:tr>
      <w:tr w:rsidR="00406EBD" w:rsidRPr="00D2449B" w14:paraId="42CE6274"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BB6852E" w14:textId="46D0E330" w:rsidR="00406EBD" w:rsidRDefault="00406EBD" w:rsidP="00440CB6">
            <w:pPr>
              <w:pStyle w:val="Header"/>
              <w:tabs>
                <w:tab w:val="clear" w:pos="4153"/>
                <w:tab w:val="clear" w:pos="8306"/>
              </w:tabs>
              <w:jc w:val="both"/>
              <w:rPr>
                <w:rFonts w:ascii="Calibri" w:hAnsi="Calibri"/>
                <w:b/>
                <w:szCs w:val="22"/>
              </w:rPr>
            </w:pPr>
            <w:r>
              <w:rPr>
                <w:rFonts w:ascii="Calibri" w:hAnsi="Calibri"/>
                <w:b/>
                <w:szCs w:val="22"/>
              </w:rPr>
              <w:t xml:space="preserve">Principle of Development: </w:t>
            </w:r>
          </w:p>
          <w:p w14:paraId="6DA25EBA" w14:textId="77777777" w:rsidR="00406EBD" w:rsidRDefault="00406EBD" w:rsidP="00440CB6">
            <w:pPr>
              <w:pStyle w:val="Header"/>
              <w:tabs>
                <w:tab w:val="clear" w:pos="4153"/>
                <w:tab w:val="clear" w:pos="8306"/>
              </w:tabs>
              <w:jc w:val="both"/>
              <w:rPr>
                <w:rFonts w:ascii="Calibri" w:hAnsi="Calibri"/>
                <w:b/>
                <w:szCs w:val="22"/>
              </w:rPr>
            </w:pPr>
          </w:p>
          <w:p w14:paraId="0D93142A" w14:textId="7A3E7B22" w:rsidR="00C11EAF" w:rsidRDefault="00C11EAF" w:rsidP="00C11EAF">
            <w:pPr>
              <w:pStyle w:val="Header"/>
              <w:tabs>
                <w:tab w:val="left" w:pos="720"/>
              </w:tabs>
              <w:jc w:val="both"/>
              <w:rPr>
                <w:rFonts w:ascii="Calibri" w:hAnsi="Calibri"/>
                <w:bCs/>
                <w:i/>
                <w:iCs/>
                <w:szCs w:val="22"/>
              </w:rPr>
            </w:pPr>
            <w:r>
              <w:rPr>
                <w:rFonts w:ascii="Calibri" w:hAnsi="Calibri"/>
                <w:bCs/>
                <w:szCs w:val="22"/>
              </w:rPr>
              <w:t xml:space="preserve">The principle of development is required to be secured against Key Statement EC1 and Policy DMG2 of the Ribble Valley Core Strategy. EC1 states that developments that contribute to the strengthening of the wider rural economies will be supported in principle, with DMG2 stating that development outside the defined settlement areas must meet one of a number of considerations; the relevant one in this case being </w:t>
            </w:r>
            <w:r>
              <w:rPr>
                <w:rFonts w:ascii="Calibri" w:hAnsi="Calibri"/>
                <w:bCs/>
                <w:i/>
                <w:iCs/>
                <w:szCs w:val="22"/>
              </w:rPr>
              <w:t>‘the development is needed for the purposes of forestry or agriculture’.</w:t>
            </w:r>
          </w:p>
          <w:p w14:paraId="5E794BB0" w14:textId="77777777" w:rsidR="00C11EAF" w:rsidRDefault="00C11EAF" w:rsidP="00C11EAF">
            <w:pPr>
              <w:pStyle w:val="Header"/>
              <w:tabs>
                <w:tab w:val="left" w:pos="720"/>
              </w:tabs>
              <w:jc w:val="both"/>
              <w:rPr>
                <w:rFonts w:ascii="Calibri" w:hAnsi="Calibri"/>
                <w:bCs/>
                <w:i/>
                <w:iCs/>
                <w:szCs w:val="22"/>
              </w:rPr>
            </w:pPr>
          </w:p>
          <w:p w14:paraId="6E597883" w14:textId="77777777" w:rsidR="00C11EAF" w:rsidRDefault="00C11EAF" w:rsidP="00C11EAF">
            <w:pPr>
              <w:pStyle w:val="Header"/>
              <w:tabs>
                <w:tab w:val="left" w:pos="720"/>
              </w:tabs>
              <w:jc w:val="both"/>
              <w:rPr>
                <w:rFonts w:ascii="Calibri" w:hAnsi="Calibri"/>
                <w:bCs/>
                <w:szCs w:val="22"/>
              </w:rPr>
            </w:pPr>
            <w:r>
              <w:rPr>
                <w:rFonts w:ascii="Calibri" w:hAnsi="Calibri"/>
                <w:bCs/>
                <w:szCs w:val="22"/>
              </w:rPr>
              <w:t xml:space="preserve">In this sense, the proposal seeks to strengthen the operation of an existing agricultural enterprise through providing a building to allow both open and enclosed/secure storage for machinery and implements as well as a workshop to aid in the efficient operation of the complex. Furthermore, following assessment of the information submitted it is evident that the applicant operates a significant agricultural enterprise. </w:t>
            </w:r>
          </w:p>
          <w:p w14:paraId="7E9E814C" w14:textId="77777777" w:rsidR="00C11EAF" w:rsidRDefault="00C11EAF" w:rsidP="00C11EAF">
            <w:pPr>
              <w:pStyle w:val="Header"/>
              <w:tabs>
                <w:tab w:val="left" w:pos="720"/>
              </w:tabs>
              <w:jc w:val="both"/>
              <w:rPr>
                <w:rFonts w:ascii="Calibri" w:hAnsi="Calibri"/>
                <w:bCs/>
                <w:szCs w:val="22"/>
              </w:rPr>
            </w:pPr>
          </w:p>
          <w:p w14:paraId="41C04DFF" w14:textId="1CD4E4E6" w:rsidR="00C11EAF" w:rsidRDefault="00C11EAF" w:rsidP="00C11EAF">
            <w:pPr>
              <w:pStyle w:val="Header"/>
              <w:tabs>
                <w:tab w:val="left" w:pos="720"/>
              </w:tabs>
              <w:jc w:val="both"/>
              <w:rPr>
                <w:rFonts w:ascii="Calibri" w:hAnsi="Calibri"/>
                <w:bCs/>
                <w:szCs w:val="22"/>
              </w:rPr>
            </w:pPr>
            <w:r>
              <w:rPr>
                <w:rFonts w:ascii="Calibri" w:hAnsi="Calibri"/>
                <w:bCs/>
                <w:szCs w:val="22"/>
              </w:rPr>
              <w:t xml:space="preserve">As such, the proposal is considered to comply with EC1 and DMG2 and is therefore acceptable in principle subject to an assessment of the material planning considerations. </w:t>
            </w:r>
          </w:p>
          <w:p w14:paraId="2D0563B2" w14:textId="1CAFDD52" w:rsidR="00406EBD" w:rsidRDefault="00406EBD" w:rsidP="00C11EAF">
            <w:pPr>
              <w:pStyle w:val="Header"/>
              <w:tabs>
                <w:tab w:val="clear" w:pos="4153"/>
                <w:tab w:val="clear" w:pos="8306"/>
              </w:tabs>
              <w:jc w:val="both"/>
              <w:rPr>
                <w:rFonts w:ascii="Calibri" w:hAnsi="Calibri"/>
                <w:b/>
                <w:szCs w:val="22"/>
              </w:rPr>
            </w:pPr>
          </w:p>
        </w:tc>
      </w:tr>
      <w:tr w:rsidR="00C0704D" w:rsidRPr="00D2449B" w14:paraId="617768FF"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1A7ABF">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1A7ABF">
            <w:pPr>
              <w:pStyle w:val="Header"/>
              <w:tabs>
                <w:tab w:val="clear" w:pos="4153"/>
                <w:tab w:val="clear" w:pos="8306"/>
              </w:tabs>
              <w:contextualSpacing/>
              <w:jc w:val="both"/>
              <w:rPr>
                <w:rFonts w:ascii="Calibri" w:hAnsi="Calibri"/>
                <w:b/>
                <w:szCs w:val="22"/>
              </w:rPr>
            </w:pPr>
          </w:p>
          <w:p w14:paraId="7F922F48" w14:textId="248BA2C6" w:rsidR="00065833" w:rsidRDefault="001A7ABF" w:rsidP="001A7ABF">
            <w:pPr>
              <w:contextualSpacing/>
              <w:jc w:val="both"/>
              <w:rPr>
                <w:rFonts w:ascii="Calibri" w:hAnsi="Calibri"/>
                <w:szCs w:val="22"/>
              </w:rPr>
            </w:pPr>
            <w:r>
              <w:rPr>
                <w:rFonts w:ascii="Calibri" w:hAnsi="Calibri"/>
                <w:szCs w:val="22"/>
              </w:rPr>
              <w:t>The proposal relates to the provision of an additional agricultural building amidst a number of existing sizeable agricultural buildings, on an agricultural holding. The nearest dwelling is the associated farmhouse which is occupied by the applicant/farmer – the closest dwelling aside from this is some 400m to the south-east of the application site and as such it is not considered that the proposed development will have any impact on the</w:t>
            </w:r>
            <w:r w:rsidR="00C11EAF">
              <w:rPr>
                <w:rFonts w:ascii="Calibri" w:hAnsi="Calibri"/>
                <w:szCs w:val="22"/>
              </w:rPr>
              <w:t xml:space="preserve"> existing</w:t>
            </w:r>
            <w:r>
              <w:rPr>
                <w:rFonts w:ascii="Calibri" w:hAnsi="Calibri"/>
                <w:szCs w:val="22"/>
              </w:rPr>
              <w:t xml:space="preserve"> amenity</w:t>
            </w:r>
            <w:r w:rsidR="00C11EAF">
              <w:rPr>
                <w:rFonts w:ascii="Calibri" w:hAnsi="Calibri"/>
                <w:szCs w:val="22"/>
              </w:rPr>
              <w:t xml:space="preserve"> of any nearby</w:t>
            </w:r>
            <w:r>
              <w:rPr>
                <w:rFonts w:ascii="Calibri" w:hAnsi="Calibri"/>
                <w:szCs w:val="22"/>
              </w:rPr>
              <w:t xml:space="preserve"> residents.</w:t>
            </w:r>
          </w:p>
          <w:p w14:paraId="0DB485A3" w14:textId="05777E02" w:rsidR="001A7ABF" w:rsidRPr="00C0704D" w:rsidRDefault="001A7ABF" w:rsidP="001A7ABF">
            <w:pPr>
              <w:contextualSpacing/>
              <w:jc w:val="both"/>
              <w:rPr>
                <w:rFonts w:ascii="Calibri" w:hAnsi="Calibri"/>
                <w:szCs w:val="22"/>
              </w:rPr>
            </w:pPr>
          </w:p>
        </w:tc>
      </w:tr>
      <w:tr w:rsidR="00C0704D" w:rsidRPr="00D2449B" w14:paraId="6754C065"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7ADD76E8" w14:textId="77777777" w:rsidR="00B54875" w:rsidRDefault="00B54875" w:rsidP="00EA09F9">
            <w:pPr>
              <w:pStyle w:val="Header"/>
              <w:tabs>
                <w:tab w:val="clear" w:pos="4153"/>
                <w:tab w:val="clear" w:pos="8306"/>
              </w:tabs>
              <w:contextualSpacing/>
              <w:jc w:val="both"/>
              <w:rPr>
                <w:rFonts w:ascii="Calibri" w:hAnsi="Calibri"/>
                <w:b/>
                <w:szCs w:val="22"/>
              </w:rPr>
            </w:pPr>
          </w:p>
          <w:p w14:paraId="115A3700" w14:textId="77777777" w:rsidR="00AB0AEF" w:rsidRDefault="00AB0AEF" w:rsidP="00AB0AEF">
            <w:pPr>
              <w:pStyle w:val="Header"/>
              <w:tabs>
                <w:tab w:val="left" w:pos="720"/>
              </w:tabs>
              <w:jc w:val="both"/>
              <w:rPr>
                <w:rFonts w:ascii="Calibri" w:hAnsi="Calibri"/>
                <w:bCs/>
                <w:szCs w:val="22"/>
              </w:rPr>
            </w:pPr>
            <w:r>
              <w:rPr>
                <w:rFonts w:ascii="Calibri" w:hAnsi="Calibri"/>
                <w:bCs/>
                <w:szCs w:val="22"/>
              </w:rPr>
              <w:lastRenderedPageBreak/>
              <w:t xml:space="preserve">Paragraph 135 of the NPPF states: </w:t>
            </w:r>
          </w:p>
          <w:p w14:paraId="4CFCAA94" w14:textId="77777777" w:rsidR="00AB0AEF" w:rsidRDefault="00AB0AEF" w:rsidP="00AB0AEF">
            <w:pPr>
              <w:pStyle w:val="Header"/>
              <w:tabs>
                <w:tab w:val="left" w:pos="720"/>
              </w:tabs>
              <w:jc w:val="both"/>
              <w:rPr>
                <w:rFonts w:ascii="Calibri" w:hAnsi="Calibri"/>
                <w:bCs/>
                <w:szCs w:val="22"/>
              </w:rPr>
            </w:pPr>
          </w:p>
          <w:p w14:paraId="1428D6B8" w14:textId="77777777" w:rsidR="00AB0AEF" w:rsidRDefault="00AB0AEF" w:rsidP="00AB0AEF">
            <w:pPr>
              <w:pStyle w:val="Header"/>
              <w:tabs>
                <w:tab w:val="left" w:pos="720"/>
              </w:tabs>
              <w:jc w:val="both"/>
              <w:rPr>
                <w:rFonts w:ascii="Calibri" w:hAnsi="Calibri"/>
                <w:bCs/>
                <w:i/>
                <w:iCs/>
                <w:szCs w:val="22"/>
              </w:rPr>
            </w:pPr>
            <w:r>
              <w:rPr>
                <w:rFonts w:ascii="Calibri" w:hAnsi="Calibri"/>
                <w:bCs/>
                <w:szCs w:val="22"/>
              </w:rPr>
              <w:t>‘</w:t>
            </w:r>
            <w:r>
              <w:rPr>
                <w:rFonts w:ascii="Calibri" w:hAnsi="Calibri"/>
                <w:bCs/>
                <w:i/>
                <w:iCs/>
                <w:szCs w:val="22"/>
              </w:rPr>
              <w:t>Planning policies and decisions should ensure that developments are sympathetic to local character and history, including the surrounding built environment and landscape setting’.</w:t>
            </w:r>
          </w:p>
          <w:p w14:paraId="7DC21A58" w14:textId="77777777" w:rsidR="00AB0AEF" w:rsidRDefault="00AB0AEF" w:rsidP="00AB0AEF">
            <w:pPr>
              <w:pStyle w:val="Header"/>
              <w:tabs>
                <w:tab w:val="left" w:pos="720"/>
              </w:tabs>
              <w:jc w:val="both"/>
              <w:rPr>
                <w:rFonts w:ascii="Calibri" w:hAnsi="Calibri"/>
                <w:bCs/>
                <w:i/>
                <w:iCs/>
                <w:szCs w:val="22"/>
              </w:rPr>
            </w:pPr>
          </w:p>
          <w:p w14:paraId="1A79A971" w14:textId="382AB814" w:rsidR="00AB0AEF" w:rsidRDefault="00AB0AEF" w:rsidP="00AB0AEF">
            <w:pPr>
              <w:pStyle w:val="Header"/>
              <w:tabs>
                <w:tab w:val="left" w:pos="720"/>
              </w:tabs>
              <w:jc w:val="both"/>
              <w:rPr>
                <w:rFonts w:ascii="Calibri" w:hAnsi="Calibri"/>
                <w:bCs/>
                <w:szCs w:val="22"/>
              </w:rPr>
            </w:pPr>
            <w:r>
              <w:rPr>
                <w:rFonts w:ascii="Calibri" w:hAnsi="Calibri"/>
                <w:bCs/>
                <w:szCs w:val="22"/>
              </w:rPr>
              <w:t>In addition, Policy DMG1 of the Ribble Valley Core Strategy provides general design guidance as follows:</w:t>
            </w:r>
          </w:p>
          <w:p w14:paraId="4866171D" w14:textId="77777777" w:rsidR="00AB0AEF" w:rsidRDefault="00AB0AEF" w:rsidP="00AB0AEF">
            <w:pPr>
              <w:pStyle w:val="Header"/>
              <w:tabs>
                <w:tab w:val="left" w:pos="720"/>
              </w:tabs>
              <w:jc w:val="both"/>
              <w:rPr>
                <w:rFonts w:ascii="Calibri" w:hAnsi="Calibri"/>
                <w:bCs/>
                <w:szCs w:val="22"/>
              </w:rPr>
            </w:pPr>
          </w:p>
          <w:p w14:paraId="0F917CD1" w14:textId="77777777" w:rsidR="00AB0AEF" w:rsidRDefault="00AB0AEF" w:rsidP="00AB0AEF">
            <w:pPr>
              <w:pStyle w:val="Header"/>
              <w:tabs>
                <w:tab w:val="left" w:pos="720"/>
              </w:tabs>
              <w:jc w:val="both"/>
              <w:rPr>
                <w:rFonts w:ascii="Calibri" w:hAnsi="Calibri"/>
                <w:bCs/>
                <w:i/>
                <w:iCs/>
                <w:szCs w:val="22"/>
              </w:rPr>
            </w:pPr>
            <w:r>
              <w:rPr>
                <w:rFonts w:ascii="Calibri" w:hAnsi="Calibri"/>
                <w:bCs/>
                <w:szCs w:val="22"/>
              </w:rPr>
              <w:t>‘</w:t>
            </w:r>
            <w:r>
              <w:rPr>
                <w:rFonts w:ascii="Calibri" w:hAnsi="Calibri"/>
                <w:bCs/>
                <w:i/>
                <w:iCs/>
                <w:szCs w:val="22"/>
              </w:rPr>
              <w:t>All development must be sympathetic to existing and proposed land uses in terms of its size, intensity and nature as well as scale, massing, style, features and building materials.’</w:t>
            </w:r>
          </w:p>
          <w:p w14:paraId="2D2037B5" w14:textId="77777777" w:rsidR="00AB0AEF" w:rsidRDefault="00AB0AEF" w:rsidP="00EA09F9">
            <w:pPr>
              <w:pStyle w:val="Header"/>
              <w:tabs>
                <w:tab w:val="clear" w:pos="4153"/>
                <w:tab w:val="clear" w:pos="8306"/>
              </w:tabs>
              <w:contextualSpacing/>
              <w:jc w:val="both"/>
              <w:rPr>
                <w:rFonts w:ascii="Calibri" w:hAnsi="Calibri"/>
                <w:b/>
                <w:szCs w:val="22"/>
              </w:rPr>
            </w:pPr>
          </w:p>
          <w:p w14:paraId="1623AEB1" w14:textId="59E4AFFB" w:rsidR="00B54875" w:rsidRDefault="00B54875" w:rsidP="00EA09F9">
            <w:pPr>
              <w:pStyle w:val="Header"/>
              <w:tabs>
                <w:tab w:val="clear" w:pos="4153"/>
                <w:tab w:val="clear" w:pos="8306"/>
              </w:tabs>
              <w:contextualSpacing/>
              <w:jc w:val="both"/>
              <w:rPr>
                <w:rFonts w:ascii="Calibri" w:hAnsi="Calibri"/>
                <w:bCs/>
                <w:szCs w:val="22"/>
              </w:rPr>
            </w:pPr>
            <w:r>
              <w:rPr>
                <w:rFonts w:ascii="Calibri" w:hAnsi="Calibri"/>
                <w:bCs/>
                <w:szCs w:val="22"/>
              </w:rPr>
              <w:t>The application site</w:t>
            </w:r>
            <w:r w:rsidR="00AB0AEF">
              <w:rPr>
                <w:rFonts w:ascii="Calibri" w:hAnsi="Calibri"/>
                <w:bCs/>
                <w:szCs w:val="22"/>
              </w:rPr>
              <w:t xml:space="preserve"> also</w:t>
            </w:r>
            <w:r>
              <w:rPr>
                <w:rFonts w:ascii="Calibri" w:hAnsi="Calibri"/>
                <w:bCs/>
                <w:szCs w:val="22"/>
              </w:rPr>
              <w:t xml:space="preserve"> lies within the National Landscape (formerly known as the Forest of Bowland Area of Outstanding Natural Beauty). With regards to development in the National Landscape, Key Statement EN2 of the Core Strategy states that </w:t>
            </w:r>
            <w:r w:rsidR="00B043C1">
              <w:rPr>
                <w:rFonts w:ascii="Calibri" w:hAnsi="Calibri"/>
                <w:bCs/>
                <w:szCs w:val="22"/>
              </w:rPr>
              <w:t>‘</w:t>
            </w:r>
            <w:r w:rsidR="00B043C1">
              <w:rPr>
                <w:rFonts w:ascii="Calibri" w:hAnsi="Calibri"/>
                <w:bCs/>
                <w:i/>
                <w:iCs/>
                <w:szCs w:val="22"/>
              </w:rPr>
              <w:t>the Council will expect development to be in keeping with the character of the landscape, reflecting local distinctiveness, vernacular style, scale, style, features and building materials.’</w:t>
            </w:r>
          </w:p>
          <w:p w14:paraId="51633193" w14:textId="77777777" w:rsidR="00B043C1" w:rsidRDefault="00B043C1" w:rsidP="00EA09F9">
            <w:pPr>
              <w:pStyle w:val="Header"/>
              <w:tabs>
                <w:tab w:val="clear" w:pos="4153"/>
                <w:tab w:val="clear" w:pos="8306"/>
              </w:tabs>
              <w:contextualSpacing/>
              <w:jc w:val="both"/>
              <w:rPr>
                <w:rFonts w:ascii="Calibri" w:hAnsi="Calibri"/>
                <w:bCs/>
                <w:szCs w:val="22"/>
              </w:rPr>
            </w:pPr>
          </w:p>
          <w:p w14:paraId="5447BCEE" w14:textId="2DAEAFF7" w:rsidR="00B043C1" w:rsidRDefault="00B043C1"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Planning consent for the proposed development was previously refused under application ref: 3/2023/0542 on visual amenity grounds, due to the buildings overtly industrial elevational features. </w:t>
            </w:r>
          </w:p>
          <w:p w14:paraId="47DBB48F" w14:textId="77777777" w:rsidR="00B043C1" w:rsidRDefault="00B043C1" w:rsidP="00EA09F9">
            <w:pPr>
              <w:pStyle w:val="Header"/>
              <w:tabs>
                <w:tab w:val="clear" w:pos="4153"/>
                <w:tab w:val="clear" w:pos="8306"/>
              </w:tabs>
              <w:contextualSpacing/>
              <w:jc w:val="both"/>
              <w:rPr>
                <w:rFonts w:ascii="Calibri" w:hAnsi="Calibri"/>
                <w:bCs/>
                <w:szCs w:val="22"/>
              </w:rPr>
            </w:pPr>
          </w:p>
          <w:p w14:paraId="5BB38287" w14:textId="154DB2A2" w:rsidR="00C0704D" w:rsidRPr="00AB0AEF" w:rsidRDefault="00B043C1"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Following this, the previously proposed windows to the rear of the building have been removed from the scheme and the slate blue box cladding to the higher elevations have been replaced with timber boarding. Whilst 3no. windows and 2no. large roller shutter doors are still proposed to the front of the building, this elevation would not be visible from outside of the site itself, being located a considerable distance from any nearby public footpaths and screened from view by the existing agricultural buildings upon approach to the site. </w:t>
            </w:r>
            <w:r w:rsidR="00AB0AEF">
              <w:rPr>
                <w:rFonts w:ascii="Calibri" w:hAnsi="Calibri"/>
                <w:bCs/>
                <w:szCs w:val="22"/>
              </w:rPr>
              <w:t>The proposed materiality would also not be dissimilar to the external facing materials of the existing structures on site. On balance</w:t>
            </w:r>
            <w:r>
              <w:rPr>
                <w:rFonts w:ascii="Calibri" w:hAnsi="Calibri"/>
                <w:bCs/>
                <w:szCs w:val="22"/>
              </w:rPr>
              <w:t xml:space="preserve">, the </w:t>
            </w:r>
            <w:r w:rsidR="00AB0AEF">
              <w:rPr>
                <w:rFonts w:ascii="Calibri" w:hAnsi="Calibri"/>
                <w:bCs/>
                <w:szCs w:val="22"/>
              </w:rPr>
              <w:t>amendments proposed as part of this application are therefore considered</w:t>
            </w:r>
            <w:r>
              <w:rPr>
                <w:rFonts w:ascii="Calibri" w:hAnsi="Calibri"/>
                <w:bCs/>
                <w:szCs w:val="22"/>
              </w:rPr>
              <w:t xml:space="preserve"> sufficient to address </w:t>
            </w:r>
            <w:r w:rsidR="00AB0AEF">
              <w:rPr>
                <w:rFonts w:ascii="Calibri" w:hAnsi="Calibri"/>
                <w:bCs/>
                <w:szCs w:val="22"/>
              </w:rPr>
              <w:t xml:space="preserve">the design concerns outlined in relation to the previous application. As such, it is not anticipated that the development would result in any significantly detrimental harm upon the visual amenities of the immediate or wider landscape that would warrant the refusal to grant planning permission in this particular instance. </w:t>
            </w:r>
          </w:p>
          <w:p w14:paraId="10A3648A" w14:textId="1798ED81" w:rsidR="00065833" w:rsidRPr="00065833" w:rsidRDefault="00065833" w:rsidP="00406EBD">
            <w:pPr>
              <w:contextualSpacing/>
            </w:pPr>
          </w:p>
        </w:tc>
      </w:tr>
      <w:tr w:rsidR="00824DB6" w:rsidRPr="00D2449B" w14:paraId="673C0DDB"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6CB13B9A" w14:textId="7E66BCE8" w:rsidR="00C11EAF" w:rsidRDefault="00C11EAF" w:rsidP="001A7ABF">
            <w:pPr>
              <w:pStyle w:val="Header"/>
              <w:tabs>
                <w:tab w:val="left" w:pos="720"/>
              </w:tabs>
              <w:jc w:val="both"/>
              <w:rPr>
                <w:rFonts w:ascii="Calibri" w:hAnsi="Calibri"/>
                <w:bCs/>
                <w:szCs w:val="22"/>
              </w:rPr>
            </w:pPr>
            <w:r>
              <w:rPr>
                <w:rFonts w:ascii="Calibri" w:hAnsi="Calibri"/>
                <w:bCs/>
                <w:szCs w:val="22"/>
              </w:rPr>
              <w:t xml:space="preserve">Lancashire County Council Highways have not been consulted in respect of the proposed development; however, the proposal does not include any alterations to the existing access, nor would it involve any changes to the existing parking provision at the site. As such, it is not anticipated that the proposed development would result in any undue impact upon highway safety or parking. </w:t>
            </w:r>
          </w:p>
          <w:p w14:paraId="337694ED" w14:textId="1788AB54" w:rsidR="00877C8F" w:rsidRDefault="00877C8F" w:rsidP="00C11EAF">
            <w:pPr>
              <w:pStyle w:val="Header"/>
              <w:tabs>
                <w:tab w:val="left" w:pos="720"/>
              </w:tabs>
              <w:jc w:val="both"/>
              <w:rPr>
                <w:rFonts w:ascii="Calibri" w:hAnsi="Calibri"/>
                <w:b/>
                <w:szCs w:val="22"/>
              </w:rPr>
            </w:pPr>
          </w:p>
        </w:tc>
      </w:tr>
      <w:tr w:rsidR="00C0704D" w:rsidRPr="00D2449B" w14:paraId="6D877C31"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7DB7FDC9" w14:textId="77777777" w:rsidR="00375556" w:rsidRDefault="00375556" w:rsidP="00406EBD">
            <w:pPr>
              <w:contextualSpacing/>
              <w:rPr>
                <w:rFonts w:ascii="Calibri" w:hAnsi="Calibri"/>
                <w:b/>
                <w:szCs w:val="22"/>
              </w:rPr>
            </w:pPr>
          </w:p>
          <w:p w14:paraId="3A676A07" w14:textId="77777777" w:rsidR="001A7ABF" w:rsidRDefault="001A7ABF" w:rsidP="00406EBD">
            <w:pPr>
              <w:contextualSpacing/>
              <w:rPr>
                <w:rFonts w:ascii="Calibri" w:hAnsi="Calibri"/>
                <w:bCs/>
                <w:szCs w:val="22"/>
              </w:rPr>
            </w:pPr>
            <w:r>
              <w:rPr>
                <w:rFonts w:ascii="Calibri" w:hAnsi="Calibri"/>
                <w:bCs/>
                <w:szCs w:val="22"/>
              </w:rPr>
              <w:t xml:space="preserve">No ecological constraints have been identified in relation to the proposed development. </w:t>
            </w:r>
          </w:p>
          <w:p w14:paraId="6337C4D8" w14:textId="79DD37ED" w:rsidR="001A7ABF" w:rsidRPr="001A7ABF" w:rsidRDefault="001A7ABF" w:rsidP="00406EBD">
            <w:pPr>
              <w:contextualSpacing/>
              <w:rPr>
                <w:rFonts w:ascii="Calibri" w:hAnsi="Calibri"/>
                <w:bCs/>
                <w:szCs w:val="22"/>
              </w:rPr>
            </w:pPr>
          </w:p>
        </w:tc>
      </w:tr>
      <w:tr w:rsidR="00C0704D" w:rsidRPr="00D2449B" w14:paraId="0A9D02B4" w14:textId="77777777" w:rsidTr="00065833">
        <w:trPr>
          <w:jc w:val="center"/>
        </w:trPr>
        <w:tc>
          <w:tcPr>
            <w:tcW w:w="96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34C557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11EAF" w:rsidRPr="00D2449B" w14:paraId="507FC89B" w14:textId="77777777" w:rsidTr="00065833">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11EAF" w:rsidRPr="00D2449B" w:rsidRDefault="00C11EAF" w:rsidP="00C11EA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48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5FA6BD9D" w:rsidR="00C11EAF" w:rsidRPr="00D2449B" w:rsidRDefault="00C11EAF" w:rsidP="00C11EAF">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295A61" w:rsidRPr="00D2449B" w:rsidRDefault="00295A61">
      <w:pPr>
        <w:rPr>
          <w:rFonts w:ascii="Calibri" w:hAnsi="Calibri"/>
          <w:szCs w:val="22"/>
        </w:rPr>
      </w:pPr>
    </w:p>
    <w:sectPr w:rsidR="00295A61"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600D8"/>
    <w:multiLevelType w:val="hybridMultilevel"/>
    <w:tmpl w:val="A5FE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114461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65833"/>
    <w:rsid w:val="000A6867"/>
    <w:rsid w:val="000B5CB5"/>
    <w:rsid w:val="00130035"/>
    <w:rsid w:val="001A7ABF"/>
    <w:rsid w:val="001D4F7A"/>
    <w:rsid w:val="00250879"/>
    <w:rsid w:val="00282E3A"/>
    <w:rsid w:val="0029334A"/>
    <w:rsid w:val="002954E5"/>
    <w:rsid w:val="00295A61"/>
    <w:rsid w:val="002A01CF"/>
    <w:rsid w:val="002C6277"/>
    <w:rsid w:val="002F2580"/>
    <w:rsid w:val="0030060D"/>
    <w:rsid w:val="00321B6E"/>
    <w:rsid w:val="00375556"/>
    <w:rsid w:val="00406EBD"/>
    <w:rsid w:val="00440CB6"/>
    <w:rsid w:val="0046548C"/>
    <w:rsid w:val="004947BB"/>
    <w:rsid w:val="00497407"/>
    <w:rsid w:val="004A5EA9"/>
    <w:rsid w:val="004C2434"/>
    <w:rsid w:val="004F0649"/>
    <w:rsid w:val="00510FA2"/>
    <w:rsid w:val="00556ECD"/>
    <w:rsid w:val="005E1C6C"/>
    <w:rsid w:val="005E65DF"/>
    <w:rsid w:val="00692B60"/>
    <w:rsid w:val="00696B04"/>
    <w:rsid w:val="006A71AD"/>
    <w:rsid w:val="006C2BFA"/>
    <w:rsid w:val="006F6849"/>
    <w:rsid w:val="0070054B"/>
    <w:rsid w:val="00761D2C"/>
    <w:rsid w:val="00773A66"/>
    <w:rsid w:val="00776AE2"/>
    <w:rsid w:val="007C791C"/>
    <w:rsid w:val="007D0CEC"/>
    <w:rsid w:val="007D7DF4"/>
    <w:rsid w:val="007E0D23"/>
    <w:rsid w:val="007F16D6"/>
    <w:rsid w:val="00811771"/>
    <w:rsid w:val="00824DB6"/>
    <w:rsid w:val="00837F4F"/>
    <w:rsid w:val="008542DE"/>
    <w:rsid w:val="00877C8F"/>
    <w:rsid w:val="008A28C8"/>
    <w:rsid w:val="009F4443"/>
    <w:rsid w:val="00A42E82"/>
    <w:rsid w:val="00A579BB"/>
    <w:rsid w:val="00A63D55"/>
    <w:rsid w:val="00A95D89"/>
    <w:rsid w:val="00AB0AEF"/>
    <w:rsid w:val="00B043C1"/>
    <w:rsid w:val="00B54875"/>
    <w:rsid w:val="00B847F6"/>
    <w:rsid w:val="00B93EB5"/>
    <w:rsid w:val="00BD3F03"/>
    <w:rsid w:val="00C0704D"/>
    <w:rsid w:val="00C11EAF"/>
    <w:rsid w:val="00C25722"/>
    <w:rsid w:val="00C618DB"/>
    <w:rsid w:val="00D11007"/>
    <w:rsid w:val="00D17EB1"/>
    <w:rsid w:val="00D2449B"/>
    <w:rsid w:val="00D54E67"/>
    <w:rsid w:val="00DA0610"/>
    <w:rsid w:val="00DD3288"/>
    <w:rsid w:val="00DD62F6"/>
    <w:rsid w:val="00E46243"/>
    <w:rsid w:val="00E66534"/>
    <w:rsid w:val="00E72F6C"/>
    <w:rsid w:val="00EA09F9"/>
    <w:rsid w:val="00EC23C7"/>
    <w:rsid w:val="00ED00B7"/>
    <w:rsid w:val="00EF44E6"/>
    <w:rsid w:val="00F056A7"/>
    <w:rsid w:val="00F732DE"/>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31867">
      <w:bodyDiv w:val="1"/>
      <w:marLeft w:val="0"/>
      <w:marRight w:val="0"/>
      <w:marTop w:val="0"/>
      <w:marBottom w:val="0"/>
      <w:divBdr>
        <w:top w:val="none" w:sz="0" w:space="0" w:color="auto"/>
        <w:left w:val="none" w:sz="0" w:space="0" w:color="auto"/>
        <w:bottom w:val="none" w:sz="0" w:space="0" w:color="auto"/>
        <w:right w:val="none" w:sz="0" w:space="0" w:color="auto"/>
      </w:divBdr>
    </w:div>
    <w:div w:id="860973187">
      <w:bodyDiv w:val="1"/>
      <w:marLeft w:val="0"/>
      <w:marRight w:val="0"/>
      <w:marTop w:val="0"/>
      <w:marBottom w:val="0"/>
      <w:divBdr>
        <w:top w:val="none" w:sz="0" w:space="0" w:color="auto"/>
        <w:left w:val="none" w:sz="0" w:space="0" w:color="auto"/>
        <w:bottom w:val="none" w:sz="0" w:space="0" w:color="auto"/>
        <w:right w:val="none" w:sz="0" w:space="0" w:color="auto"/>
      </w:divBdr>
    </w:div>
    <w:div w:id="1044020692">
      <w:bodyDiv w:val="1"/>
      <w:marLeft w:val="0"/>
      <w:marRight w:val="0"/>
      <w:marTop w:val="0"/>
      <w:marBottom w:val="0"/>
      <w:divBdr>
        <w:top w:val="none" w:sz="0" w:space="0" w:color="auto"/>
        <w:left w:val="none" w:sz="0" w:space="0" w:color="auto"/>
        <w:bottom w:val="none" w:sz="0" w:space="0" w:color="auto"/>
        <w:right w:val="none" w:sz="0" w:space="0" w:color="auto"/>
      </w:divBdr>
    </w:div>
    <w:div w:id="1047071709">
      <w:bodyDiv w:val="1"/>
      <w:marLeft w:val="0"/>
      <w:marRight w:val="0"/>
      <w:marTop w:val="0"/>
      <w:marBottom w:val="0"/>
      <w:divBdr>
        <w:top w:val="none" w:sz="0" w:space="0" w:color="auto"/>
        <w:left w:val="none" w:sz="0" w:space="0" w:color="auto"/>
        <w:bottom w:val="none" w:sz="0" w:space="0" w:color="auto"/>
        <w:right w:val="none" w:sz="0" w:space="0" w:color="auto"/>
      </w:divBdr>
    </w:div>
    <w:div w:id="1218935539">
      <w:bodyDiv w:val="1"/>
      <w:marLeft w:val="0"/>
      <w:marRight w:val="0"/>
      <w:marTop w:val="0"/>
      <w:marBottom w:val="0"/>
      <w:divBdr>
        <w:top w:val="none" w:sz="0" w:space="0" w:color="auto"/>
        <w:left w:val="none" w:sz="0" w:space="0" w:color="auto"/>
        <w:bottom w:val="none" w:sz="0" w:space="0" w:color="auto"/>
        <w:right w:val="none" w:sz="0" w:space="0" w:color="auto"/>
      </w:divBdr>
    </w:div>
    <w:div w:id="18955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2024-04-16T14:09:00Z</cp:lastPrinted>
  <dcterms:created xsi:type="dcterms:W3CDTF">2024-04-16T14:11:00Z</dcterms:created>
  <dcterms:modified xsi:type="dcterms:W3CDTF">2024-04-16T14:11:00Z</dcterms:modified>
</cp:coreProperties>
</file>