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0"/>
        <w:gridCol w:w="1030"/>
        <w:gridCol w:w="139"/>
        <w:gridCol w:w="36"/>
        <w:gridCol w:w="658"/>
        <w:gridCol w:w="197"/>
        <w:gridCol w:w="307"/>
        <w:gridCol w:w="723"/>
        <w:gridCol w:w="577"/>
        <w:gridCol w:w="498"/>
        <w:gridCol w:w="699"/>
        <w:gridCol w:w="579"/>
        <w:gridCol w:w="1030"/>
        <w:gridCol w:w="1030"/>
        <w:gridCol w:w="1031"/>
      </w:tblGrid>
      <w:tr w:rsidR="004A5EA9" w:rsidRPr="00D2449B" w14:paraId="230E00AF"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837F4F" w:rsidRPr="00D2449B" w14:paraId="10F7DD32" w14:textId="77777777" w:rsidTr="00DE4927">
        <w:trPr>
          <w:jc w:val="center"/>
        </w:trPr>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F6CCD5B" w14:textId="24D16389" w:rsidR="00837F4F" w:rsidRPr="00D2449B" w:rsidRDefault="00837F4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F2BA0" w14:textId="686BD889" w:rsidR="00837F4F" w:rsidRPr="00D2449B" w:rsidRDefault="00837F4F"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94D80" w14:textId="602EBC7E" w:rsidR="00837F4F" w:rsidRPr="00D2449B" w:rsidRDefault="00823AE0" w:rsidP="00D2449B">
            <w:pPr>
              <w:jc w:val="center"/>
              <w:rPr>
                <w:rFonts w:ascii="Calibri" w:hAnsi="Calibri"/>
                <w:b/>
                <w:szCs w:val="22"/>
              </w:rPr>
            </w:pPr>
            <w:r>
              <w:rPr>
                <w:rFonts w:ascii="Calibri" w:hAnsi="Calibri"/>
                <w:b/>
                <w:szCs w:val="22"/>
              </w:rPr>
              <w:t>LH</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EF0011" w14:textId="3279FCDC" w:rsidR="00837F4F" w:rsidRPr="00D2449B" w:rsidRDefault="00837F4F" w:rsidP="00D2449B">
            <w:pPr>
              <w:jc w:val="center"/>
              <w:rPr>
                <w:rFonts w:ascii="Calibri" w:hAnsi="Calibri"/>
                <w:b/>
                <w:szCs w:val="22"/>
              </w:rPr>
            </w:pPr>
            <w:r>
              <w:rPr>
                <w:rFonts w:ascii="Calibri" w:hAnsi="Calibri"/>
                <w:b/>
                <w:szCs w:val="22"/>
              </w:rPr>
              <w:t>Date:</w:t>
            </w:r>
          </w:p>
        </w:tc>
        <w:tc>
          <w:tcPr>
            <w:tcW w:w="10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E25A79" w14:textId="71F75150" w:rsidR="00837F4F" w:rsidRPr="00D2449B" w:rsidRDefault="00860EDE" w:rsidP="00D2449B">
            <w:pPr>
              <w:jc w:val="center"/>
              <w:rPr>
                <w:rFonts w:ascii="Calibri" w:hAnsi="Calibri"/>
                <w:b/>
                <w:szCs w:val="22"/>
              </w:rPr>
            </w:pPr>
            <w:r>
              <w:rPr>
                <w:rFonts w:ascii="Calibri" w:hAnsi="Calibri"/>
                <w:b/>
                <w:szCs w:val="22"/>
              </w:rPr>
              <w:t>10</w:t>
            </w:r>
            <w:r w:rsidR="001F0A1D">
              <w:rPr>
                <w:rFonts w:ascii="Calibri" w:hAnsi="Calibri"/>
                <w:b/>
                <w:szCs w:val="22"/>
              </w:rPr>
              <w:t>.</w:t>
            </w:r>
            <w:r w:rsidR="0068158E">
              <w:rPr>
                <w:rFonts w:ascii="Calibri" w:hAnsi="Calibri"/>
                <w:b/>
                <w:szCs w:val="22"/>
              </w:rPr>
              <w:t>6</w:t>
            </w:r>
            <w:r w:rsidR="001F0A1D">
              <w:rPr>
                <w:rFonts w:ascii="Calibri" w:hAnsi="Calibri"/>
                <w:b/>
                <w:szCs w:val="22"/>
              </w:rPr>
              <w:t>.24</w:t>
            </w:r>
          </w:p>
        </w:tc>
        <w:tc>
          <w:tcPr>
            <w:tcW w:w="12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5CD0A" w14:textId="1B25DF37" w:rsidR="00837F4F" w:rsidRPr="00D2449B" w:rsidRDefault="00837F4F" w:rsidP="00D2449B">
            <w:pPr>
              <w:jc w:val="center"/>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87E6DA" w14:textId="0A2651EE" w:rsidR="00837F4F" w:rsidRPr="00D2449B" w:rsidRDefault="00191A9A" w:rsidP="00D2449B">
            <w:pPr>
              <w:jc w:val="center"/>
              <w:rPr>
                <w:rFonts w:ascii="Calibri" w:hAnsi="Calibri"/>
                <w:b/>
                <w:szCs w:val="22"/>
              </w:rPr>
            </w:pPr>
            <w:r>
              <w:rPr>
                <w:rFonts w:ascii="Calibri" w:hAnsi="Calibri"/>
                <w:b/>
                <w:szCs w:val="22"/>
              </w:rPr>
              <w:t>NH</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B01A74" w14:textId="14837D95" w:rsidR="00837F4F" w:rsidRPr="00D2449B" w:rsidRDefault="00837F4F" w:rsidP="00D2449B">
            <w:pPr>
              <w:jc w:val="center"/>
              <w:rPr>
                <w:rFonts w:ascii="Calibri" w:hAnsi="Calibri"/>
                <w:b/>
                <w:szCs w:val="22"/>
              </w:rPr>
            </w:pPr>
            <w:r>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C27B11" w14:textId="3D3442FF" w:rsidR="00837F4F" w:rsidRPr="00D2449B" w:rsidRDefault="00191A9A" w:rsidP="00D2449B">
            <w:pPr>
              <w:jc w:val="center"/>
              <w:rPr>
                <w:rFonts w:ascii="Calibri" w:hAnsi="Calibri"/>
                <w:b/>
                <w:szCs w:val="22"/>
              </w:rPr>
            </w:pPr>
            <w:r>
              <w:rPr>
                <w:rFonts w:ascii="Calibri" w:hAnsi="Calibri"/>
                <w:b/>
                <w:szCs w:val="22"/>
              </w:rPr>
              <w:t>10.06.24</w:t>
            </w:r>
          </w:p>
        </w:tc>
      </w:tr>
      <w:tr w:rsidR="004A5EA9" w:rsidRPr="00D2449B" w14:paraId="2094A164" w14:textId="77777777" w:rsidTr="00DE4927">
        <w:trPr>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DE4927">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65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38F1C00C" w:rsidR="004A5EA9" w:rsidRPr="00250879" w:rsidRDefault="004A5EA9" w:rsidP="008542DE">
            <w:pPr>
              <w:rPr>
                <w:rFonts w:ascii="Calibri" w:hAnsi="Calibri"/>
                <w:color w:val="548DD4" w:themeColor="text2" w:themeTint="99"/>
                <w:szCs w:val="22"/>
              </w:rPr>
            </w:pPr>
            <w:r w:rsidRPr="002C6277">
              <w:rPr>
                <w:rFonts w:ascii="Calibri" w:hAnsi="Calibri"/>
                <w:szCs w:val="22"/>
              </w:rPr>
              <w:t>20</w:t>
            </w:r>
            <w:r w:rsidR="00DE4927">
              <w:rPr>
                <w:rFonts w:ascii="Calibri" w:hAnsi="Calibri"/>
                <w:szCs w:val="22"/>
              </w:rPr>
              <w:t>2</w:t>
            </w:r>
            <w:r w:rsidR="00346AB8">
              <w:rPr>
                <w:rFonts w:ascii="Calibri" w:hAnsi="Calibri"/>
                <w:szCs w:val="22"/>
              </w:rPr>
              <w:t>4</w:t>
            </w:r>
            <w:r w:rsidR="00DE4927">
              <w:rPr>
                <w:rFonts w:ascii="Calibri" w:hAnsi="Calibri"/>
                <w:szCs w:val="22"/>
              </w:rPr>
              <w:t>/0</w:t>
            </w:r>
            <w:r w:rsidR="00823AE0">
              <w:rPr>
                <w:rFonts w:ascii="Calibri" w:hAnsi="Calibri"/>
                <w:szCs w:val="22"/>
              </w:rPr>
              <w:t>151</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24DB6" w:rsidRPr="00D2449B" w14:paraId="311D78EF" w14:textId="77777777" w:rsidTr="00DE4927">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824DB6" w:rsidRPr="00C0704D" w:rsidRDefault="00824DB6">
            <w:pPr>
              <w:rPr>
                <w:rFonts w:ascii="Calibri" w:hAnsi="Calibri"/>
                <w:b/>
                <w:szCs w:val="22"/>
              </w:rPr>
            </w:pPr>
            <w:r w:rsidRPr="00C0704D">
              <w:rPr>
                <w:rFonts w:ascii="Calibri" w:hAnsi="Calibri"/>
                <w:b/>
                <w:szCs w:val="22"/>
              </w:rPr>
              <w:t>Date Inspected:</w:t>
            </w:r>
          </w:p>
        </w:tc>
        <w:tc>
          <w:tcPr>
            <w:tcW w:w="1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6557F4" w14:textId="38F78515" w:rsidR="00824DB6" w:rsidRPr="00C80A74" w:rsidRDefault="000D6075" w:rsidP="002C6277">
            <w:pPr>
              <w:rPr>
                <w:rFonts w:ascii="Calibri" w:hAnsi="Calibri"/>
                <w:szCs w:val="22"/>
              </w:rPr>
            </w:pPr>
            <w:r w:rsidRPr="000D6075">
              <w:rPr>
                <w:rFonts w:ascii="Calibri" w:hAnsi="Calibri"/>
                <w:szCs w:val="22"/>
              </w:rPr>
              <w:t>4</w:t>
            </w:r>
            <w:r w:rsidR="00E56446" w:rsidRPr="000D6075">
              <w:rPr>
                <w:rFonts w:ascii="Calibri" w:hAnsi="Calibri"/>
                <w:szCs w:val="22"/>
              </w:rPr>
              <w:t>.</w:t>
            </w:r>
            <w:r w:rsidRPr="000D6075">
              <w:rPr>
                <w:rFonts w:ascii="Calibri" w:hAnsi="Calibri"/>
                <w:szCs w:val="22"/>
              </w:rPr>
              <w:t>4</w:t>
            </w:r>
            <w:r w:rsidR="00E56446" w:rsidRPr="000D6075">
              <w:rPr>
                <w:rFonts w:ascii="Calibri" w:hAnsi="Calibri"/>
                <w:szCs w:val="22"/>
              </w:rPr>
              <w:t>.2</w:t>
            </w:r>
            <w:r w:rsidR="0068158E" w:rsidRPr="000D6075">
              <w:rPr>
                <w:rFonts w:ascii="Calibri" w:hAnsi="Calibri"/>
                <w:szCs w:val="22"/>
              </w:rPr>
              <w:t>4</w:t>
            </w:r>
          </w:p>
        </w:tc>
        <w:tc>
          <w:tcPr>
            <w:tcW w:w="13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EE7732" w14:textId="5155C647" w:rsidR="00824DB6" w:rsidRPr="00C80A74" w:rsidRDefault="00824DB6" w:rsidP="002C6277">
            <w:pPr>
              <w:rPr>
                <w:rFonts w:ascii="Calibri" w:hAnsi="Calibri"/>
                <w:b/>
                <w:bCs/>
                <w:szCs w:val="22"/>
              </w:rPr>
            </w:pPr>
            <w:r w:rsidRPr="00C80A74">
              <w:rPr>
                <w:rFonts w:ascii="Calibri" w:hAnsi="Calibri"/>
                <w:b/>
                <w:bCs/>
                <w:szCs w:val="22"/>
              </w:rPr>
              <w:t>Site Notice:</w:t>
            </w:r>
          </w:p>
        </w:tc>
        <w:tc>
          <w:tcPr>
            <w:tcW w:w="119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7300811A" w:rsidR="00824DB6" w:rsidRPr="00C80A74" w:rsidRDefault="000D6075" w:rsidP="002C6277">
            <w:pPr>
              <w:rPr>
                <w:rFonts w:ascii="Calibri" w:hAnsi="Calibri"/>
                <w:szCs w:val="22"/>
              </w:rPr>
            </w:pPr>
            <w:r w:rsidRPr="000D6075">
              <w:rPr>
                <w:rFonts w:ascii="Calibri" w:hAnsi="Calibri"/>
                <w:szCs w:val="22"/>
              </w:rPr>
              <w:t>4</w:t>
            </w:r>
            <w:r w:rsidR="00E56446" w:rsidRPr="000D6075">
              <w:rPr>
                <w:rFonts w:ascii="Calibri" w:hAnsi="Calibri"/>
                <w:szCs w:val="22"/>
              </w:rPr>
              <w:t>.</w:t>
            </w:r>
            <w:r w:rsidRPr="000D6075">
              <w:rPr>
                <w:rFonts w:ascii="Calibri" w:hAnsi="Calibri"/>
                <w:szCs w:val="22"/>
              </w:rPr>
              <w:t>4</w:t>
            </w:r>
            <w:r w:rsidR="00E56446" w:rsidRPr="000D6075">
              <w:rPr>
                <w:rFonts w:ascii="Calibri" w:hAnsi="Calibri"/>
                <w:szCs w:val="22"/>
              </w:rPr>
              <w:t>.2</w:t>
            </w:r>
            <w:r w:rsidR="0068158E" w:rsidRPr="000D6075">
              <w:rPr>
                <w:rFonts w:ascii="Calibri" w:hAnsi="Calibri"/>
                <w:szCs w:val="22"/>
              </w:rPr>
              <w:t>4</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824DB6" w:rsidRPr="00D2449B" w:rsidRDefault="00824DB6">
            <w:pPr>
              <w:rPr>
                <w:rFonts w:ascii="Calibri" w:hAnsi="Calibri"/>
                <w:szCs w:val="22"/>
              </w:rPr>
            </w:pPr>
          </w:p>
        </w:tc>
      </w:tr>
      <w:tr w:rsidR="004A5EA9" w:rsidRPr="00D2449B" w14:paraId="03FA8232" w14:textId="77777777" w:rsidTr="00DE4927">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65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2C89F3B4" w:rsidR="004A5EA9" w:rsidRPr="00250879" w:rsidRDefault="00823AE0" w:rsidP="00811771">
            <w:pPr>
              <w:rPr>
                <w:rFonts w:ascii="Calibri" w:hAnsi="Calibri"/>
                <w:color w:val="548DD4" w:themeColor="text2" w:themeTint="99"/>
                <w:szCs w:val="22"/>
              </w:rPr>
            </w:pPr>
            <w:r>
              <w:rPr>
                <w:rFonts w:ascii="Calibri" w:hAnsi="Calibri"/>
                <w:szCs w:val="22"/>
              </w:rPr>
              <w:t>Lyndsey Hayes</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DE4927">
        <w:trPr>
          <w:jc w:val="center"/>
        </w:trPr>
        <w:tc>
          <w:tcPr>
            <w:tcW w:w="5894"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59619BD1" w:rsidR="004A5EA9" w:rsidRPr="00D2449B" w:rsidRDefault="00761D2C" w:rsidP="002A01CF">
            <w:pPr>
              <w:jc w:val="center"/>
              <w:rPr>
                <w:rFonts w:ascii="Calibri" w:hAnsi="Calibri"/>
                <w:b/>
                <w:szCs w:val="22"/>
              </w:rPr>
            </w:pPr>
            <w:r>
              <w:rPr>
                <w:rFonts w:ascii="Calibri" w:hAnsi="Calibri"/>
                <w:b/>
                <w:szCs w:val="22"/>
              </w:rPr>
              <w:t>APPROVAL</w:t>
            </w:r>
          </w:p>
        </w:tc>
      </w:tr>
      <w:tr w:rsidR="004A5EA9" w:rsidRPr="00D2449B" w14:paraId="7813B96A" w14:textId="77777777" w:rsidTr="00DE4927">
        <w:trPr>
          <w:trHeight w:hRule="exact" w:val="170"/>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DE4927">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1068AEDB" w:rsidR="004A5EA9" w:rsidRPr="002C6277" w:rsidRDefault="00860EDE">
            <w:pPr>
              <w:rPr>
                <w:rFonts w:ascii="Calibri" w:hAnsi="Calibri"/>
                <w:szCs w:val="22"/>
              </w:rPr>
            </w:pPr>
            <w:r w:rsidRPr="00860EDE">
              <w:rPr>
                <w:rFonts w:ascii="Calibri" w:hAnsi="Calibri"/>
                <w:szCs w:val="22"/>
              </w:rPr>
              <w:t xml:space="preserve">Listed Building Consent for removal of </w:t>
            </w:r>
            <w:r w:rsidR="00823AE0">
              <w:rPr>
                <w:rFonts w:ascii="Calibri" w:hAnsi="Calibri"/>
                <w:szCs w:val="22"/>
              </w:rPr>
              <w:t>cement-based mortar from rear north-facing wall of dwelling and repair with lime mortar</w:t>
            </w:r>
          </w:p>
        </w:tc>
      </w:tr>
      <w:tr w:rsidR="002A01CF" w:rsidRPr="00D2449B" w14:paraId="52988241" w14:textId="77777777" w:rsidTr="00DE4927">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08834647" w:rsidR="002A01CF" w:rsidRPr="002C6277" w:rsidRDefault="00823AE0" w:rsidP="00A42E82">
            <w:pPr>
              <w:rPr>
                <w:rFonts w:ascii="Calibri" w:hAnsi="Calibri"/>
                <w:szCs w:val="22"/>
              </w:rPr>
            </w:pPr>
            <w:r>
              <w:rPr>
                <w:rFonts w:ascii="Calibri" w:hAnsi="Calibri"/>
                <w:szCs w:val="22"/>
              </w:rPr>
              <w:t>Grove House Malt Kiln Brow Chipping PR3 2GP</w:t>
            </w:r>
          </w:p>
        </w:tc>
      </w:tr>
      <w:tr w:rsidR="00A95D89" w:rsidRPr="00D2449B" w14:paraId="3FB99B2E" w14:textId="77777777" w:rsidTr="00DE4927">
        <w:trPr>
          <w:trHeight w:hRule="exact" w:val="170"/>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DE4927">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2F2BBCE1" w:rsidR="002A01CF" w:rsidRPr="00D62732" w:rsidRDefault="00860EDE">
            <w:pPr>
              <w:rPr>
                <w:rFonts w:ascii="Calibri" w:hAnsi="Calibri"/>
                <w:bCs/>
                <w:color w:val="FF0000"/>
                <w:szCs w:val="22"/>
              </w:rPr>
            </w:pPr>
            <w:r w:rsidRPr="00860EDE">
              <w:rPr>
                <w:rFonts w:ascii="Calibri" w:hAnsi="Calibri"/>
                <w:bCs/>
                <w:szCs w:val="22"/>
              </w:rPr>
              <w:t>No representations received.</w:t>
            </w:r>
          </w:p>
        </w:tc>
      </w:tr>
      <w:tr w:rsidR="00C618DB" w:rsidRPr="00D2449B" w14:paraId="639E958B" w14:textId="77777777" w:rsidTr="00DE4927">
        <w:trPr>
          <w:trHeight w:hRule="exact" w:val="170"/>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DE4927">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2A01CF" w:rsidRPr="00D2449B" w14:paraId="1EA955B4" w14:textId="77777777" w:rsidTr="00DE4927">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AAFFD4D" w14:textId="78830D4B" w:rsidR="002A01CF" w:rsidRPr="00D2449B" w:rsidRDefault="00860EDE">
            <w:pPr>
              <w:rPr>
                <w:rFonts w:ascii="Calibri" w:hAnsi="Calibri"/>
                <w:b/>
                <w:szCs w:val="22"/>
              </w:rPr>
            </w:pPr>
            <w:r>
              <w:rPr>
                <w:rFonts w:ascii="Calibri" w:hAnsi="Calibri"/>
                <w:b/>
                <w:szCs w:val="22"/>
              </w:rPr>
              <w:t>N/A</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95173E" w14:textId="11815D7E" w:rsidR="002A01CF" w:rsidRPr="00DE4927" w:rsidRDefault="002A01CF">
            <w:pPr>
              <w:rPr>
                <w:rFonts w:ascii="Calibri" w:hAnsi="Calibri"/>
                <w:bCs/>
                <w:szCs w:val="22"/>
              </w:rPr>
            </w:pPr>
          </w:p>
        </w:tc>
      </w:tr>
      <w:tr w:rsidR="00C0704D" w:rsidRPr="00D2449B" w14:paraId="62663AAF"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49AC5C" w14:textId="3BF9C839" w:rsidR="00C0704D" w:rsidRPr="00C0704D" w:rsidRDefault="00C0704D" w:rsidP="0038566B">
            <w:pPr>
              <w:rPr>
                <w:rFonts w:ascii="Calibri" w:hAnsi="Calibri"/>
                <w:szCs w:val="22"/>
              </w:rPr>
            </w:pPr>
          </w:p>
        </w:tc>
      </w:tr>
      <w:tr w:rsidR="00C0704D" w:rsidRPr="00D2449B" w14:paraId="29EBDA1F" w14:textId="77777777" w:rsidTr="00DE4927">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29510069" w:rsidR="00C0704D" w:rsidRPr="00C0704D" w:rsidRDefault="00132A7C" w:rsidP="00692B60">
            <w:pPr>
              <w:rPr>
                <w:rFonts w:ascii="Calibri" w:hAnsi="Calibri"/>
                <w:szCs w:val="22"/>
              </w:rPr>
            </w:pPr>
            <w:r>
              <w:rPr>
                <w:rFonts w:ascii="Calibri" w:hAnsi="Calibri"/>
                <w:szCs w:val="22"/>
              </w:rPr>
              <w:t>No representations received.</w:t>
            </w:r>
          </w:p>
        </w:tc>
      </w:tr>
      <w:tr w:rsidR="00C0704D" w:rsidRPr="00D2449B" w14:paraId="1CDFA4C3" w14:textId="77777777" w:rsidTr="00DE4927">
        <w:trPr>
          <w:trHeight w:hRule="exact" w:val="170"/>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63F691" w14:textId="77777777" w:rsidR="00C0704D" w:rsidRPr="00D2449B" w:rsidRDefault="00C0704D" w:rsidP="00A63D55">
            <w:pPr>
              <w:pStyle w:val="PLANNING"/>
              <w:rPr>
                <w:rFonts w:ascii="Calibri" w:hAnsi="Calibri"/>
                <w:b/>
                <w:bCs/>
                <w:szCs w:val="22"/>
              </w:rPr>
            </w:pPr>
            <w:r w:rsidRPr="00D2449B">
              <w:rPr>
                <w:rFonts w:ascii="Calibri" w:hAnsi="Calibri"/>
                <w:b/>
                <w:bCs/>
                <w:szCs w:val="22"/>
              </w:rPr>
              <w:t>Ribble</w:t>
            </w:r>
            <w:r>
              <w:rPr>
                <w:rFonts w:ascii="Calibri" w:hAnsi="Calibri"/>
                <w:b/>
                <w:bCs/>
                <w:szCs w:val="22"/>
              </w:rPr>
              <w:t xml:space="preserve"> Valley Core Strategy:</w:t>
            </w:r>
          </w:p>
          <w:p w14:paraId="1DF6E328" w14:textId="77777777" w:rsidR="00C0704D" w:rsidRDefault="00C0704D" w:rsidP="00C0704D">
            <w:pPr>
              <w:rPr>
                <w:rFonts w:ascii="Calibri" w:hAnsi="Calibri"/>
                <w:b/>
                <w:szCs w:val="22"/>
              </w:rPr>
            </w:pPr>
          </w:p>
          <w:p w14:paraId="23753E24" w14:textId="77777777" w:rsidR="008542DE" w:rsidRPr="00C618DB" w:rsidRDefault="008542DE" w:rsidP="008542DE">
            <w:pPr>
              <w:pStyle w:val="PLANNING"/>
              <w:rPr>
                <w:rFonts w:ascii="Calibri" w:hAnsi="Calibri"/>
                <w:szCs w:val="22"/>
              </w:rPr>
            </w:pPr>
            <w:r w:rsidRPr="00C618DB">
              <w:rPr>
                <w:rFonts w:ascii="Calibri" w:hAnsi="Calibri"/>
                <w:szCs w:val="22"/>
              </w:rPr>
              <w:t>Key Statement DS1 – Development Strategy</w:t>
            </w:r>
          </w:p>
          <w:p w14:paraId="4826DE9C" w14:textId="4330AAAE" w:rsidR="008542DE" w:rsidRDefault="008542DE" w:rsidP="008542DE">
            <w:pPr>
              <w:pStyle w:val="PLANNING"/>
              <w:rPr>
                <w:rFonts w:ascii="Calibri" w:hAnsi="Calibri"/>
                <w:szCs w:val="22"/>
              </w:rPr>
            </w:pPr>
            <w:r w:rsidRPr="00C618DB">
              <w:rPr>
                <w:rFonts w:ascii="Calibri" w:hAnsi="Calibri"/>
                <w:szCs w:val="22"/>
              </w:rPr>
              <w:t>Key Statement DS2 – Sustainable Development</w:t>
            </w:r>
          </w:p>
          <w:p w14:paraId="4C660C6C" w14:textId="259D97CF" w:rsidR="00DE4927" w:rsidRDefault="00DE4927" w:rsidP="008542DE">
            <w:pPr>
              <w:pStyle w:val="PLANNING"/>
              <w:rPr>
                <w:rFonts w:ascii="Calibri" w:hAnsi="Calibri"/>
                <w:szCs w:val="22"/>
              </w:rPr>
            </w:pPr>
            <w:r>
              <w:rPr>
                <w:rFonts w:ascii="Calibri" w:hAnsi="Calibri"/>
                <w:szCs w:val="22"/>
              </w:rPr>
              <w:t>Key Statement EN5 – Heritage Assets</w:t>
            </w:r>
          </w:p>
          <w:p w14:paraId="4CF76C47" w14:textId="77777777" w:rsidR="0046548C" w:rsidRPr="00C618DB" w:rsidRDefault="0046548C" w:rsidP="008542DE">
            <w:pPr>
              <w:pStyle w:val="PLANNING"/>
              <w:rPr>
                <w:rFonts w:ascii="Calibri" w:hAnsi="Calibri"/>
                <w:szCs w:val="22"/>
              </w:rPr>
            </w:pPr>
          </w:p>
          <w:p w14:paraId="1636F1D2" w14:textId="77777777" w:rsidR="008542DE" w:rsidRPr="00C618DB" w:rsidRDefault="008542DE" w:rsidP="008542DE">
            <w:pPr>
              <w:pStyle w:val="PLANNING"/>
              <w:rPr>
                <w:rFonts w:ascii="Calibri" w:hAnsi="Calibri"/>
                <w:szCs w:val="22"/>
              </w:rPr>
            </w:pPr>
            <w:r w:rsidRPr="00C618DB">
              <w:rPr>
                <w:rFonts w:ascii="Calibri" w:hAnsi="Calibri"/>
                <w:szCs w:val="22"/>
              </w:rPr>
              <w:t>Policy DMG1 – General Considerations</w:t>
            </w:r>
          </w:p>
          <w:p w14:paraId="1360EE56" w14:textId="4CFBA4E3" w:rsidR="008542DE" w:rsidRDefault="00DE4927" w:rsidP="008542DE">
            <w:pPr>
              <w:pStyle w:val="PLANNING"/>
              <w:rPr>
                <w:rFonts w:ascii="Calibri" w:hAnsi="Calibri"/>
                <w:szCs w:val="22"/>
              </w:rPr>
            </w:pPr>
            <w:r>
              <w:rPr>
                <w:rFonts w:ascii="Calibri" w:hAnsi="Calibri"/>
                <w:szCs w:val="22"/>
              </w:rPr>
              <w:t>Policy DME4 – Protecting Heritage Assets</w:t>
            </w:r>
          </w:p>
          <w:p w14:paraId="43F5D8F2" w14:textId="77777777" w:rsidR="00DE4927" w:rsidRDefault="00DE4927" w:rsidP="008542DE">
            <w:pPr>
              <w:pStyle w:val="PLANNING"/>
              <w:rPr>
                <w:rFonts w:ascii="Calibri" w:hAnsi="Calibri"/>
                <w:szCs w:val="22"/>
              </w:rPr>
            </w:pPr>
          </w:p>
          <w:p w14:paraId="08A423E0" w14:textId="77777777" w:rsidR="008542DE" w:rsidRPr="00C618DB" w:rsidRDefault="008542DE" w:rsidP="008542DE">
            <w:pPr>
              <w:pStyle w:val="PLANNING"/>
              <w:rPr>
                <w:rFonts w:ascii="Calibri" w:hAnsi="Calibri"/>
                <w:szCs w:val="22"/>
              </w:rPr>
            </w:pPr>
            <w:r w:rsidRPr="00D11007">
              <w:rPr>
                <w:rFonts w:ascii="Calibri" w:hAnsi="Calibri"/>
                <w:szCs w:val="22"/>
              </w:rPr>
              <w:t>Planning (Listed Buildings and Conservation Areas) Act</w:t>
            </w:r>
          </w:p>
          <w:p w14:paraId="1C00F88E" w14:textId="77777777" w:rsidR="008542DE" w:rsidRDefault="008542DE" w:rsidP="008542DE">
            <w:pPr>
              <w:rPr>
                <w:rFonts w:ascii="Calibri" w:hAnsi="Calibri"/>
                <w:szCs w:val="22"/>
              </w:rPr>
            </w:pPr>
            <w:r w:rsidRPr="00C618DB">
              <w:rPr>
                <w:rFonts w:ascii="Calibri" w:hAnsi="Calibri"/>
                <w:szCs w:val="22"/>
              </w:rPr>
              <w:t>National Planning Policy Framework (NPPF)</w:t>
            </w:r>
          </w:p>
          <w:p w14:paraId="6C4C318E" w14:textId="77777777" w:rsidR="008542DE" w:rsidRPr="00D2449B" w:rsidRDefault="008542DE" w:rsidP="00C0704D">
            <w:pPr>
              <w:rPr>
                <w:rFonts w:ascii="Calibri" w:hAnsi="Calibri"/>
                <w:b/>
                <w:szCs w:val="22"/>
              </w:rPr>
            </w:pPr>
          </w:p>
        </w:tc>
      </w:tr>
      <w:tr w:rsidR="00C0704D" w:rsidRPr="00D2449B" w14:paraId="08181FD6"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6A71AD" w:rsidRDefault="00C0704D" w:rsidP="006A71AD">
            <w:pPr>
              <w:pStyle w:val="PLANNING"/>
              <w:rPr>
                <w:rFonts w:ascii="Calibri" w:hAnsi="Calibri"/>
                <w:b/>
                <w:bCs/>
                <w:szCs w:val="22"/>
              </w:rPr>
            </w:pPr>
            <w:r w:rsidRPr="006A71AD">
              <w:rPr>
                <w:rFonts w:ascii="Calibri" w:hAnsi="Calibri"/>
                <w:b/>
                <w:bCs/>
                <w:szCs w:val="22"/>
              </w:rPr>
              <w:t>Relevant Planning History:</w:t>
            </w:r>
          </w:p>
          <w:p w14:paraId="1D356246" w14:textId="77777777" w:rsidR="00C0704D" w:rsidRDefault="00C0704D" w:rsidP="00C0704D">
            <w:pPr>
              <w:pStyle w:val="PLANNING"/>
              <w:rPr>
                <w:rFonts w:ascii="Calibri" w:hAnsi="Calibri"/>
                <w:b/>
                <w:bCs/>
                <w:szCs w:val="22"/>
              </w:rPr>
            </w:pPr>
          </w:p>
          <w:p w14:paraId="5B28B971" w14:textId="3564B67F" w:rsidR="00346AB8" w:rsidRPr="00823AE0" w:rsidRDefault="00346AB8" w:rsidP="00C0704D">
            <w:pPr>
              <w:pStyle w:val="PLANNING"/>
              <w:rPr>
                <w:rFonts w:asciiTheme="minorHAnsi" w:hAnsiTheme="minorHAnsi" w:cstheme="minorHAnsi"/>
                <w:b/>
                <w:bCs/>
                <w:szCs w:val="22"/>
              </w:rPr>
            </w:pPr>
            <w:r w:rsidRPr="00823AE0">
              <w:rPr>
                <w:rFonts w:asciiTheme="minorHAnsi" w:hAnsiTheme="minorHAnsi" w:cstheme="minorHAnsi"/>
                <w:b/>
                <w:bCs/>
                <w:szCs w:val="22"/>
              </w:rPr>
              <w:t>20</w:t>
            </w:r>
            <w:r w:rsidR="00823AE0" w:rsidRPr="00823AE0">
              <w:rPr>
                <w:rFonts w:asciiTheme="minorHAnsi" w:hAnsiTheme="minorHAnsi" w:cstheme="minorHAnsi"/>
                <w:b/>
                <w:bCs/>
                <w:szCs w:val="22"/>
              </w:rPr>
              <w:t>23</w:t>
            </w:r>
            <w:r w:rsidRPr="00823AE0">
              <w:rPr>
                <w:rFonts w:asciiTheme="minorHAnsi" w:hAnsiTheme="minorHAnsi" w:cstheme="minorHAnsi"/>
                <w:b/>
                <w:bCs/>
                <w:szCs w:val="22"/>
              </w:rPr>
              <w:t>/0</w:t>
            </w:r>
            <w:r w:rsidR="00823AE0" w:rsidRPr="00823AE0">
              <w:rPr>
                <w:rFonts w:asciiTheme="minorHAnsi" w:hAnsiTheme="minorHAnsi" w:cstheme="minorHAnsi"/>
                <w:b/>
                <w:bCs/>
                <w:szCs w:val="22"/>
              </w:rPr>
              <w:t>987</w:t>
            </w:r>
            <w:r w:rsidRPr="00823AE0">
              <w:rPr>
                <w:rFonts w:asciiTheme="minorHAnsi" w:hAnsiTheme="minorHAnsi" w:cstheme="minorHAnsi"/>
                <w:b/>
                <w:bCs/>
                <w:szCs w:val="22"/>
              </w:rPr>
              <w:t>:</w:t>
            </w:r>
          </w:p>
          <w:p w14:paraId="0DFC45F3" w14:textId="75D74795" w:rsidR="00346AB8" w:rsidRPr="00823AE0" w:rsidRDefault="00823AE0" w:rsidP="00C0704D">
            <w:pPr>
              <w:pStyle w:val="PLANNING"/>
              <w:rPr>
                <w:rFonts w:asciiTheme="minorHAnsi" w:hAnsiTheme="minorHAnsi" w:cstheme="minorHAnsi"/>
                <w:szCs w:val="22"/>
              </w:rPr>
            </w:pPr>
            <w:r w:rsidRPr="00823AE0">
              <w:rPr>
                <w:rFonts w:asciiTheme="minorHAnsi" w:hAnsiTheme="minorHAnsi" w:cstheme="minorHAnsi"/>
                <w:color w:val="333333"/>
                <w:szCs w:val="22"/>
                <w:shd w:val="clear" w:color="auto" w:fill="FFFFFF"/>
              </w:rPr>
              <w:t>Listed Building consent for the proposed drilling of two boreholes and underground pipework within the front driveway of the property, installation of heat pump unit within the garage and associated internal and external pipework.</w:t>
            </w:r>
            <w:r w:rsidRPr="00823AE0">
              <w:rPr>
                <w:rFonts w:asciiTheme="minorHAnsi" w:hAnsiTheme="minorHAnsi" w:cstheme="minorHAnsi"/>
                <w:szCs w:val="22"/>
              </w:rPr>
              <w:t xml:space="preserve"> </w:t>
            </w:r>
            <w:r w:rsidR="00346AB8" w:rsidRPr="00823AE0">
              <w:rPr>
                <w:rFonts w:asciiTheme="minorHAnsi" w:hAnsiTheme="minorHAnsi" w:cstheme="minorHAnsi"/>
                <w:szCs w:val="22"/>
              </w:rPr>
              <w:t>(</w:t>
            </w:r>
            <w:r w:rsidRPr="00823AE0">
              <w:rPr>
                <w:rFonts w:asciiTheme="minorHAnsi" w:hAnsiTheme="minorHAnsi" w:cstheme="minorHAnsi"/>
                <w:szCs w:val="22"/>
              </w:rPr>
              <w:t>Pending</w:t>
            </w:r>
            <w:r w:rsidR="00346AB8" w:rsidRPr="00823AE0">
              <w:rPr>
                <w:rFonts w:asciiTheme="minorHAnsi" w:hAnsiTheme="minorHAnsi" w:cstheme="minorHAnsi"/>
                <w:szCs w:val="22"/>
              </w:rPr>
              <w:t>)</w:t>
            </w:r>
          </w:p>
          <w:p w14:paraId="256E7837" w14:textId="77777777" w:rsidR="00823AE0" w:rsidRPr="00823AE0" w:rsidRDefault="00823AE0" w:rsidP="00C0704D">
            <w:pPr>
              <w:pStyle w:val="PLANNING"/>
              <w:rPr>
                <w:rFonts w:asciiTheme="minorHAnsi" w:hAnsiTheme="minorHAnsi" w:cstheme="minorHAnsi"/>
                <w:szCs w:val="22"/>
              </w:rPr>
            </w:pPr>
          </w:p>
          <w:p w14:paraId="0B66A66D" w14:textId="686F2A18" w:rsidR="00823AE0" w:rsidRPr="00823AE0" w:rsidRDefault="00823AE0" w:rsidP="00823AE0">
            <w:pPr>
              <w:pStyle w:val="PLANNING"/>
              <w:rPr>
                <w:rFonts w:asciiTheme="minorHAnsi" w:hAnsiTheme="minorHAnsi" w:cstheme="minorHAnsi"/>
                <w:b/>
                <w:bCs/>
                <w:szCs w:val="22"/>
              </w:rPr>
            </w:pPr>
            <w:r w:rsidRPr="00823AE0">
              <w:rPr>
                <w:rFonts w:asciiTheme="minorHAnsi" w:hAnsiTheme="minorHAnsi" w:cstheme="minorHAnsi"/>
                <w:b/>
                <w:bCs/>
                <w:szCs w:val="22"/>
              </w:rPr>
              <w:t>2022/0402:</w:t>
            </w:r>
          </w:p>
          <w:p w14:paraId="08415A44" w14:textId="1325ECB4" w:rsidR="00823AE0" w:rsidRPr="00823AE0" w:rsidRDefault="00823AE0" w:rsidP="00C0704D">
            <w:pPr>
              <w:pStyle w:val="PLANNING"/>
              <w:rPr>
                <w:rFonts w:asciiTheme="minorHAnsi" w:hAnsiTheme="minorHAnsi" w:cstheme="minorHAnsi"/>
                <w:szCs w:val="22"/>
              </w:rPr>
            </w:pPr>
            <w:r w:rsidRPr="00823AE0">
              <w:rPr>
                <w:rFonts w:asciiTheme="minorHAnsi" w:hAnsiTheme="minorHAnsi" w:cstheme="minorHAnsi"/>
                <w:color w:val="333333"/>
                <w:szCs w:val="22"/>
                <w:shd w:val="clear" w:color="auto" w:fill="FFFFFF"/>
              </w:rPr>
              <w:t>Discharge of Condition 3 (Materials) of planning permission 3/2021/0813</w:t>
            </w:r>
            <w:r>
              <w:rPr>
                <w:rFonts w:asciiTheme="minorHAnsi" w:hAnsiTheme="minorHAnsi" w:cstheme="minorHAnsi"/>
                <w:color w:val="333333"/>
                <w:szCs w:val="22"/>
                <w:shd w:val="clear" w:color="auto" w:fill="FFFFFF"/>
              </w:rPr>
              <w:t>. (</w:t>
            </w:r>
            <w:r w:rsidRPr="00823AE0">
              <w:rPr>
                <w:rFonts w:asciiTheme="minorHAnsi" w:hAnsiTheme="minorHAnsi" w:cstheme="minorHAnsi"/>
                <w:color w:val="333333"/>
                <w:szCs w:val="22"/>
                <w:shd w:val="clear" w:color="auto" w:fill="FFFFFF"/>
              </w:rPr>
              <w:t>Approved</w:t>
            </w:r>
            <w:r>
              <w:rPr>
                <w:rFonts w:asciiTheme="minorHAnsi" w:hAnsiTheme="minorHAnsi" w:cstheme="minorHAnsi"/>
                <w:color w:val="333333"/>
                <w:szCs w:val="22"/>
                <w:shd w:val="clear" w:color="auto" w:fill="FFFFFF"/>
              </w:rPr>
              <w:t>)</w:t>
            </w:r>
          </w:p>
          <w:p w14:paraId="38743A97" w14:textId="77777777" w:rsidR="00823AE0" w:rsidRPr="00823AE0" w:rsidRDefault="00823AE0" w:rsidP="00C0704D">
            <w:pPr>
              <w:pStyle w:val="PLANNING"/>
              <w:rPr>
                <w:rFonts w:asciiTheme="minorHAnsi" w:hAnsiTheme="minorHAnsi" w:cstheme="minorHAnsi"/>
                <w:szCs w:val="22"/>
              </w:rPr>
            </w:pPr>
          </w:p>
          <w:p w14:paraId="6D9EF73C" w14:textId="287D29CA" w:rsidR="00275CC1" w:rsidRPr="00823AE0" w:rsidRDefault="00860EDE" w:rsidP="00860EDE">
            <w:pPr>
              <w:pStyle w:val="PLANNING"/>
              <w:rPr>
                <w:rFonts w:asciiTheme="minorHAnsi" w:hAnsiTheme="minorHAnsi" w:cstheme="minorHAnsi"/>
                <w:b/>
                <w:bCs/>
                <w:szCs w:val="22"/>
              </w:rPr>
            </w:pPr>
            <w:r w:rsidRPr="00823AE0">
              <w:rPr>
                <w:rFonts w:asciiTheme="minorHAnsi" w:hAnsiTheme="minorHAnsi" w:cstheme="minorHAnsi"/>
                <w:b/>
                <w:bCs/>
                <w:szCs w:val="22"/>
              </w:rPr>
              <w:t>20</w:t>
            </w:r>
            <w:r w:rsidR="00823AE0" w:rsidRPr="00823AE0">
              <w:rPr>
                <w:rFonts w:asciiTheme="minorHAnsi" w:hAnsiTheme="minorHAnsi" w:cstheme="minorHAnsi"/>
                <w:b/>
                <w:bCs/>
                <w:szCs w:val="22"/>
              </w:rPr>
              <w:t>21</w:t>
            </w:r>
            <w:r w:rsidRPr="00823AE0">
              <w:rPr>
                <w:rFonts w:asciiTheme="minorHAnsi" w:hAnsiTheme="minorHAnsi" w:cstheme="minorHAnsi"/>
                <w:b/>
                <w:bCs/>
                <w:szCs w:val="22"/>
              </w:rPr>
              <w:t>/0</w:t>
            </w:r>
            <w:r w:rsidR="00823AE0" w:rsidRPr="00823AE0">
              <w:rPr>
                <w:rFonts w:asciiTheme="minorHAnsi" w:hAnsiTheme="minorHAnsi" w:cstheme="minorHAnsi"/>
                <w:b/>
                <w:bCs/>
                <w:szCs w:val="22"/>
              </w:rPr>
              <w:t>813</w:t>
            </w:r>
            <w:r w:rsidRPr="00823AE0">
              <w:rPr>
                <w:rFonts w:asciiTheme="minorHAnsi" w:hAnsiTheme="minorHAnsi" w:cstheme="minorHAnsi"/>
                <w:b/>
                <w:bCs/>
                <w:szCs w:val="22"/>
              </w:rPr>
              <w:t>:</w:t>
            </w:r>
          </w:p>
          <w:p w14:paraId="70CF51FB" w14:textId="10D0AF88" w:rsidR="00860EDE" w:rsidRPr="00823AE0" w:rsidRDefault="00823AE0" w:rsidP="00860EDE">
            <w:pPr>
              <w:pStyle w:val="PLANNING"/>
              <w:rPr>
                <w:rFonts w:asciiTheme="minorHAnsi" w:hAnsiTheme="minorHAnsi" w:cstheme="minorHAnsi"/>
                <w:szCs w:val="22"/>
              </w:rPr>
            </w:pPr>
            <w:r w:rsidRPr="00823AE0">
              <w:rPr>
                <w:rFonts w:asciiTheme="minorHAnsi" w:hAnsiTheme="minorHAnsi" w:cstheme="minorHAnsi"/>
                <w:color w:val="333333"/>
                <w:szCs w:val="22"/>
                <w:shd w:val="clear" w:color="auto" w:fill="FFFFFF"/>
              </w:rPr>
              <w:t>The removal of existing garden shed and greenhouse and the construction of a combined shed/greenhouse in the same location</w:t>
            </w:r>
            <w:r>
              <w:rPr>
                <w:rFonts w:asciiTheme="minorHAnsi" w:hAnsiTheme="minorHAnsi" w:cstheme="minorHAnsi"/>
                <w:color w:val="333333"/>
                <w:szCs w:val="22"/>
                <w:shd w:val="clear" w:color="auto" w:fill="FFFFFF"/>
              </w:rPr>
              <w:t>.</w:t>
            </w:r>
            <w:r w:rsidRPr="00823AE0">
              <w:rPr>
                <w:rFonts w:asciiTheme="minorHAnsi" w:hAnsiTheme="minorHAnsi" w:cstheme="minorHAnsi"/>
                <w:szCs w:val="22"/>
              </w:rPr>
              <w:t xml:space="preserve"> </w:t>
            </w:r>
            <w:r w:rsidR="00860EDE" w:rsidRPr="00823AE0">
              <w:rPr>
                <w:rFonts w:asciiTheme="minorHAnsi" w:hAnsiTheme="minorHAnsi" w:cstheme="minorHAnsi"/>
                <w:szCs w:val="22"/>
              </w:rPr>
              <w:t>(Approved)</w:t>
            </w:r>
          </w:p>
          <w:p w14:paraId="0C4718FE" w14:textId="77777777" w:rsidR="00860EDE" w:rsidRPr="00823AE0" w:rsidRDefault="00860EDE" w:rsidP="00860EDE">
            <w:pPr>
              <w:pStyle w:val="PLANNING"/>
              <w:rPr>
                <w:rFonts w:asciiTheme="minorHAnsi" w:hAnsiTheme="minorHAnsi" w:cstheme="minorHAnsi"/>
                <w:szCs w:val="22"/>
              </w:rPr>
            </w:pPr>
          </w:p>
          <w:p w14:paraId="1EFA2311" w14:textId="4E2C2A1F" w:rsidR="00860EDE" w:rsidRPr="00823AE0" w:rsidRDefault="00860EDE" w:rsidP="00860EDE">
            <w:pPr>
              <w:pStyle w:val="PLANNING"/>
              <w:rPr>
                <w:rFonts w:asciiTheme="minorHAnsi" w:hAnsiTheme="minorHAnsi" w:cstheme="minorHAnsi"/>
                <w:b/>
                <w:bCs/>
                <w:szCs w:val="22"/>
              </w:rPr>
            </w:pPr>
            <w:r w:rsidRPr="00823AE0">
              <w:rPr>
                <w:rFonts w:asciiTheme="minorHAnsi" w:hAnsiTheme="minorHAnsi" w:cstheme="minorHAnsi"/>
                <w:b/>
                <w:bCs/>
                <w:szCs w:val="22"/>
              </w:rPr>
              <w:t>20</w:t>
            </w:r>
            <w:r w:rsidR="00823AE0" w:rsidRPr="00823AE0">
              <w:rPr>
                <w:rFonts w:asciiTheme="minorHAnsi" w:hAnsiTheme="minorHAnsi" w:cstheme="minorHAnsi"/>
                <w:b/>
                <w:bCs/>
                <w:szCs w:val="22"/>
              </w:rPr>
              <w:t>20</w:t>
            </w:r>
            <w:r w:rsidRPr="00823AE0">
              <w:rPr>
                <w:rFonts w:asciiTheme="minorHAnsi" w:hAnsiTheme="minorHAnsi" w:cstheme="minorHAnsi"/>
                <w:b/>
                <w:bCs/>
                <w:szCs w:val="22"/>
              </w:rPr>
              <w:t>/0</w:t>
            </w:r>
            <w:r w:rsidR="00823AE0" w:rsidRPr="00823AE0">
              <w:rPr>
                <w:rFonts w:asciiTheme="minorHAnsi" w:hAnsiTheme="minorHAnsi" w:cstheme="minorHAnsi"/>
                <w:b/>
                <w:bCs/>
                <w:szCs w:val="22"/>
              </w:rPr>
              <w:t>141</w:t>
            </w:r>
            <w:r w:rsidRPr="00823AE0">
              <w:rPr>
                <w:rFonts w:asciiTheme="minorHAnsi" w:hAnsiTheme="minorHAnsi" w:cstheme="minorHAnsi"/>
                <w:b/>
                <w:bCs/>
                <w:szCs w:val="22"/>
              </w:rPr>
              <w:t>:</w:t>
            </w:r>
          </w:p>
          <w:p w14:paraId="17147D50" w14:textId="199B6B29" w:rsidR="00860EDE" w:rsidRPr="00823AE0" w:rsidRDefault="00823AE0" w:rsidP="00823AE0">
            <w:pPr>
              <w:pStyle w:val="PLANNING"/>
              <w:rPr>
                <w:rFonts w:asciiTheme="minorHAnsi" w:hAnsiTheme="minorHAnsi" w:cstheme="minorHAnsi"/>
                <w:szCs w:val="22"/>
              </w:rPr>
            </w:pPr>
            <w:r w:rsidRPr="00823AE0">
              <w:rPr>
                <w:rFonts w:asciiTheme="minorHAnsi" w:hAnsiTheme="minorHAnsi" w:cstheme="minorHAnsi"/>
                <w:color w:val="333333"/>
                <w:szCs w:val="22"/>
                <w:shd w:val="clear" w:color="auto" w:fill="FFFFFF"/>
              </w:rPr>
              <w:t xml:space="preserve">Repair and renew, like for like, damaged cast iron guttering/downpipes at front of kitchen and main dwelling. Replacement of black PVC downpipe adjacent to front door with cast iron equivalent. Rationalise arrangement of pipes and hopper above/adjacent to front door to reduce visual impact if possible. Removal of </w:t>
            </w:r>
            <w:proofErr w:type="gramStart"/>
            <w:r w:rsidRPr="00823AE0">
              <w:rPr>
                <w:rFonts w:asciiTheme="minorHAnsi" w:hAnsiTheme="minorHAnsi" w:cstheme="minorHAnsi"/>
                <w:color w:val="333333"/>
                <w:szCs w:val="22"/>
                <w:shd w:val="clear" w:color="auto" w:fill="FFFFFF"/>
              </w:rPr>
              <w:t>cement based</w:t>
            </w:r>
            <w:proofErr w:type="gramEnd"/>
            <w:r w:rsidRPr="00823AE0">
              <w:rPr>
                <w:rFonts w:asciiTheme="minorHAnsi" w:hAnsiTheme="minorHAnsi" w:cstheme="minorHAnsi"/>
                <w:color w:val="333333"/>
                <w:szCs w:val="22"/>
                <w:shd w:val="clear" w:color="auto" w:fill="FFFFFF"/>
              </w:rPr>
              <w:t xml:space="preserve"> repair mortars with hand tools and repoint worn lime mortar joints to match existing lime mortar using traditional methods. Installation of traditional style glass roofed veranda to side of main dwelling. Installation of a glass roofed link between kitchen and wash house to allow secure dry route between buildings. (Approved)</w:t>
            </w:r>
          </w:p>
        </w:tc>
      </w:tr>
      <w:tr w:rsidR="00C0704D" w:rsidRPr="00D2449B" w14:paraId="6AAC3B0A" w14:textId="77777777" w:rsidTr="00DE4927">
        <w:trPr>
          <w:trHeight w:hRule="exact" w:val="170"/>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t>ASSESSMENT OF PROPOSED DEVELOPMENT:</w:t>
            </w:r>
          </w:p>
        </w:tc>
      </w:tr>
      <w:tr w:rsidR="00C0704D" w:rsidRPr="00D2449B" w14:paraId="7538C7A5"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440CB6">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2A719392" w14:textId="77777777" w:rsidR="00C0704D" w:rsidRDefault="00C0704D" w:rsidP="00811771">
            <w:pPr>
              <w:pStyle w:val="Header"/>
              <w:tabs>
                <w:tab w:val="clear" w:pos="4153"/>
                <w:tab w:val="clear" w:pos="8306"/>
              </w:tabs>
              <w:contextualSpacing/>
              <w:jc w:val="both"/>
              <w:rPr>
                <w:rFonts w:ascii="Calibri" w:hAnsi="Calibri"/>
                <w:bCs/>
                <w:szCs w:val="22"/>
              </w:rPr>
            </w:pPr>
          </w:p>
          <w:p w14:paraId="2CA4BA72" w14:textId="161B3E14" w:rsidR="00823AE0" w:rsidRDefault="00823AE0" w:rsidP="00823AE0">
            <w:pPr>
              <w:pStyle w:val="Header"/>
              <w:tabs>
                <w:tab w:val="left" w:pos="720"/>
              </w:tabs>
              <w:jc w:val="both"/>
              <w:rPr>
                <w:rFonts w:asciiTheme="minorHAnsi" w:hAnsiTheme="minorHAnsi" w:cstheme="minorHAnsi"/>
                <w:szCs w:val="22"/>
                <w:shd w:val="clear" w:color="auto" w:fill="FFFFFF"/>
              </w:rPr>
            </w:pPr>
            <w:r>
              <w:rPr>
                <w:rFonts w:ascii="Calibri" w:hAnsi="Calibri"/>
                <w:szCs w:val="22"/>
              </w:rPr>
              <w:t xml:space="preserve">Grove House was Grade II listed on 10/9/19. It is a </w:t>
            </w:r>
            <w:r>
              <w:rPr>
                <w:rFonts w:asciiTheme="minorHAnsi" w:hAnsiTheme="minorHAnsi" w:cstheme="minorHAnsi"/>
                <w:szCs w:val="22"/>
                <w:shd w:val="clear" w:color="auto" w:fill="FFFFFF"/>
              </w:rPr>
              <w:t>house, built in the late C18 by the owners of Kirk Mill, extended in the mid- to later C19.</w:t>
            </w:r>
          </w:p>
          <w:p w14:paraId="46916B39" w14:textId="77777777" w:rsidR="00823AE0" w:rsidRDefault="00823AE0" w:rsidP="00823AE0">
            <w:pPr>
              <w:pStyle w:val="Header"/>
              <w:tabs>
                <w:tab w:val="left" w:pos="720"/>
              </w:tabs>
              <w:jc w:val="both"/>
              <w:rPr>
                <w:rFonts w:asciiTheme="minorHAnsi" w:hAnsiTheme="minorHAnsi" w:cstheme="minorHAnsi"/>
                <w:szCs w:val="22"/>
                <w:shd w:val="clear" w:color="auto" w:fill="FFFFFF"/>
              </w:rPr>
            </w:pPr>
          </w:p>
          <w:p w14:paraId="53CB524E" w14:textId="77777777" w:rsidR="00823AE0" w:rsidRDefault="00823AE0" w:rsidP="00823AE0">
            <w:pPr>
              <w:pStyle w:val="Header"/>
              <w:tabs>
                <w:tab w:val="left" w:pos="720"/>
              </w:tabs>
              <w:jc w:val="both"/>
              <w:rPr>
                <w:rFonts w:asciiTheme="minorHAnsi" w:hAnsiTheme="minorHAnsi" w:cstheme="minorHAnsi"/>
                <w:szCs w:val="22"/>
                <w:shd w:val="clear" w:color="auto" w:fill="FFFFFF"/>
              </w:rPr>
            </w:pPr>
            <w:r>
              <w:rPr>
                <w:rFonts w:asciiTheme="minorHAnsi" w:hAnsiTheme="minorHAnsi" w:cstheme="minorHAnsi"/>
                <w:szCs w:val="22"/>
                <w:shd w:val="clear" w:color="auto" w:fill="FFFFFF"/>
              </w:rPr>
              <w:t>The list description identifies reasons for designation:</w:t>
            </w:r>
          </w:p>
          <w:p w14:paraId="3A216A0E" w14:textId="77777777" w:rsidR="00823AE0" w:rsidRDefault="00823AE0" w:rsidP="00823AE0">
            <w:pPr>
              <w:pStyle w:val="Header"/>
              <w:tabs>
                <w:tab w:val="left" w:pos="720"/>
              </w:tabs>
              <w:jc w:val="both"/>
              <w:rPr>
                <w:rFonts w:asciiTheme="minorHAnsi" w:hAnsiTheme="minorHAnsi" w:cstheme="minorHAnsi"/>
                <w:szCs w:val="22"/>
                <w:shd w:val="clear" w:color="auto" w:fill="FFFFFF"/>
              </w:rPr>
            </w:pPr>
          </w:p>
          <w:p w14:paraId="2EEE6E42" w14:textId="77777777" w:rsidR="00823AE0" w:rsidRPr="00823AE0" w:rsidRDefault="00823AE0" w:rsidP="00823AE0">
            <w:pPr>
              <w:pStyle w:val="Header"/>
              <w:tabs>
                <w:tab w:val="left" w:pos="720"/>
              </w:tabs>
              <w:rPr>
                <w:rFonts w:asciiTheme="minorHAnsi" w:hAnsiTheme="minorHAnsi" w:cstheme="minorHAnsi"/>
                <w:i/>
                <w:iCs/>
                <w:szCs w:val="22"/>
                <w:shd w:val="clear" w:color="auto" w:fill="FFFFFF"/>
              </w:rPr>
            </w:pPr>
            <w:r w:rsidRPr="00823AE0">
              <w:rPr>
                <w:rFonts w:asciiTheme="minorHAnsi" w:hAnsiTheme="minorHAnsi" w:cstheme="minorHAnsi"/>
                <w:i/>
                <w:iCs/>
                <w:szCs w:val="22"/>
                <w:shd w:val="clear" w:color="auto" w:fill="FFFFFF"/>
              </w:rPr>
              <w:t xml:space="preserve">Architectural interest: largely intact late-C18 dwelling; articulation of the principal elevation and the good use of materials, combine to produce an attractive composition; retains a largely intact plan-form and a suite of original late-C18 features including a staircase, doors and fitted cupboards, unified by the incorporation of a reeded decoration; illustrates the conventions of a higher status dwelling modified by a vernacular approach within a strong local context. </w:t>
            </w:r>
          </w:p>
          <w:p w14:paraId="7F66F7B3" w14:textId="77777777" w:rsidR="00823AE0" w:rsidRPr="00823AE0" w:rsidRDefault="00823AE0" w:rsidP="00823AE0">
            <w:pPr>
              <w:pStyle w:val="Header"/>
              <w:tabs>
                <w:tab w:val="left" w:pos="720"/>
              </w:tabs>
              <w:rPr>
                <w:rFonts w:asciiTheme="minorHAnsi" w:hAnsiTheme="minorHAnsi" w:cstheme="minorHAnsi"/>
                <w:i/>
                <w:iCs/>
                <w:szCs w:val="22"/>
                <w:shd w:val="clear" w:color="auto" w:fill="FFFFFF"/>
              </w:rPr>
            </w:pPr>
          </w:p>
          <w:p w14:paraId="364068B2" w14:textId="77777777" w:rsidR="00823AE0" w:rsidRPr="00823AE0" w:rsidRDefault="00823AE0" w:rsidP="00823AE0">
            <w:pPr>
              <w:pStyle w:val="Header"/>
              <w:tabs>
                <w:tab w:val="left" w:pos="720"/>
              </w:tabs>
              <w:rPr>
                <w:rFonts w:asciiTheme="minorHAnsi" w:hAnsiTheme="minorHAnsi" w:cstheme="minorHAnsi"/>
                <w:i/>
                <w:iCs/>
                <w:szCs w:val="22"/>
                <w:shd w:val="clear" w:color="auto" w:fill="FFFFFF"/>
              </w:rPr>
            </w:pPr>
            <w:r w:rsidRPr="00823AE0">
              <w:rPr>
                <w:rFonts w:asciiTheme="minorHAnsi" w:hAnsiTheme="minorHAnsi" w:cstheme="minorHAnsi"/>
                <w:i/>
                <w:iCs/>
                <w:szCs w:val="22"/>
                <w:shd w:val="clear" w:color="auto" w:fill="FFFFFF"/>
              </w:rPr>
              <w:t>Historic interest:</w:t>
            </w:r>
            <w:r w:rsidRPr="00823AE0">
              <w:rPr>
                <w:rFonts w:asciiTheme="minorHAnsi" w:hAnsiTheme="minorHAnsi" w:cstheme="minorHAnsi"/>
                <w:i/>
                <w:iCs/>
                <w:szCs w:val="22"/>
              </w:rPr>
              <w:t xml:space="preserve"> </w:t>
            </w:r>
            <w:r w:rsidRPr="00823AE0">
              <w:rPr>
                <w:rFonts w:asciiTheme="minorHAnsi" w:hAnsiTheme="minorHAnsi" w:cstheme="minorHAnsi"/>
                <w:i/>
                <w:iCs/>
                <w:szCs w:val="22"/>
                <w:shd w:val="clear" w:color="auto" w:fill="FFFFFF"/>
              </w:rPr>
              <w:t xml:space="preserve">constructed by the owners of one of the earliest cotton spinning mills in England, which included the pioneering designer of textile machinery Peter Atherton. </w:t>
            </w:r>
          </w:p>
          <w:p w14:paraId="0C08A548" w14:textId="2C3988C3" w:rsidR="00823AE0" w:rsidRPr="00823AE0" w:rsidRDefault="00823AE0" w:rsidP="00823AE0">
            <w:pPr>
              <w:pStyle w:val="Header"/>
              <w:tabs>
                <w:tab w:val="left" w:pos="720"/>
              </w:tabs>
              <w:rPr>
                <w:rFonts w:asciiTheme="minorHAnsi" w:hAnsiTheme="minorHAnsi" w:cstheme="minorHAnsi"/>
                <w:i/>
                <w:iCs/>
                <w:szCs w:val="22"/>
                <w:shd w:val="clear" w:color="auto" w:fill="FFFFFF"/>
              </w:rPr>
            </w:pPr>
            <w:r w:rsidRPr="00823AE0">
              <w:rPr>
                <w:rFonts w:asciiTheme="minorHAnsi" w:hAnsiTheme="minorHAnsi" w:cstheme="minorHAnsi"/>
                <w:i/>
                <w:iCs/>
                <w:szCs w:val="22"/>
              </w:rPr>
              <w:br/>
            </w:r>
            <w:r w:rsidRPr="00823AE0">
              <w:rPr>
                <w:rFonts w:asciiTheme="minorHAnsi" w:hAnsiTheme="minorHAnsi" w:cstheme="minorHAnsi"/>
                <w:i/>
                <w:iCs/>
                <w:szCs w:val="22"/>
                <w:shd w:val="clear" w:color="auto" w:fill="FFFFFF"/>
              </w:rPr>
              <w:t>Group value: benefits from a spatial, historic and functional group value with the Grade II-listed Kirk Mill and Kirk House.</w:t>
            </w:r>
          </w:p>
          <w:p w14:paraId="42B983B0" w14:textId="77777777" w:rsidR="00823AE0" w:rsidRDefault="00823AE0" w:rsidP="00823AE0">
            <w:pPr>
              <w:pStyle w:val="Header"/>
              <w:tabs>
                <w:tab w:val="left" w:pos="720"/>
              </w:tabs>
              <w:rPr>
                <w:rFonts w:asciiTheme="minorHAnsi" w:hAnsiTheme="minorHAnsi" w:cstheme="minorHAnsi"/>
                <w:szCs w:val="22"/>
                <w:shd w:val="clear" w:color="auto" w:fill="FFFFFF"/>
              </w:rPr>
            </w:pPr>
          </w:p>
          <w:p w14:paraId="61FDCA2E" w14:textId="77777777" w:rsidR="00823AE0" w:rsidRDefault="00823AE0" w:rsidP="00823AE0">
            <w:pPr>
              <w:pStyle w:val="Header"/>
              <w:tabs>
                <w:tab w:val="left" w:pos="720"/>
              </w:tabs>
              <w:rPr>
                <w:rFonts w:asciiTheme="minorHAnsi" w:hAnsiTheme="minorHAnsi" w:cstheme="minorHAnsi"/>
                <w:szCs w:val="22"/>
                <w:shd w:val="clear" w:color="auto" w:fill="FFFFFF"/>
              </w:rPr>
            </w:pPr>
            <w:r>
              <w:rPr>
                <w:rFonts w:asciiTheme="minorHAnsi" w:hAnsiTheme="minorHAnsi" w:cstheme="minorHAnsi"/>
                <w:szCs w:val="22"/>
                <w:shd w:val="clear" w:color="auto" w:fill="FFFFFF"/>
              </w:rPr>
              <w:t>The list description also identifies:</w:t>
            </w:r>
          </w:p>
          <w:p w14:paraId="60423F58" w14:textId="77777777" w:rsidR="00823AE0" w:rsidRDefault="00823AE0" w:rsidP="00823AE0">
            <w:pPr>
              <w:pStyle w:val="Header"/>
              <w:tabs>
                <w:tab w:val="left" w:pos="720"/>
              </w:tabs>
              <w:rPr>
                <w:rFonts w:asciiTheme="minorHAnsi" w:hAnsiTheme="minorHAnsi" w:cstheme="minorHAnsi"/>
                <w:szCs w:val="22"/>
                <w:shd w:val="clear" w:color="auto" w:fill="FFFFFF"/>
              </w:rPr>
            </w:pPr>
            <w:r>
              <w:rPr>
                <w:rFonts w:asciiTheme="minorHAnsi" w:hAnsiTheme="minorHAnsi" w:cstheme="minorHAnsi"/>
                <w:szCs w:val="22"/>
                <w:shd w:val="clear" w:color="auto" w:fill="FFFFFF"/>
              </w:rPr>
              <w:t xml:space="preserve"> </w:t>
            </w:r>
          </w:p>
          <w:p w14:paraId="6603B528" w14:textId="741BA506" w:rsidR="00823AE0" w:rsidRPr="00823AE0" w:rsidRDefault="00823AE0" w:rsidP="00823AE0">
            <w:pPr>
              <w:pStyle w:val="Header"/>
              <w:tabs>
                <w:tab w:val="left" w:pos="720"/>
              </w:tabs>
              <w:jc w:val="both"/>
              <w:rPr>
                <w:rFonts w:asciiTheme="minorHAnsi" w:hAnsiTheme="minorHAnsi" w:cstheme="minorHAnsi"/>
                <w:i/>
                <w:iCs/>
                <w:szCs w:val="22"/>
                <w:shd w:val="clear" w:color="auto" w:fill="FFFFFF"/>
              </w:rPr>
            </w:pPr>
            <w:r w:rsidRPr="00823AE0">
              <w:rPr>
                <w:rFonts w:asciiTheme="minorHAnsi" w:hAnsiTheme="minorHAnsi" w:cstheme="minorHAnsi"/>
                <w:i/>
                <w:iCs/>
                <w:szCs w:val="22"/>
                <w:shd w:val="clear" w:color="auto" w:fill="FFFFFF"/>
              </w:rPr>
              <w:t>Historic mapping indicates that a half-width, single-storey extension and slightly later lean-to were added to the east gable between 1844 and 1892. At an unknown date, the east gable of the building containing the chimney flues and stacks was modified and partially rebuilt, indicated by unbonded quoins to the north-east corner and a projecting moulded eaves cornice to the south-east corner. The fenestration to the north elevation has also been modified.</w:t>
            </w:r>
          </w:p>
          <w:p w14:paraId="28C9AAB4" w14:textId="77777777" w:rsidR="00823AE0" w:rsidRDefault="00823AE0" w:rsidP="00823AE0">
            <w:pPr>
              <w:pStyle w:val="Header"/>
              <w:tabs>
                <w:tab w:val="left" w:pos="720"/>
              </w:tabs>
              <w:jc w:val="both"/>
              <w:rPr>
                <w:rFonts w:ascii="Calibri" w:hAnsi="Calibri"/>
                <w:szCs w:val="22"/>
              </w:rPr>
            </w:pPr>
          </w:p>
          <w:p w14:paraId="753DCFD7" w14:textId="3C89B519" w:rsidR="00823AE0" w:rsidRDefault="00823AE0" w:rsidP="00823AE0">
            <w:pPr>
              <w:pStyle w:val="Header"/>
              <w:tabs>
                <w:tab w:val="left" w:pos="720"/>
              </w:tabs>
              <w:jc w:val="both"/>
              <w:rPr>
                <w:rFonts w:ascii="Calibri" w:hAnsi="Calibri"/>
                <w:szCs w:val="22"/>
              </w:rPr>
            </w:pPr>
            <w:r>
              <w:rPr>
                <w:rFonts w:ascii="Calibri" w:hAnsi="Calibri"/>
                <w:szCs w:val="22"/>
              </w:rPr>
              <w:t xml:space="preserve">The close visual and historic relationship between Grove House, Kirk Mill </w:t>
            </w:r>
            <w:r>
              <w:rPr>
                <w:rFonts w:ascii="Calibri" w:hAnsi="Calibri" w:cs="Arial"/>
                <w:color w:val="000000"/>
                <w:szCs w:val="22"/>
              </w:rPr>
              <w:t xml:space="preserve">and its associated mill ponds retaining walls, outflow and stone-built </w:t>
            </w:r>
            <w:proofErr w:type="spellStart"/>
            <w:r>
              <w:rPr>
                <w:rFonts w:ascii="Calibri" w:hAnsi="Calibri" w:cs="Arial"/>
                <w:color w:val="000000"/>
                <w:szCs w:val="22"/>
              </w:rPr>
              <w:t>leat</w:t>
            </w:r>
            <w:proofErr w:type="spellEnd"/>
            <w:r w:rsidR="00EB3E14">
              <w:rPr>
                <w:rFonts w:ascii="Calibri" w:hAnsi="Calibri" w:cs="Arial"/>
                <w:color w:val="000000"/>
                <w:szCs w:val="22"/>
              </w:rPr>
              <w:t xml:space="preserve"> </w:t>
            </w:r>
            <w:r>
              <w:rPr>
                <w:rFonts w:ascii="Calibri" w:hAnsi="Calibri"/>
                <w:szCs w:val="22"/>
              </w:rPr>
              <w:t xml:space="preserve">(Grade II) and Kirk House (Grade II) means that works to the exterior of Grove House affects the setting of the other listed buildings in the group. </w:t>
            </w:r>
          </w:p>
          <w:p w14:paraId="5F5B6370" w14:textId="77777777" w:rsidR="00823AE0" w:rsidRDefault="00823AE0" w:rsidP="00823AE0">
            <w:pPr>
              <w:pStyle w:val="Header"/>
              <w:tabs>
                <w:tab w:val="left" w:pos="720"/>
              </w:tabs>
              <w:jc w:val="both"/>
              <w:rPr>
                <w:rFonts w:asciiTheme="minorHAnsi" w:hAnsiTheme="minorHAnsi" w:cstheme="minorHAnsi"/>
              </w:rPr>
            </w:pPr>
          </w:p>
          <w:p w14:paraId="1F5D650C" w14:textId="4AF61315" w:rsidR="00EB3E14" w:rsidRDefault="00823AE0" w:rsidP="00EB3E14">
            <w:pPr>
              <w:pStyle w:val="Header"/>
              <w:tabs>
                <w:tab w:val="left" w:pos="720"/>
              </w:tabs>
              <w:jc w:val="both"/>
              <w:rPr>
                <w:rFonts w:ascii="Calibri" w:hAnsi="Calibri"/>
                <w:szCs w:val="22"/>
              </w:rPr>
            </w:pPr>
            <w:r>
              <w:rPr>
                <w:rFonts w:ascii="Calibri" w:hAnsi="Calibri"/>
                <w:szCs w:val="22"/>
              </w:rPr>
              <w:t>Grove House is very prominently sited adjoining Malt Kiln Lane</w:t>
            </w:r>
            <w:r w:rsidR="00EB3E14">
              <w:rPr>
                <w:rFonts w:ascii="Calibri" w:hAnsi="Calibri"/>
                <w:szCs w:val="22"/>
              </w:rPr>
              <w:t xml:space="preserve"> and within Kirk Mill Conservation Area</w:t>
            </w:r>
            <w:r>
              <w:rPr>
                <w:rFonts w:ascii="Calibri" w:hAnsi="Calibri"/>
                <w:szCs w:val="22"/>
              </w:rPr>
              <w:t xml:space="preserve">. </w:t>
            </w:r>
            <w:r w:rsidR="00EB3E14">
              <w:rPr>
                <w:rFonts w:ascii="Calibri" w:hAnsi="Calibri"/>
                <w:szCs w:val="22"/>
              </w:rPr>
              <w:t xml:space="preserve">An </w:t>
            </w:r>
            <w:proofErr w:type="gramStart"/>
            <w:r w:rsidR="00EB3E14">
              <w:rPr>
                <w:rFonts w:ascii="Calibri" w:hAnsi="Calibri"/>
                <w:szCs w:val="22"/>
              </w:rPr>
              <w:t>Article</w:t>
            </w:r>
            <w:proofErr w:type="gramEnd"/>
            <w:r w:rsidR="00EB3E14">
              <w:rPr>
                <w:rFonts w:ascii="Calibri" w:hAnsi="Calibri"/>
                <w:szCs w:val="22"/>
              </w:rPr>
              <w:t xml:space="preserve"> 4(2) Direction came into force on the 26 May 2011 to </w:t>
            </w:r>
            <w:r w:rsidR="00EB3E14">
              <w:rPr>
                <w:rFonts w:ascii="Calibri" w:hAnsi="Calibri"/>
                <w:i/>
                <w:szCs w:val="22"/>
              </w:rPr>
              <w:t>control the potentially very damaging consequences of residential ‘permitted development’ works to this prominent building</w:t>
            </w:r>
            <w:r w:rsidR="00EB3E14">
              <w:rPr>
                <w:rFonts w:ascii="Calibri" w:hAnsi="Calibri"/>
                <w:szCs w:val="22"/>
              </w:rPr>
              <w:t>.</w:t>
            </w:r>
          </w:p>
          <w:p w14:paraId="01D3D47D" w14:textId="77777777" w:rsidR="00EB3E14" w:rsidRDefault="00EB3E14" w:rsidP="00EB3E14">
            <w:pPr>
              <w:pStyle w:val="Header"/>
              <w:tabs>
                <w:tab w:val="left" w:pos="720"/>
              </w:tabs>
              <w:jc w:val="both"/>
              <w:rPr>
                <w:rFonts w:ascii="Calibri" w:hAnsi="Calibri"/>
                <w:szCs w:val="22"/>
              </w:rPr>
            </w:pPr>
          </w:p>
          <w:p w14:paraId="5002B519" w14:textId="2BB315B8" w:rsidR="00823AE0" w:rsidRDefault="00EB3E14" w:rsidP="00823AE0">
            <w:pPr>
              <w:pStyle w:val="Header"/>
              <w:tabs>
                <w:tab w:val="left" w:pos="720"/>
              </w:tabs>
              <w:jc w:val="both"/>
              <w:rPr>
                <w:rFonts w:ascii="Calibri" w:hAnsi="Calibri"/>
                <w:szCs w:val="22"/>
              </w:rPr>
            </w:pPr>
            <w:r>
              <w:rPr>
                <w:rFonts w:ascii="Calibri" w:hAnsi="Calibri"/>
                <w:szCs w:val="22"/>
              </w:rPr>
              <w:t>The site</w:t>
            </w:r>
            <w:r w:rsidR="00823AE0">
              <w:rPr>
                <w:rFonts w:ascii="Calibri" w:hAnsi="Calibri"/>
                <w:szCs w:val="22"/>
              </w:rPr>
              <w:t xml:space="preserve"> is </w:t>
            </w:r>
            <w:r>
              <w:rPr>
                <w:rFonts w:ascii="Calibri" w:hAnsi="Calibri"/>
                <w:szCs w:val="22"/>
              </w:rPr>
              <w:t xml:space="preserve">also </w:t>
            </w:r>
            <w:r w:rsidR="00823AE0">
              <w:rPr>
                <w:rFonts w:ascii="Calibri" w:hAnsi="Calibri"/>
                <w:szCs w:val="22"/>
              </w:rPr>
              <w:t xml:space="preserve">within the Forest of Bowland </w:t>
            </w:r>
            <w:r>
              <w:rPr>
                <w:rFonts w:ascii="Calibri" w:hAnsi="Calibri"/>
                <w:szCs w:val="22"/>
              </w:rPr>
              <w:t>National Landscape</w:t>
            </w:r>
            <w:r w:rsidR="00823AE0">
              <w:rPr>
                <w:rFonts w:ascii="Calibri" w:hAnsi="Calibri"/>
                <w:szCs w:val="22"/>
              </w:rPr>
              <w:t>.</w:t>
            </w:r>
          </w:p>
          <w:p w14:paraId="62370E9F" w14:textId="207BD7F7" w:rsidR="0023273C" w:rsidRPr="006C2BFA" w:rsidRDefault="0023273C" w:rsidP="00EB3E14">
            <w:pPr>
              <w:pStyle w:val="Header"/>
              <w:tabs>
                <w:tab w:val="clear" w:pos="4153"/>
                <w:tab w:val="clear" w:pos="8306"/>
              </w:tabs>
              <w:contextualSpacing/>
              <w:jc w:val="both"/>
              <w:rPr>
                <w:rFonts w:ascii="Calibri" w:hAnsi="Calibri"/>
                <w:bCs/>
                <w:szCs w:val="22"/>
              </w:rPr>
            </w:pPr>
          </w:p>
        </w:tc>
      </w:tr>
      <w:tr w:rsidR="00C0704D" w:rsidRPr="00D2449B" w14:paraId="408C6380"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440CB6">
            <w:pPr>
              <w:pStyle w:val="Header"/>
              <w:tabs>
                <w:tab w:val="clear" w:pos="4153"/>
                <w:tab w:val="clear" w:pos="8306"/>
              </w:tabs>
              <w:jc w:val="both"/>
              <w:rPr>
                <w:rFonts w:ascii="Calibri" w:hAnsi="Calibri"/>
                <w:b/>
                <w:szCs w:val="22"/>
              </w:rPr>
            </w:pPr>
            <w:r>
              <w:rPr>
                <w:rFonts w:ascii="Calibri" w:hAnsi="Calibri"/>
                <w:b/>
                <w:szCs w:val="22"/>
              </w:rPr>
              <w:t>Proposed Development for which consent is sought</w:t>
            </w:r>
            <w:r w:rsidRPr="00D2449B">
              <w:rPr>
                <w:rFonts w:ascii="Calibri" w:hAnsi="Calibri"/>
                <w:b/>
                <w:szCs w:val="22"/>
              </w:rPr>
              <w:t>:</w:t>
            </w:r>
          </w:p>
          <w:p w14:paraId="7C8F28E1" w14:textId="77777777" w:rsidR="00C0704D" w:rsidRDefault="00C0704D" w:rsidP="00440CB6">
            <w:pPr>
              <w:pStyle w:val="Header"/>
              <w:tabs>
                <w:tab w:val="clear" w:pos="4153"/>
                <w:tab w:val="clear" w:pos="8306"/>
              </w:tabs>
              <w:jc w:val="both"/>
              <w:rPr>
                <w:rFonts w:ascii="Calibri" w:hAnsi="Calibri"/>
                <w:b/>
                <w:szCs w:val="22"/>
              </w:rPr>
            </w:pPr>
          </w:p>
          <w:p w14:paraId="24F2020D" w14:textId="68F5F0CC" w:rsidR="00983FEF" w:rsidRDefault="00706264" w:rsidP="00440CB6">
            <w:pPr>
              <w:pStyle w:val="Header"/>
              <w:tabs>
                <w:tab w:val="clear" w:pos="4153"/>
                <w:tab w:val="clear" w:pos="8306"/>
              </w:tabs>
              <w:jc w:val="both"/>
              <w:rPr>
                <w:rFonts w:ascii="Calibri" w:hAnsi="Calibri"/>
                <w:bCs/>
                <w:szCs w:val="22"/>
              </w:rPr>
            </w:pPr>
            <w:r w:rsidRPr="00983FEF">
              <w:rPr>
                <w:rFonts w:ascii="Calibri" w:hAnsi="Calibri"/>
                <w:bCs/>
                <w:szCs w:val="22"/>
              </w:rPr>
              <w:t xml:space="preserve">The application seeks </w:t>
            </w:r>
            <w:r w:rsidR="003F1DFA" w:rsidRPr="00983FEF">
              <w:rPr>
                <w:rFonts w:ascii="Calibri" w:hAnsi="Calibri"/>
                <w:bCs/>
                <w:szCs w:val="22"/>
              </w:rPr>
              <w:t xml:space="preserve">Listed Building Consent </w:t>
            </w:r>
            <w:r w:rsidRPr="00983FEF">
              <w:rPr>
                <w:rFonts w:ascii="Calibri" w:hAnsi="Calibri"/>
                <w:bCs/>
                <w:szCs w:val="22"/>
              </w:rPr>
              <w:t xml:space="preserve">for </w:t>
            </w:r>
            <w:r w:rsidR="00EB3E14">
              <w:rPr>
                <w:rFonts w:ascii="Calibri" w:hAnsi="Calibri"/>
                <w:bCs/>
                <w:szCs w:val="22"/>
              </w:rPr>
              <w:t>pointing repairs on the north-facing elevation.</w:t>
            </w:r>
          </w:p>
          <w:p w14:paraId="7941D281" w14:textId="77777777" w:rsidR="00EB3E14" w:rsidRDefault="00EB3E14" w:rsidP="00440CB6">
            <w:pPr>
              <w:pStyle w:val="Header"/>
              <w:tabs>
                <w:tab w:val="clear" w:pos="4153"/>
                <w:tab w:val="clear" w:pos="8306"/>
              </w:tabs>
              <w:jc w:val="both"/>
              <w:rPr>
                <w:rFonts w:ascii="Calibri" w:hAnsi="Calibri"/>
                <w:bCs/>
                <w:szCs w:val="22"/>
              </w:rPr>
            </w:pPr>
          </w:p>
          <w:p w14:paraId="1B20488F" w14:textId="6BD47834" w:rsidR="00E87FC1" w:rsidRPr="00EB3E14" w:rsidRDefault="00EB3E14" w:rsidP="00EB3E14">
            <w:pPr>
              <w:pStyle w:val="Header"/>
              <w:tabs>
                <w:tab w:val="clear" w:pos="4153"/>
                <w:tab w:val="clear" w:pos="8306"/>
              </w:tabs>
              <w:jc w:val="both"/>
              <w:rPr>
                <w:rFonts w:ascii="Calibri" w:hAnsi="Calibri"/>
                <w:bCs/>
                <w:szCs w:val="22"/>
              </w:rPr>
            </w:pPr>
            <w:r>
              <w:rPr>
                <w:rFonts w:ascii="Calibri" w:hAnsi="Calibri"/>
                <w:bCs/>
                <w:szCs w:val="22"/>
              </w:rPr>
              <w:t xml:space="preserve">A similar LBC application was granted for pointing repairs on the </w:t>
            </w:r>
            <w:r w:rsidR="00EA736B">
              <w:rPr>
                <w:rFonts w:ascii="Calibri" w:hAnsi="Calibri"/>
                <w:bCs/>
                <w:szCs w:val="22"/>
              </w:rPr>
              <w:t>west</w:t>
            </w:r>
            <w:r>
              <w:rPr>
                <w:rFonts w:ascii="Calibri" w:hAnsi="Calibri"/>
                <w:bCs/>
                <w:szCs w:val="22"/>
              </w:rPr>
              <w:t xml:space="preserve"> elevation in 2022.</w:t>
            </w:r>
          </w:p>
        </w:tc>
      </w:tr>
      <w:tr w:rsidR="008542DE" w:rsidRPr="00D2449B" w14:paraId="2540EE5C"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9A04B8F" w14:textId="77777777" w:rsidR="00EB3E14" w:rsidRDefault="00EB3E14" w:rsidP="00EB3E14">
            <w:pPr>
              <w:pStyle w:val="Header"/>
              <w:jc w:val="both"/>
              <w:rPr>
                <w:rFonts w:ascii="Calibri" w:hAnsi="Calibri"/>
                <w:b/>
                <w:szCs w:val="22"/>
              </w:rPr>
            </w:pPr>
            <w:r>
              <w:rPr>
                <w:rFonts w:ascii="Calibri" w:hAnsi="Calibri"/>
                <w:b/>
                <w:szCs w:val="22"/>
              </w:rPr>
              <w:lastRenderedPageBreak/>
              <w:t>Impact upon the special architectural and historic interest of the listed building, the setting of listed buildings, the character and appearance of Kirk Mill Conservation Area and the cultural heritage of the Forest of Bowland AONB:</w:t>
            </w:r>
          </w:p>
          <w:p w14:paraId="77C18043" w14:textId="77777777" w:rsidR="00737F18" w:rsidRDefault="00737F18" w:rsidP="008542DE">
            <w:pPr>
              <w:pStyle w:val="Header"/>
              <w:tabs>
                <w:tab w:val="clear" w:pos="4153"/>
                <w:tab w:val="clear" w:pos="8306"/>
              </w:tabs>
              <w:contextualSpacing/>
              <w:jc w:val="both"/>
              <w:rPr>
                <w:rFonts w:ascii="Calibri" w:hAnsi="Calibri"/>
                <w:b/>
                <w:szCs w:val="22"/>
              </w:rPr>
            </w:pPr>
          </w:p>
          <w:p w14:paraId="36E6B2E6" w14:textId="4A6660DE" w:rsidR="00737F18" w:rsidRPr="00C24938" w:rsidRDefault="00EB3E14" w:rsidP="00737F18">
            <w:pPr>
              <w:pStyle w:val="Header"/>
              <w:tabs>
                <w:tab w:val="clear" w:pos="4153"/>
                <w:tab w:val="clear" w:pos="8306"/>
              </w:tabs>
              <w:contextualSpacing/>
              <w:jc w:val="both"/>
              <w:rPr>
                <w:rFonts w:ascii="Calibri" w:hAnsi="Calibri"/>
                <w:bCs/>
                <w:color w:val="FF0000"/>
                <w:szCs w:val="22"/>
              </w:rPr>
            </w:pPr>
            <w:r>
              <w:rPr>
                <w:rFonts w:ascii="Calibri" w:hAnsi="Calibri"/>
                <w:bCs/>
              </w:rPr>
              <w:t>I</w:t>
            </w:r>
            <w:r w:rsidR="00737F18" w:rsidRPr="00C24938">
              <w:rPr>
                <w:rFonts w:ascii="Calibri" w:hAnsi="Calibri"/>
                <w:bCs/>
              </w:rPr>
              <w:t xml:space="preserve">n assessing the proposal, regard must be given to the statutory duties imposed on the authority in respect of the preservation and enhancement of such assets.  </w:t>
            </w:r>
            <w:r>
              <w:rPr>
                <w:rFonts w:ascii="Calibri" w:hAnsi="Calibri"/>
                <w:bCs/>
              </w:rPr>
              <w:t>A</w:t>
            </w:r>
            <w:r w:rsidR="00737F18" w:rsidRPr="00C24938">
              <w:rPr>
                <w:rFonts w:ascii="Calibri" w:hAnsi="Calibri"/>
                <w:bCs/>
              </w:rPr>
              <w:t xml:space="preserve">t a local level, Key Statement EN5 and Policy DME4 are </w:t>
            </w:r>
            <w:r>
              <w:rPr>
                <w:rFonts w:ascii="Calibri" w:hAnsi="Calibri"/>
                <w:bCs/>
              </w:rPr>
              <w:t>relevant</w:t>
            </w:r>
            <w:r w:rsidR="00737F18" w:rsidRPr="00C24938">
              <w:rPr>
                <w:rFonts w:ascii="Calibri" w:hAnsi="Calibri"/>
                <w:bCs/>
              </w:rPr>
              <w:t xml:space="preserve"> for the purposes of assessing likely impacts upon designated heritage assets resultant from the proposed development.</w:t>
            </w:r>
          </w:p>
          <w:p w14:paraId="4B69F83F" w14:textId="77777777" w:rsidR="00737F18" w:rsidRPr="00851218" w:rsidRDefault="00737F18" w:rsidP="00737F18">
            <w:pPr>
              <w:contextualSpacing/>
              <w:jc w:val="both"/>
              <w:rPr>
                <w:rFonts w:ascii="Calibri" w:hAnsi="Calibri"/>
                <w:bCs/>
                <w:color w:val="FF0000"/>
              </w:rPr>
            </w:pPr>
          </w:p>
          <w:p w14:paraId="72810CFD" w14:textId="549EF3B2" w:rsidR="004F7A73" w:rsidRPr="006A262A" w:rsidRDefault="004F7A73" w:rsidP="004F7A73">
            <w:pPr>
              <w:contextualSpacing/>
              <w:jc w:val="both"/>
              <w:rPr>
                <w:rFonts w:ascii="Calibri" w:hAnsi="Calibri"/>
                <w:b/>
              </w:rPr>
            </w:pPr>
            <w:r w:rsidRPr="006A262A">
              <w:rPr>
                <w:rFonts w:ascii="Calibri" w:hAnsi="Calibri"/>
                <w:bCs/>
              </w:rPr>
              <w:t>Key Statement EN5 states that:</w:t>
            </w:r>
          </w:p>
          <w:p w14:paraId="5BDC4CB4" w14:textId="77777777" w:rsidR="004F7A73" w:rsidRPr="006A262A" w:rsidRDefault="004F7A73" w:rsidP="004F7A73">
            <w:pPr>
              <w:contextualSpacing/>
              <w:rPr>
                <w:rFonts w:ascii="Calibri" w:hAnsi="Calibri"/>
                <w:b/>
              </w:rPr>
            </w:pPr>
          </w:p>
          <w:p w14:paraId="2D778CE7" w14:textId="77777777" w:rsidR="004F7A73" w:rsidRPr="006A262A" w:rsidRDefault="004F7A73" w:rsidP="004F7A73">
            <w:pPr>
              <w:jc w:val="both"/>
              <w:rPr>
                <w:rFonts w:asciiTheme="minorHAnsi" w:hAnsiTheme="minorHAnsi" w:cstheme="minorHAnsi"/>
                <w:i/>
                <w:iCs/>
                <w:szCs w:val="22"/>
              </w:rPr>
            </w:pPr>
            <w:r w:rsidRPr="006A262A">
              <w:rPr>
                <w:rFonts w:asciiTheme="minorHAnsi" w:hAnsiTheme="minorHAnsi" w:cstheme="minorHAnsi"/>
                <w:i/>
                <w:iCs/>
                <w:szCs w:val="22"/>
              </w:rPr>
              <w:t>There will be a presumption in favour of the conservation and enhancement of the significance of heritage assets and their settings. The Historic Environment and its Heritage Assets and their settings will be conserved and enhanced in a manner appropriate to their significance for their heritage value; their important contribution to local character, distinctiveness and sense of place; and to wider social, cultural and environmental benefits.</w:t>
            </w:r>
          </w:p>
          <w:p w14:paraId="5E6548E4" w14:textId="77777777" w:rsidR="004F7A73" w:rsidRPr="006A262A" w:rsidRDefault="004F7A73" w:rsidP="004F7A73">
            <w:pPr>
              <w:jc w:val="both"/>
              <w:rPr>
                <w:rFonts w:asciiTheme="minorHAnsi" w:hAnsiTheme="minorHAnsi" w:cstheme="minorHAnsi"/>
                <w:i/>
                <w:iCs/>
                <w:szCs w:val="22"/>
              </w:rPr>
            </w:pPr>
          </w:p>
          <w:p w14:paraId="437FE563" w14:textId="77777777" w:rsidR="004F7A73" w:rsidRPr="006A262A" w:rsidRDefault="004F7A73" w:rsidP="004F7A73">
            <w:pPr>
              <w:contextualSpacing/>
              <w:rPr>
                <w:rFonts w:ascii="Calibri" w:hAnsi="Calibri"/>
                <w:bCs/>
              </w:rPr>
            </w:pPr>
            <w:r w:rsidRPr="006A262A">
              <w:rPr>
                <w:rFonts w:ascii="Calibri" w:hAnsi="Calibri"/>
                <w:bCs/>
              </w:rPr>
              <w:t>With Policy DME4 stating, in respect of development within conservation areas or those affecting the listed buildings or their setting, that development will be assessed on the following basis:</w:t>
            </w:r>
          </w:p>
          <w:p w14:paraId="1C8FD81D" w14:textId="77777777" w:rsidR="004F7A73" w:rsidRPr="006A262A" w:rsidRDefault="004F7A73" w:rsidP="004F7A73">
            <w:pPr>
              <w:contextualSpacing/>
              <w:rPr>
                <w:rFonts w:ascii="Calibri" w:hAnsi="Calibri"/>
                <w:b/>
              </w:rPr>
            </w:pPr>
          </w:p>
          <w:p w14:paraId="55629F82" w14:textId="77777777" w:rsidR="004F7A73" w:rsidRPr="00FC26AD" w:rsidRDefault="004F7A73" w:rsidP="004F7A73">
            <w:pPr>
              <w:jc w:val="both"/>
              <w:rPr>
                <w:rFonts w:asciiTheme="minorHAnsi" w:hAnsiTheme="minorHAnsi" w:cstheme="minorHAnsi"/>
                <w:i/>
                <w:iCs/>
                <w:szCs w:val="22"/>
              </w:rPr>
            </w:pPr>
            <w:r w:rsidRPr="00FC26AD">
              <w:rPr>
                <w:rFonts w:asciiTheme="minorHAnsi" w:hAnsiTheme="minorHAnsi" w:cstheme="minorHAnsi"/>
                <w:i/>
                <w:iCs/>
                <w:szCs w:val="22"/>
              </w:rPr>
              <w:t>1: CONSERVATION AREAS</w:t>
            </w:r>
          </w:p>
          <w:p w14:paraId="438E294D" w14:textId="77777777" w:rsidR="004F7A73" w:rsidRPr="006A262A" w:rsidRDefault="004F7A73" w:rsidP="004F7A73">
            <w:pPr>
              <w:jc w:val="both"/>
              <w:rPr>
                <w:rFonts w:asciiTheme="minorHAnsi" w:hAnsiTheme="minorHAnsi" w:cstheme="minorHAnsi"/>
                <w:b/>
                <w:bCs/>
                <w:i/>
                <w:iCs/>
                <w:szCs w:val="22"/>
                <w:u w:val="single"/>
              </w:rPr>
            </w:pPr>
          </w:p>
          <w:p w14:paraId="3FD3381A" w14:textId="77777777" w:rsidR="004F7A73" w:rsidRPr="006A262A" w:rsidRDefault="004F7A73" w:rsidP="004F7A73">
            <w:pPr>
              <w:jc w:val="both"/>
              <w:rPr>
                <w:rFonts w:asciiTheme="minorHAnsi" w:hAnsiTheme="minorHAnsi" w:cstheme="minorHAnsi"/>
                <w:i/>
                <w:iCs/>
                <w:szCs w:val="22"/>
              </w:rPr>
            </w:pPr>
            <w:r w:rsidRPr="006A262A">
              <w:rPr>
                <w:rFonts w:asciiTheme="minorHAnsi" w:hAnsiTheme="minorHAnsi" w:cstheme="minorHAnsi"/>
                <w:i/>
                <w:iCs/>
                <w:szCs w:val="22"/>
              </w:rPr>
              <w:t>Proposals within, or affecting views into and out of, or affecting the setting of a conservation area will be required to conserve and where appropriate enhance its character and appearance and those elements which contribute towards its significance.  This should include considerations as to whether it conserves and enhances the special architectural and historic character of the area as set out in the relevant conservation area appraisal. development which makes a positive contribution and conserves and enhances the character, appearance and significance of the area in terms of its location, scale, size, design and materials and existing buildings, structures, trees and open spaces will be supported.</w:t>
            </w:r>
          </w:p>
          <w:p w14:paraId="251C2213" w14:textId="77777777" w:rsidR="004F7A73" w:rsidRPr="006A262A" w:rsidRDefault="004F7A73" w:rsidP="004F7A73">
            <w:pPr>
              <w:jc w:val="both"/>
              <w:rPr>
                <w:rFonts w:asciiTheme="minorHAnsi" w:hAnsiTheme="minorHAnsi" w:cstheme="minorHAnsi"/>
                <w:i/>
                <w:iCs/>
                <w:szCs w:val="22"/>
              </w:rPr>
            </w:pPr>
          </w:p>
          <w:p w14:paraId="43540A92" w14:textId="77777777" w:rsidR="004F7A73" w:rsidRPr="006A262A" w:rsidRDefault="004F7A73" w:rsidP="004F7A73">
            <w:pPr>
              <w:jc w:val="both"/>
              <w:rPr>
                <w:rFonts w:asciiTheme="minorHAnsi" w:hAnsiTheme="minorHAnsi" w:cstheme="minorHAnsi"/>
                <w:i/>
                <w:iCs/>
                <w:szCs w:val="22"/>
              </w:rPr>
            </w:pPr>
            <w:r w:rsidRPr="006A262A">
              <w:rPr>
                <w:rFonts w:asciiTheme="minorHAnsi" w:hAnsiTheme="minorHAnsi" w:cstheme="minorHAnsi"/>
                <w:i/>
                <w:iCs/>
                <w:szCs w:val="22"/>
              </w:rPr>
              <w:t>In the conservation areas there will be a presumption in favour of the conservation and enhancement of elements that make a positive contribution to the character or appearance of the conservation area.</w:t>
            </w:r>
          </w:p>
          <w:p w14:paraId="0A264A73" w14:textId="77777777" w:rsidR="004F7A73" w:rsidRPr="006A262A" w:rsidRDefault="004F7A73" w:rsidP="004F7A73">
            <w:pPr>
              <w:jc w:val="both"/>
              <w:rPr>
                <w:rFonts w:asciiTheme="minorHAnsi" w:hAnsiTheme="minorHAnsi" w:cstheme="minorHAnsi"/>
                <w:i/>
                <w:iCs/>
                <w:szCs w:val="22"/>
              </w:rPr>
            </w:pPr>
          </w:p>
          <w:p w14:paraId="7A02D539" w14:textId="77777777" w:rsidR="004F7A73" w:rsidRPr="00FC26AD" w:rsidRDefault="004F7A73" w:rsidP="004F7A73">
            <w:pPr>
              <w:jc w:val="both"/>
              <w:rPr>
                <w:rFonts w:asciiTheme="minorHAnsi" w:hAnsiTheme="minorHAnsi" w:cstheme="minorHAnsi"/>
                <w:i/>
                <w:iCs/>
                <w:szCs w:val="22"/>
              </w:rPr>
            </w:pPr>
            <w:r w:rsidRPr="00FC26AD">
              <w:rPr>
                <w:rFonts w:asciiTheme="minorHAnsi" w:hAnsiTheme="minorHAnsi" w:cstheme="minorHAnsi"/>
                <w:i/>
                <w:iCs/>
                <w:szCs w:val="22"/>
              </w:rPr>
              <w:t>2: LISTED BUILDINGS AND OTHER BUILDINGS OF SIGNIFICANT HERITAGE INTEREST</w:t>
            </w:r>
          </w:p>
          <w:p w14:paraId="59BAD56E" w14:textId="77777777" w:rsidR="004F7A73" w:rsidRPr="006A262A" w:rsidRDefault="004F7A73" w:rsidP="004F7A73">
            <w:pPr>
              <w:jc w:val="both"/>
              <w:rPr>
                <w:rFonts w:asciiTheme="minorHAnsi" w:hAnsiTheme="minorHAnsi" w:cstheme="minorHAnsi"/>
                <w:i/>
                <w:iCs/>
                <w:szCs w:val="22"/>
              </w:rPr>
            </w:pPr>
          </w:p>
          <w:p w14:paraId="6F9AC230" w14:textId="77777777" w:rsidR="004F7A73" w:rsidRPr="006A262A" w:rsidRDefault="004F7A73" w:rsidP="004F7A73">
            <w:pPr>
              <w:jc w:val="both"/>
              <w:rPr>
                <w:rFonts w:asciiTheme="minorHAnsi" w:hAnsiTheme="minorHAnsi" w:cstheme="minorHAnsi"/>
                <w:i/>
                <w:iCs/>
                <w:szCs w:val="22"/>
              </w:rPr>
            </w:pPr>
            <w:r w:rsidRPr="006A262A">
              <w:rPr>
                <w:rFonts w:asciiTheme="minorHAnsi" w:hAnsiTheme="minorHAnsi" w:cstheme="minorHAnsi"/>
                <w:i/>
                <w:iCs/>
                <w:szCs w:val="22"/>
              </w:rPr>
              <w:t>Alterations or extensions to listed buildings or buildings of local heritage interest, or development proposals on sites within their setting which cause harm to the significance of the heritage asset will not be supported.  Any proposals involving the demolition or loss of important historic fabric from listed buildings will be refused unless it can be demonstrated that exceptional circumstances exist.</w:t>
            </w:r>
          </w:p>
          <w:p w14:paraId="1F18947D" w14:textId="77777777" w:rsidR="004F7A73" w:rsidRPr="006A262A" w:rsidRDefault="004F7A73" w:rsidP="004F7A73">
            <w:pPr>
              <w:contextualSpacing/>
              <w:rPr>
                <w:rFonts w:ascii="Calibri" w:hAnsi="Calibri"/>
                <w:b/>
              </w:rPr>
            </w:pPr>
          </w:p>
          <w:p w14:paraId="415CBAEE" w14:textId="67173870" w:rsidR="004F7A73" w:rsidRPr="006A262A" w:rsidRDefault="004F7A73" w:rsidP="004F7A73">
            <w:pPr>
              <w:contextualSpacing/>
              <w:jc w:val="both"/>
              <w:rPr>
                <w:rFonts w:ascii="Calibri" w:hAnsi="Calibri"/>
                <w:bCs/>
              </w:rPr>
            </w:pPr>
            <w:r w:rsidRPr="006A262A">
              <w:rPr>
                <w:rFonts w:ascii="Calibri" w:hAnsi="Calibri"/>
                <w:bCs/>
              </w:rPr>
              <w:t xml:space="preserve">Policy DMG1 is also </w:t>
            </w:r>
            <w:r w:rsidR="00EB3E14">
              <w:rPr>
                <w:rFonts w:ascii="Calibri" w:hAnsi="Calibri"/>
                <w:bCs/>
              </w:rPr>
              <w:t>relevant</w:t>
            </w:r>
            <w:r w:rsidRPr="006A262A">
              <w:rPr>
                <w:rFonts w:ascii="Calibri" w:hAnsi="Calibri"/>
                <w:bCs/>
              </w:rPr>
              <w:t xml:space="preserve"> insofar that the policy sets out general Development Management considerations, with the policy having a number of inherent </w:t>
            </w:r>
            <w:proofErr w:type="gramStart"/>
            <w:r w:rsidRPr="006A262A">
              <w:rPr>
                <w:rFonts w:ascii="Calibri" w:hAnsi="Calibri"/>
                <w:bCs/>
              </w:rPr>
              <w:t>criterion</w:t>
            </w:r>
            <w:proofErr w:type="gramEnd"/>
            <w:r w:rsidRPr="006A262A">
              <w:rPr>
                <w:rFonts w:ascii="Calibri" w:hAnsi="Calibri"/>
                <w:bCs/>
              </w:rPr>
              <w:t xml:space="preserve"> </w:t>
            </w:r>
            <w:r w:rsidR="00FC26AD">
              <w:rPr>
                <w:rFonts w:ascii="Calibri" w:hAnsi="Calibri"/>
                <w:bCs/>
              </w:rPr>
              <w:t xml:space="preserve">on design and environment </w:t>
            </w:r>
            <w:r w:rsidRPr="006A262A">
              <w:rPr>
                <w:rFonts w:ascii="Calibri" w:hAnsi="Calibri"/>
                <w:bCs/>
              </w:rPr>
              <w:t>that are relevant to the assessment of the current proposal</w:t>
            </w:r>
            <w:r w:rsidR="00FC26AD">
              <w:rPr>
                <w:rFonts w:ascii="Calibri" w:hAnsi="Calibri"/>
                <w:bCs/>
              </w:rPr>
              <w:t>.</w:t>
            </w:r>
          </w:p>
          <w:p w14:paraId="6D428874" w14:textId="77777777" w:rsidR="004F7A73" w:rsidRPr="006A262A" w:rsidRDefault="004F7A73" w:rsidP="004F7A73">
            <w:pPr>
              <w:contextualSpacing/>
              <w:jc w:val="both"/>
              <w:rPr>
                <w:rFonts w:ascii="Calibri" w:hAnsi="Calibri"/>
                <w:b/>
              </w:rPr>
            </w:pPr>
          </w:p>
          <w:p w14:paraId="2C79BEF5" w14:textId="77777777" w:rsidR="004F7A73" w:rsidRPr="00FC26AD" w:rsidRDefault="004F7A73" w:rsidP="004F7A73">
            <w:pPr>
              <w:contextualSpacing/>
              <w:jc w:val="both"/>
              <w:rPr>
                <w:rFonts w:ascii="Calibri" w:hAnsi="Calibri"/>
                <w:bCs/>
                <w:u w:val="single"/>
              </w:rPr>
            </w:pPr>
            <w:r w:rsidRPr="00FC26AD">
              <w:rPr>
                <w:rFonts w:ascii="Calibri" w:hAnsi="Calibri"/>
                <w:bCs/>
                <w:u w:val="single"/>
              </w:rPr>
              <w:t>Planning (Listed Building and Conservation Areas) Act 1990:</w:t>
            </w:r>
          </w:p>
          <w:p w14:paraId="559F775F" w14:textId="77777777" w:rsidR="004F7A73" w:rsidRPr="006A262A" w:rsidRDefault="004F7A73" w:rsidP="004F7A73">
            <w:pPr>
              <w:contextualSpacing/>
              <w:jc w:val="both"/>
              <w:rPr>
                <w:rFonts w:ascii="Calibri" w:hAnsi="Calibri"/>
                <w:b/>
              </w:rPr>
            </w:pPr>
          </w:p>
          <w:p w14:paraId="61B36475" w14:textId="77777777" w:rsidR="004F7A73" w:rsidRPr="006A262A" w:rsidRDefault="004F7A73" w:rsidP="004F7A73">
            <w:pPr>
              <w:contextualSpacing/>
              <w:jc w:val="both"/>
              <w:rPr>
                <w:rFonts w:ascii="Calibri" w:hAnsi="Calibri"/>
                <w:bCs/>
              </w:rPr>
            </w:pPr>
            <w:r w:rsidRPr="006A262A">
              <w:rPr>
                <w:rFonts w:ascii="Calibri" w:hAnsi="Calibri"/>
                <w:bCs/>
              </w:rPr>
              <w:t xml:space="preserve">Given the proposal relates to a Grade II Designated Heritage Asset, special regard must also be given to the statutory duties imposed on the authority, pursuant to national legislation, particularly in respect of the preservation and enhancement of such assets.  </w:t>
            </w:r>
          </w:p>
          <w:p w14:paraId="3A21BA64" w14:textId="77777777" w:rsidR="004F7A73" w:rsidRPr="006A262A" w:rsidRDefault="004F7A73" w:rsidP="004F7A73">
            <w:pPr>
              <w:contextualSpacing/>
              <w:jc w:val="both"/>
              <w:rPr>
                <w:rFonts w:ascii="Calibri" w:hAnsi="Calibri"/>
                <w:bCs/>
              </w:rPr>
            </w:pPr>
          </w:p>
          <w:p w14:paraId="3AF858A8" w14:textId="77777777" w:rsidR="004F7A73" w:rsidRPr="006A262A" w:rsidRDefault="004F7A73" w:rsidP="004F7A73">
            <w:pPr>
              <w:contextualSpacing/>
              <w:jc w:val="both"/>
              <w:rPr>
                <w:rFonts w:ascii="Calibri" w:hAnsi="Calibri"/>
                <w:bCs/>
              </w:rPr>
            </w:pPr>
            <w:r w:rsidRPr="006A262A">
              <w:rPr>
                <w:rFonts w:ascii="Calibri" w:hAnsi="Calibri"/>
                <w:bCs/>
              </w:rPr>
              <w:t xml:space="preserve">The principle statutory duty under the Planning (Listed Building and Conservation Areas) Act 1990 (as amended by s.58B (1) of Levelling-up and Regeneration Act 2023) is to preserve or enhance the special character of heritage assets, including their setting.  As such, in determining applications that affect designated heritage assets, the authority must consider the duties contained within the </w:t>
            </w:r>
            <w:proofErr w:type="gramStart"/>
            <w:r w:rsidRPr="006A262A">
              <w:rPr>
                <w:rFonts w:ascii="Calibri" w:hAnsi="Calibri"/>
                <w:bCs/>
              </w:rPr>
              <w:t>principle</w:t>
            </w:r>
            <w:proofErr w:type="gramEnd"/>
            <w:r w:rsidRPr="006A262A">
              <w:rPr>
                <w:rFonts w:ascii="Calibri" w:hAnsi="Calibri"/>
                <w:bCs/>
              </w:rPr>
              <w:t xml:space="preserve"> Act which states the following;</w:t>
            </w:r>
          </w:p>
          <w:p w14:paraId="646E0610" w14:textId="77777777" w:rsidR="004F7A73" w:rsidRPr="006A262A" w:rsidRDefault="004F7A73" w:rsidP="004F7A73">
            <w:pPr>
              <w:contextualSpacing/>
              <w:jc w:val="both"/>
              <w:rPr>
                <w:rFonts w:ascii="Calibri" w:hAnsi="Calibri"/>
                <w:b/>
              </w:rPr>
            </w:pPr>
          </w:p>
          <w:p w14:paraId="6BEB7644" w14:textId="77777777" w:rsidR="004F7A73" w:rsidRPr="00FC26AD" w:rsidRDefault="004F7A73" w:rsidP="004F7A73">
            <w:pPr>
              <w:contextualSpacing/>
              <w:jc w:val="both"/>
              <w:rPr>
                <w:rFonts w:ascii="Calibri" w:hAnsi="Calibri"/>
                <w:bCs/>
              </w:rPr>
            </w:pPr>
            <w:r w:rsidRPr="00FC26AD">
              <w:rPr>
                <w:rFonts w:ascii="Calibri" w:hAnsi="Calibri"/>
                <w:bCs/>
              </w:rPr>
              <w:t xml:space="preserve">Listed Buildings – Section 66(1) (as amended by s.58B of Levelling-up and Regeneration Act 2023): </w:t>
            </w:r>
          </w:p>
          <w:p w14:paraId="43250278" w14:textId="77777777" w:rsidR="004F7A73" w:rsidRPr="006A262A" w:rsidRDefault="004F7A73" w:rsidP="004F7A73">
            <w:pPr>
              <w:contextualSpacing/>
              <w:jc w:val="both"/>
              <w:rPr>
                <w:rFonts w:ascii="Calibri" w:hAnsi="Calibri"/>
                <w:bCs/>
              </w:rPr>
            </w:pPr>
            <w:r w:rsidRPr="006A262A">
              <w:rPr>
                <w:rFonts w:ascii="Calibri" w:hAnsi="Calibri"/>
                <w:bCs/>
              </w:rPr>
              <w:t>In considering whether to grant planning permission for development which affects a listed building or its setting, the local planning authority shall have special regard to the desirability of preserving or enhancing the building or its setting.  Under s.58B (2) this includes preserving or enhancing any feature, quality or characteristic of the asset or setting that contributes to the significance of the asset.</w:t>
            </w:r>
          </w:p>
          <w:p w14:paraId="7DDC817E" w14:textId="77777777" w:rsidR="004F7A73" w:rsidRPr="006A262A" w:rsidRDefault="004F7A73" w:rsidP="004F7A73">
            <w:pPr>
              <w:contextualSpacing/>
              <w:jc w:val="both"/>
              <w:rPr>
                <w:rFonts w:ascii="Calibri" w:hAnsi="Calibri"/>
                <w:b/>
              </w:rPr>
            </w:pPr>
          </w:p>
          <w:p w14:paraId="0F60BF0E" w14:textId="77777777" w:rsidR="004F7A73" w:rsidRPr="00FC26AD" w:rsidRDefault="004F7A73" w:rsidP="004F7A73">
            <w:pPr>
              <w:contextualSpacing/>
              <w:jc w:val="both"/>
              <w:rPr>
                <w:rFonts w:ascii="Calibri" w:hAnsi="Calibri"/>
                <w:bCs/>
              </w:rPr>
            </w:pPr>
            <w:r w:rsidRPr="00FC26AD">
              <w:rPr>
                <w:rFonts w:ascii="Calibri" w:hAnsi="Calibri"/>
                <w:bCs/>
              </w:rPr>
              <w:t>Listed buildings - Section 16 (2) (as amended by s.58B of Levelling-up and Regeneration Act 2023):</w:t>
            </w:r>
          </w:p>
          <w:p w14:paraId="0D8E2E5E" w14:textId="77777777" w:rsidR="004F7A73" w:rsidRPr="006A262A" w:rsidRDefault="004F7A73" w:rsidP="004F7A73">
            <w:pPr>
              <w:contextualSpacing/>
              <w:jc w:val="both"/>
              <w:rPr>
                <w:rFonts w:ascii="Calibri" w:hAnsi="Calibri"/>
                <w:bCs/>
              </w:rPr>
            </w:pPr>
            <w:r w:rsidRPr="006A262A">
              <w:rPr>
                <w:rFonts w:ascii="Calibri" w:hAnsi="Calibri"/>
                <w:bCs/>
              </w:rPr>
              <w:t>In considering whether to grant listed building consent for any works to a listed building the local planning authority shall have special regard to the desirability of preserving or enhancing the building.  Under s.58B (2) this includes preserving or enhancing any feature, quality or characteristic of the asset or setting that contributes to the significance of the asset.</w:t>
            </w:r>
          </w:p>
          <w:p w14:paraId="22957B0E" w14:textId="77777777" w:rsidR="004F7A73" w:rsidRPr="006A262A" w:rsidRDefault="004F7A73" w:rsidP="004F7A73">
            <w:pPr>
              <w:contextualSpacing/>
              <w:jc w:val="both"/>
              <w:rPr>
                <w:rFonts w:ascii="Calibri" w:hAnsi="Calibri"/>
                <w:bCs/>
              </w:rPr>
            </w:pPr>
          </w:p>
          <w:p w14:paraId="5B9E96AF" w14:textId="77777777" w:rsidR="004F7A73" w:rsidRPr="00FC26AD" w:rsidRDefault="004F7A73" w:rsidP="004F7A73">
            <w:pPr>
              <w:contextualSpacing/>
              <w:jc w:val="both"/>
              <w:rPr>
                <w:rFonts w:ascii="Calibri" w:hAnsi="Calibri"/>
                <w:bCs/>
                <w:u w:val="single"/>
              </w:rPr>
            </w:pPr>
            <w:r w:rsidRPr="00FC26AD">
              <w:rPr>
                <w:rFonts w:ascii="Calibri" w:hAnsi="Calibri"/>
                <w:bCs/>
                <w:u w:val="single"/>
              </w:rPr>
              <w:t>National Planning Policy Framework (December 2023):</w:t>
            </w:r>
          </w:p>
          <w:p w14:paraId="6E07A62A" w14:textId="77777777" w:rsidR="004F7A73" w:rsidRPr="006A262A" w:rsidRDefault="004F7A73" w:rsidP="004F7A73">
            <w:pPr>
              <w:contextualSpacing/>
              <w:jc w:val="both"/>
              <w:rPr>
                <w:rFonts w:ascii="Calibri" w:hAnsi="Calibri"/>
                <w:bCs/>
              </w:rPr>
            </w:pPr>
          </w:p>
          <w:p w14:paraId="49E18AB5" w14:textId="72DE9F45" w:rsidR="004F7A73" w:rsidRPr="006A262A" w:rsidRDefault="004F7A73" w:rsidP="004F7A73">
            <w:pPr>
              <w:contextualSpacing/>
              <w:rPr>
                <w:rFonts w:ascii="Calibri" w:hAnsi="Calibri"/>
                <w:bCs/>
              </w:rPr>
            </w:pPr>
            <w:r w:rsidRPr="006A262A">
              <w:rPr>
                <w:rFonts w:ascii="Calibri" w:hAnsi="Calibri"/>
                <w:bCs/>
              </w:rPr>
              <w:t xml:space="preserve">The Framework sets out further duties in respect of considering potential impacts upon designated heritage assets with Paragraphs 205 – 214 </w:t>
            </w:r>
            <w:r w:rsidR="00FC26AD">
              <w:rPr>
                <w:rFonts w:ascii="Calibri" w:hAnsi="Calibri"/>
                <w:bCs/>
              </w:rPr>
              <w:t xml:space="preserve">being of </w:t>
            </w:r>
            <w:proofErr w:type="gramStart"/>
            <w:r w:rsidR="00FC26AD">
              <w:rPr>
                <w:rFonts w:ascii="Calibri" w:hAnsi="Calibri"/>
                <w:bCs/>
              </w:rPr>
              <w:t>particular relevance</w:t>
            </w:r>
            <w:proofErr w:type="gramEnd"/>
            <w:r w:rsidR="00FC26AD">
              <w:rPr>
                <w:rFonts w:ascii="Calibri" w:hAnsi="Calibri"/>
                <w:bCs/>
              </w:rPr>
              <w:t>.</w:t>
            </w:r>
          </w:p>
          <w:p w14:paraId="6C931F56" w14:textId="77777777" w:rsidR="004F7A73" w:rsidRPr="006A262A" w:rsidRDefault="004F7A73" w:rsidP="004F7A73">
            <w:pPr>
              <w:contextualSpacing/>
              <w:rPr>
                <w:rFonts w:ascii="Calibri" w:hAnsi="Calibri"/>
                <w:b/>
              </w:rPr>
            </w:pPr>
          </w:p>
          <w:p w14:paraId="613D033A" w14:textId="77777777" w:rsidR="004F7A73" w:rsidRPr="007D48AF" w:rsidRDefault="004F7A73" w:rsidP="004F7A73">
            <w:pPr>
              <w:contextualSpacing/>
              <w:rPr>
                <w:rFonts w:ascii="Calibri" w:hAnsi="Calibri"/>
                <w:b/>
                <w:u w:val="single"/>
              </w:rPr>
            </w:pPr>
            <w:r w:rsidRPr="007D48AF">
              <w:rPr>
                <w:rFonts w:ascii="Calibri" w:hAnsi="Calibri"/>
                <w:b/>
                <w:u w:val="single"/>
              </w:rPr>
              <w:t>Assessment of Impacts:</w:t>
            </w:r>
          </w:p>
          <w:p w14:paraId="005F798A" w14:textId="77777777" w:rsidR="00737F18" w:rsidRPr="00C24938" w:rsidRDefault="00737F18" w:rsidP="00737F18">
            <w:pPr>
              <w:pStyle w:val="Header"/>
              <w:contextualSpacing/>
              <w:jc w:val="both"/>
              <w:rPr>
                <w:rFonts w:ascii="Calibri" w:hAnsi="Calibri"/>
                <w:bCs/>
                <w:color w:val="FF0000"/>
                <w:szCs w:val="22"/>
              </w:rPr>
            </w:pPr>
          </w:p>
          <w:p w14:paraId="44D822FB" w14:textId="1486BE1B" w:rsidR="00FC26AD" w:rsidRDefault="00FC26AD" w:rsidP="00FC26AD">
            <w:pPr>
              <w:pStyle w:val="Header"/>
              <w:jc w:val="both"/>
              <w:rPr>
                <w:rFonts w:ascii="Calibri" w:hAnsi="Calibri"/>
                <w:szCs w:val="22"/>
              </w:rPr>
            </w:pPr>
            <w:r>
              <w:rPr>
                <w:rFonts w:ascii="Calibri" w:hAnsi="Calibri"/>
                <w:szCs w:val="22"/>
              </w:rPr>
              <w:t>The proposals have an acceptable impact upon the special architectural and historic interest of the listed building, the setting of listed buildings, the character and appearance of Kirk Mill Conservation Area and the cultural heritage of the Forest of Bowland AONB.</w:t>
            </w:r>
          </w:p>
          <w:p w14:paraId="32C2E28F" w14:textId="77777777" w:rsidR="00FC26AD" w:rsidRDefault="00FC26AD" w:rsidP="00FC26AD">
            <w:pPr>
              <w:pStyle w:val="Header"/>
              <w:jc w:val="both"/>
              <w:rPr>
                <w:rFonts w:ascii="Calibri" w:hAnsi="Calibri"/>
                <w:szCs w:val="22"/>
              </w:rPr>
            </w:pPr>
          </w:p>
          <w:p w14:paraId="1AFB503E" w14:textId="57445836" w:rsidR="00FC26AD" w:rsidRDefault="00FC26AD" w:rsidP="00FC26AD">
            <w:pPr>
              <w:pStyle w:val="Header"/>
              <w:jc w:val="both"/>
              <w:rPr>
                <w:rFonts w:ascii="Calibri" w:hAnsi="Calibri"/>
                <w:szCs w:val="22"/>
              </w:rPr>
            </w:pPr>
            <w:r>
              <w:rPr>
                <w:rFonts w:ascii="Calibri" w:hAnsi="Calibri"/>
                <w:szCs w:val="22"/>
              </w:rPr>
              <w:t>The pointing appears necessary to ensure the proper preservation of the listed building, with the stonework at the rear of the dwelling said to be in very poor condition due to the harsh modern cement mortars covering the softer sandstone. Removal of modern cement-based mortar with hand-tools and repair with traditional lime mortar</w:t>
            </w:r>
            <w:r w:rsidR="00EA736B">
              <w:rPr>
                <w:rFonts w:ascii="Calibri" w:hAnsi="Calibri"/>
                <w:szCs w:val="22"/>
              </w:rPr>
              <w:t xml:space="preserve">, </w:t>
            </w:r>
            <w:r>
              <w:rPr>
                <w:rFonts w:ascii="Calibri" w:hAnsi="Calibri"/>
                <w:szCs w:val="22"/>
              </w:rPr>
              <w:t xml:space="preserve">is therefore welcome. </w:t>
            </w:r>
            <w:r w:rsidR="00EA736B">
              <w:rPr>
                <w:rFonts w:ascii="Calibri" w:hAnsi="Calibri"/>
                <w:szCs w:val="22"/>
              </w:rPr>
              <w:t>Details of a methodology of works and the new lime mortar have been submitted and are acceptable.</w:t>
            </w:r>
          </w:p>
          <w:p w14:paraId="3DE6811D" w14:textId="36421AD0" w:rsidR="005F3473" w:rsidRPr="00C24938" w:rsidRDefault="005F3473" w:rsidP="00737F18">
            <w:pPr>
              <w:pStyle w:val="Header"/>
              <w:contextualSpacing/>
              <w:jc w:val="both"/>
              <w:rPr>
                <w:rFonts w:ascii="Calibri" w:hAnsi="Calibri"/>
                <w:bCs/>
                <w:color w:val="FF0000"/>
                <w:szCs w:val="22"/>
              </w:rPr>
            </w:pPr>
          </w:p>
          <w:p w14:paraId="3D0A75E7" w14:textId="76E8B80E" w:rsidR="0046548C" w:rsidRPr="004F7A73" w:rsidRDefault="004F7A73" w:rsidP="00737F18">
            <w:pPr>
              <w:pStyle w:val="Header"/>
              <w:contextualSpacing/>
              <w:jc w:val="both"/>
              <w:rPr>
                <w:rFonts w:ascii="Calibri" w:hAnsi="Calibri"/>
                <w:bCs/>
              </w:rPr>
            </w:pPr>
            <w:r w:rsidRPr="004F7A73">
              <w:rPr>
                <w:rFonts w:ascii="Calibri" w:hAnsi="Calibri"/>
                <w:bCs/>
              </w:rPr>
              <w:t xml:space="preserve">As such, taking account of the above matters, it is not considered that the proposed development raises any conflict(s) with Key Statement EN5 or Policies DMG1 and DME4 of the Ribble Valley Core Strategy, nor any conflicts with the aims, objectives and requirements of Sections 16 and 66 of the Planning (Listed Buildings and Conservation Areas) Act 1990 nor Paragraphs 205 and 208 of the National Planning Policy Framework.  </w:t>
            </w:r>
          </w:p>
          <w:p w14:paraId="632BE018" w14:textId="139F06CE" w:rsidR="004F7A73" w:rsidRPr="00FA0D9D" w:rsidRDefault="004F7A73" w:rsidP="00737F18">
            <w:pPr>
              <w:pStyle w:val="Header"/>
              <w:contextualSpacing/>
              <w:jc w:val="both"/>
              <w:rPr>
                <w:rFonts w:ascii="Calibri" w:hAnsi="Calibri"/>
                <w:b/>
              </w:rPr>
            </w:pPr>
          </w:p>
        </w:tc>
      </w:tr>
      <w:tr w:rsidR="00C0704D" w:rsidRPr="00D2449B" w14:paraId="0A9D02B4"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C0704D" w:rsidRDefault="00C0704D" w:rsidP="00EA09F9">
            <w:pPr>
              <w:contextualSpacing/>
              <w:jc w:val="both"/>
              <w:rPr>
                <w:rFonts w:ascii="Calibri" w:hAnsi="Calibri"/>
                <w:b/>
                <w:bCs/>
                <w:szCs w:val="22"/>
              </w:rPr>
            </w:pPr>
            <w:r w:rsidRPr="00D2449B">
              <w:rPr>
                <w:rFonts w:ascii="Calibri" w:hAnsi="Calibri"/>
                <w:b/>
                <w:bCs/>
                <w:szCs w:val="22"/>
              </w:rPr>
              <w:lastRenderedPageBreak/>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C0704D" w:rsidRPr="00DD62F6" w:rsidRDefault="00C0704D" w:rsidP="00DD62F6">
            <w:pPr>
              <w:contextualSpacing/>
              <w:rPr>
                <w:rFonts w:ascii="Calibri" w:hAnsi="Calibri"/>
                <w:bCs/>
                <w:color w:val="548DD4" w:themeColor="text2" w:themeTint="99"/>
                <w:szCs w:val="22"/>
              </w:rPr>
            </w:pPr>
          </w:p>
          <w:p w14:paraId="5A1F5F94" w14:textId="3FCEB0E9" w:rsidR="0046548C" w:rsidRPr="009F4443" w:rsidRDefault="009F4443" w:rsidP="00DD62F6">
            <w:pPr>
              <w:pStyle w:val="Header"/>
              <w:tabs>
                <w:tab w:val="clear" w:pos="4153"/>
                <w:tab w:val="clear" w:pos="8306"/>
              </w:tabs>
              <w:contextualSpacing/>
              <w:jc w:val="both"/>
              <w:rPr>
                <w:rFonts w:ascii="Calibri" w:hAnsi="Calibri"/>
                <w:bCs/>
                <w:szCs w:val="22"/>
              </w:rPr>
            </w:pPr>
            <w:r w:rsidRPr="009F4443">
              <w:rPr>
                <w:rFonts w:ascii="Calibri" w:hAnsi="Calibri"/>
                <w:bCs/>
                <w:szCs w:val="22"/>
              </w:rPr>
              <w:t xml:space="preserve">As such, for the above reasons and having regard to all material considerations and matters raised that the application </w:t>
            </w:r>
            <w:r w:rsidR="003F1DFA">
              <w:rPr>
                <w:rFonts w:ascii="Calibri" w:hAnsi="Calibri"/>
                <w:bCs/>
                <w:szCs w:val="22"/>
              </w:rPr>
              <w:t xml:space="preserve">for Listed Building Consent </w:t>
            </w:r>
            <w:r w:rsidRPr="009F4443">
              <w:rPr>
                <w:rFonts w:ascii="Calibri" w:hAnsi="Calibri"/>
                <w:bCs/>
                <w:szCs w:val="22"/>
              </w:rPr>
              <w:t xml:space="preserve">is recommended for </w:t>
            </w:r>
            <w:r w:rsidR="00761D2C">
              <w:rPr>
                <w:rFonts w:ascii="Calibri" w:hAnsi="Calibri"/>
                <w:bCs/>
                <w:szCs w:val="22"/>
              </w:rPr>
              <w:t>approval.</w:t>
            </w:r>
          </w:p>
          <w:p w14:paraId="3A4BD7A7" w14:textId="073A1409" w:rsidR="009F4443" w:rsidRDefault="009F4443" w:rsidP="00DD62F6">
            <w:pPr>
              <w:pStyle w:val="Header"/>
              <w:tabs>
                <w:tab w:val="clear" w:pos="4153"/>
                <w:tab w:val="clear" w:pos="8306"/>
              </w:tabs>
              <w:contextualSpacing/>
              <w:jc w:val="both"/>
              <w:rPr>
                <w:rFonts w:ascii="Calibri" w:hAnsi="Calibri"/>
                <w:b/>
                <w:szCs w:val="22"/>
              </w:rPr>
            </w:pPr>
          </w:p>
        </w:tc>
      </w:tr>
      <w:tr w:rsidR="00C0704D" w:rsidRPr="00D2449B" w14:paraId="507FC89B" w14:textId="77777777" w:rsidTr="00DE4927">
        <w:trPr>
          <w:jc w:val="center"/>
        </w:trPr>
        <w:tc>
          <w:tcPr>
            <w:tcW w:w="219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C0704D" w:rsidRPr="00D2449B" w:rsidRDefault="00C0704D" w:rsidP="0038566B">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365"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7A6064A5" w:rsidR="00C0704D" w:rsidRPr="00D2449B" w:rsidRDefault="00C0704D" w:rsidP="0038566B">
            <w:pPr>
              <w:rPr>
                <w:rFonts w:ascii="Calibri" w:hAnsi="Calibri"/>
                <w:bCs/>
                <w:szCs w:val="22"/>
              </w:rPr>
            </w:pPr>
          </w:p>
        </w:tc>
      </w:tr>
      <w:tr w:rsidR="00773A66" w:rsidRPr="00D2449B" w14:paraId="755767E6" w14:textId="77777777" w:rsidTr="00DE4927">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9D01B5" w14:textId="2DEED463" w:rsidR="00773A66" w:rsidRPr="00D2449B" w:rsidRDefault="00773A66" w:rsidP="0038566B">
            <w:pPr>
              <w:rPr>
                <w:rFonts w:ascii="Calibri" w:hAnsi="Calibri"/>
                <w:bCs/>
                <w:szCs w:val="22"/>
              </w:rPr>
            </w:pPr>
            <w:r w:rsidRPr="009F4443">
              <w:rPr>
                <w:rFonts w:asciiTheme="minorHAnsi" w:hAnsiTheme="minorHAnsi"/>
                <w:bCs/>
                <w:szCs w:val="22"/>
              </w:rPr>
              <w:t xml:space="preserve">That </w:t>
            </w:r>
            <w:r w:rsidR="003F1DFA">
              <w:rPr>
                <w:rFonts w:asciiTheme="minorHAnsi" w:hAnsiTheme="minorHAnsi"/>
                <w:bCs/>
                <w:szCs w:val="22"/>
              </w:rPr>
              <w:t>Listed Building</w:t>
            </w:r>
            <w:r w:rsidRPr="009F4443">
              <w:rPr>
                <w:rFonts w:asciiTheme="minorHAnsi" w:hAnsiTheme="minorHAnsi"/>
                <w:bCs/>
                <w:szCs w:val="22"/>
              </w:rPr>
              <w:t xml:space="preserve"> </w:t>
            </w:r>
            <w:r w:rsidR="003F1DFA">
              <w:rPr>
                <w:rFonts w:asciiTheme="minorHAnsi" w:hAnsiTheme="minorHAnsi"/>
                <w:bCs/>
                <w:szCs w:val="22"/>
              </w:rPr>
              <w:t>C</w:t>
            </w:r>
            <w:r w:rsidRPr="009F4443">
              <w:rPr>
                <w:rFonts w:asciiTheme="minorHAnsi" w:hAnsiTheme="minorHAnsi"/>
                <w:bCs/>
                <w:szCs w:val="22"/>
              </w:rPr>
              <w:t xml:space="preserve">onsent be </w:t>
            </w:r>
            <w:r w:rsidR="00761D2C">
              <w:rPr>
                <w:rFonts w:asciiTheme="minorHAnsi" w:hAnsiTheme="minorHAnsi"/>
                <w:bCs/>
                <w:szCs w:val="22"/>
              </w:rPr>
              <w:t>granted subject to the imposition of conditions.</w:t>
            </w:r>
          </w:p>
        </w:tc>
      </w:tr>
    </w:tbl>
    <w:p w14:paraId="513FB541" w14:textId="77777777" w:rsidR="0038566B" w:rsidRPr="00D2449B" w:rsidRDefault="0038566B">
      <w:pPr>
        <w:rPr>
          <w:rFonts w:ascii="Calibri" w:hAnsi="Calibri"/>
          <w:szCs w:val="22"/>
        </w:rPr>
      </w:pPr>
    </w:p>
    <w:sectPr w:rsidR="0038566B"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EF7CD4"/>
    <w:multiLevelType w:val="hybridMultilevel"/>
    <w:tmpl w:val="F19EDC3C"/>
    <w:lvl w:ilvl="0" w:tplc="DCE02EE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043CA"/>
    <w:multiLevelType w:val="hybridMultilevel"/>
    <w:tmpl w:val="A3A0B5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C94C6B"/>
    <w:multiLevelType w:val="hybridMultilevel"/>
    <w:tmpl w:val="6620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09005C"/>
    <w:multiLevelType w:val="hybridMultilevel"/>
    <w:tmpl w:val="E0B65862"/>
    <w:lvl w:ilvl="0" w:tplc="279CF27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895860"/>
    <w:multiLevelType w:val="hybridMultilevel"/>
    <w:tmpl w:val="658404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A31C74"/>
    <w:multiLevelType w:val="hybridMultilevel"/>
    <w:tmpl w:val="6C30E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2F2028"/>
    <w:multiLevelType w:val="hybridMultilevel"/>
    <w:tmpl w:val="8C8AF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DA12AC"/>
    <w:multiLevelType w:val="hybridMultilevel"/>
    <w:tmpl w:val="00B21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576258"/>
    <w:multiLevelType w:val="hybridMultilevel"/>
    <w:tmpl w:val="31004B5C"/>
    <w:lvl w:ilvl="0" w:tplc="CD06FD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4279F2"/>
    <w:multiLevelType w:val="hybridMultilevel"/>
    <w:tmpl w:val="045CB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223EB8"/>
    <w:multiLevelType w:val="hybridMultilevel"/>
    <w:tmpl w:val="98266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A354D1"/>
    <w:multiLevelType w:val="hybridMultilevel"/>
    <w:tmpl w:val="1BA86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1025905">
    <w:abstractNumId w:val="11"/>
  </w:num>
  <w:num w:numId="2" w16cid:durableId="445740068">
    <w:abstractNumId w:val="6"/>
  </w:num>
  <w:num w:numId="3" w16cid:durableId="1363170972">
    <w:abstractNumId w:val="8"/>
  </w:num>
  <w:num w:numId="4" w16cid:durableId="940527146">
    <w:abstractNumId w:val="0"/>
  </w:num>
  <w:num w:numId="5" w16cid:durableId="639572624">
    <w:abstractNumId w:val="12"/>
  </w:num>
  <w:num w:numId="6" w16cid:durableId="1170215715">
    <w:abstractNumId w:val="7"/>
  </w:num>
  <w:num w:numId="7" w16cid:durableId="1573781848">
    <w:abstractNumId w:val="2"/>
  </w:num>
  <w:num w:numId="8" w16cid:durableId="1015419233">
    <w:abstractNumId w:val="10"/>
  </w:num>
  <w:num w:numId="9" w16cid:durableId="1999267513">
    <w:abstractNumId w:val="5"/>
  </w:num>
  <w:num w:numId="10" w16cid:durableId="1666664353">
    <w:abstractNumId w:val="3"/>
  </w:num>
  <w:num w:numId="11" w16cid:durableId="1127435632">
    <w:abstractNumId w:val="9"/>
  </w:num>
  <w:num w:numId="12" w16cid:durableId="139201204">
    <w:abstractNumId w:val="4"/>
  </w:num>
  <w:num w:numId="13" w16cid:durableId="1241020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6788"/>
    <w:rsid w:val="000174ED"/>
    <w:rsid w:val="00022336"/>
    <w:rsid w:val="000B5CB5"/>
    <w:rsid w:val="000D6075"/>
    <w:rsid w:val="00130035"/>
    <w:rsid w:val="00132A7C"/>
    <w:rsid w:val="001344CE"/>
    <w:rsid w:val="00191A9A"/>
    <w:rsid w:val="001D3AFF"/>
    <w:rsid w:val="001D4F7A"/>
    <w:rsid w:val="001F0A1D"/>
    <w:rsid w:val="001F12EE"/>
    <w:rsid w:val="00221DD5"/>
    <w:rsid w:val="00225AFC"/>
    <w:rsid w:val="00225D93"/>
    <w:rsid w:val="0023273C"/>
    <w:rsid w:val="00250879"/>
    <w:rsid w:val="002639AE"/>
    <w:rsid w:val="00275CC1"/>
    <w:rsid w:val="00282E3A"/>
    <w:rsid w:val="0029334A"/>
    <w:rsid w:val="002A01CF"/>
    <w:rsid w:val="002C6277"/>
    <w:rsid w:val="002F2580"/>
    <w:rsid w:val="00321B6E"/>
    <w:rsid w:val="00334330"/>
    <w:rsid w:val="00346AB8"/>
    <w:rsid w:val="0038566B"/>
    <w:rsid w:val="003920ED"/>
    <w:rsid w:val="003A6CDD"/>
    <w:rsid w:val="003E4FDB"/>
    <w:rsid w:val="003E59F6"/>
    <w:rsid w:val="003E7597"/>
    <w:rsid w:val="003F1DFA"/>
    <w:rsid w:val="004174E8"/>
    <w:rsid w:val="00440CB6"/>
    <w:rsid w:val="0046548C"/>
    <w:rsid w:val="00472C48"/>
    <w:rsid w:val="004947BB"/>
    <w:rsid w:val="00497407"/>
    <w:rsid w:val="004A5EA9"/>
    <w:rsid w:val="004B7490"/>
    <w:rsid w:val="004C2434"/>
    <w:rsid w:val="004F0649"/>
    <w:rsid w:val="004F7A73"/>
    <w:rsid w:val="00510FA2"/>
    <w:rsid w:val="00556ECD"/>
    <w:rsid w:val="00576030"/>
    <w:rsid w:val="005A4399"/>
    <w:rsid w:val="005C0880"/>
    <w:rsid w:val="005D741C"/>
    <w:rsid w:val="005E1C6C"/>
    <w:rsid w:val="005E65DF"/>
    <w:rsid w:val="005F3473"/>
    <w:rsid w:val="00652C61"/>
    <w:rsid w:val="0068158E"/>
    <w:rsid w:val="00692B60"/>
    <w:rsid w:val="006A71AD"/>
    <w:rsid w:val="006C2BFA"/>
    <w:rsid w:val="006F6849"/>
    <w:rsid w:val="0070054B"/>
    <w:rsid w:val="00706264"/>
    <w:rsid w:val="00737F18"/>
    <w:rsid w:val="00761D2C"/>
    <w:rsid w:val="00773A66"/>
    <w:rsid w:val="00776AE2"/>
    <w:rsid w:val="007A0111"/>
    <w:rsid w:val="007C791C"/>
    <w:rsid w:val="007D7DF4"/>
    <w:rsid w:val="007E0D23"/>
    <w:rsid w:val="007F16D6"/>
    <w:rsid w:val="007F1BFE"/>
    <w:rsid w:val="00811771"/>
    <w:rsid w:val="00817902"/>
    <w:rsid w:val="00817D09"/>
    <w:rsid w:val="00823AE0"/>
    <w:rsid w:val="00824DB6"/>
    <w:rsid w:val="00837F4F"/>
    <w:rsid w:val="00846D89"/>
    <w:rsid w:val="008542DE"/>
    <w:rsid w:val="00860EDE"/>
    <w:rsid w:val="008A28C8"/>
    <w:rsid w:val="008B614E"/>
    <w:rsid w:val="00970A42"/>
    <w:rsid w:val="00981E1C"/>
    <w:rsid w:val="0098346D"/>
    <w:rsid w:val="00983FEF"/>
    <w:rsid w:val="009A67C4"/>
    <w:rsid w:val="009F4443"/>
    <w:rsid w:val="00A42E82"/>
    <w:rsid w:val="00A579BB"/>
    <w:rsid w:val="00A63D55"/>
    <w:rsid w:val="00A74B03"/>
    <w:rsid w:val="00A95D89"/>
    <w:rsid w:val="00AA707F"/>
    <w:rsid w:val="00AD5A6A"/>
    <w:rsid w:val="00B16D3C"/>
    <w:rsid w:val="00B2469F"/>
    <w:rsid w:val="00B93EB5"/>
    <w:rsid w:val="00BD3F03"/>
    <w:rsid w:val="00BE4986"/>
    <w:rsid w:val="00C068AF"/>
    <w:rsid w:val="00C0704D"/>
    <w:rsid w:val="00C24938"/>
    <w:rsid w:val="00C25722"/>
    <w:rsid w:val="00C618DB"/>
    <w:rsid w:val="00C80A74"/>
    <w:rsid w:val="00CC421C"/>
    <w:rsid w:val="00CD5EE4"/>
    <w:rsid w:val="00CE3D7E"/>
    <w:rsid w:val="00CE66F9"/>
    <w:rsid w:val="00D11007"/>
    <w:rsid w:val="00D17EB1"/>
    <w:rsid w:val="00D2449B"/>
    <w:rsid w:val="00D54E67"/>
    <w:rsid w:val="00D6186D"/>
    <w:rsid w:val="00D62732"/>
    <w:rsid w:val="00DD3580"/>
    <w:rsid w:val="00DD62F6"/>
    <w:rsid w:val="00DE4927"/>
    <w:rsid w:val="00DF22AD"/>
    <w:rsid w:val="00E12912"/>
    <w:rsid w:val="00E46243"/>
    <w:rsid w:val="00E56446"/>
    <w:rsid w:val="00E66534"/>
    <w:rsid w:val="00E72F6C"/>
    <w:rsid w:val="00E87FC1"/>
    <w:rsid w:val="00E90E90"/>
    <w:rsid w:val="00EA09F9"/>
    <w:rsid w:val="00EA736B"/>
    <w:rsid w:val="00EB3E14"/>
    <w:rsid w:val="00EC23C7"/>
    <w:rsid w:val="00ED00B7"/>
    <w:rsid w:val="00EF44E6"/>
    <w:rsid w:val="00F064E5"/>
    <w:rsid w:val="00F44CAC"/>
    <w:rsid w:val="00FC26AD"/>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FB2A560A-BA6C-4EA2-8FD5-6F09A09D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customStyle="1" w:styleId="Default">
    <w:name w:val="Default"/>
    <w:rsid w:val="004F7A7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294638">
      <w:bodyDiv w:val="1"/>
      <w:marLeft w:val="0"/>
      <w:marRight w:val="0"/>
      <w:marTop w:val="0"/>
      <w:marBottom w:val="0"/>
      <w:divBdr>
        <w:top w:val="none" w:sz="0" w:space="0" w:color="auto"/>
        <w:left w:val="none" w:sz="0" w:space="0" w:color="auto"/>
        <w:bottom w:val="none" w:sz="0" w:space="0" w:color="auto"/>
        <w:right w:val="none" w:sz="0" w:space="0" w:color="auto"/>
      </w:divBdr>
    </w:div>
    <w:div w:id="316343963">
      <w:bodyDiv w:val="1"/>
      <w:marLeft w:val="0"/>
      <w:marRight w:val="0"/>
      <w:marTop w:val="0"/>
      <w:marBottom w:val="0"/>
      <w:divBdr>
        <w:top w:val="none" w:sz="0" w:space="0" w:color="auto"/>
        <w:left w:val="none" w:sz="0" w:space="0" w:color="auto"/>
        <w:bottom w:val="none" w:sz="0" w:space="0" w:color="auto"/>
        <w:right w:val="none" w:sz="0" w:space="0" w:color="auto"/>
      </w:divBdr>
    </w:div>
    <w:div w:id="952058311">
      <w:bodyDiv w:val="1"/>
      <w:marLeft w:val="0"/>
      <w:marRight w:val="0"/>
      <w:marTop w:val="0"/>
      <w:marBottom w:val="0"/>
      <w:divBdr>
        <w:top w:val="none" w:sz="0" w:space="0" w:color="auto"/>
        <w:left w:val="none" w:sz="0" w:space="0" w:color="auto"/>
        <w:bottom w:val="none" w:sz="0" w:space="0" w:color="auto"/>
        <w:right w:val="none" w:sz="0" w:space="0" w:color="auto"/>
      </w:divBdr>
    </w:div>
    <w:div w:id="2011055794">
      <w:bodyDiv w:val="1"/>
      <w:marLeft w:val="0"/>
      <w:marRight w:val="0"/>
      <w:marTop w:val="0"/>
      <w:marBottom w:val="0"/>
      <w:divBdr>
        <w:top w:val="none" w:sz="0" w:space="0" w:color="auto"/>
        <w:left w:val="none" w:sz="0" w:space="0" w:color="auto"/>
        <w:bottom w:val="none" w:sz="0" w:space="0" w:color="auto"/>
        <w:right w:val="none" w:sz="0" w:space="0" w:color="auto"/>
      </w:divBdr>
    </w:div>
    <w:div w:id="2089377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Kilmartin</dc:creator>
  <cp:keywords/>
  <dc:description/>
  <cp:lastModifiedBy>Lesley Lund</cp:lastModifiedBy>
  <cp:revision>2</cp:revision>
  <cp:lastPrinted>2016-01-04T13:03:00Z</cp:lastPrinted>
  <dcterms:created xsi:type="dcterms:W3CDTF">2024-06-10T15:43:00Z</dcterms:created>
  <dcterms:modified xsi:type="dcterms:W3CDTF">2024-06-10T15:43:00Z</dcterms:modified>
</cp:coreProperties>
</file>