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75"/>
        <w:gridCol w:w="784"/>
        <w:gridCol w:w="1321"/>
      </w:tblGrid>
      <w:tr w:rsidR="004A5EA9" w:rsidRPr="00D2449B" w14:paraId="230E00AF"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41A7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F94399" w:rsidR="00837F4F" w:rsidRPr="00D2449B" w:rsidRDefault="00CE01D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00C753" w:rsidR="00837F4F" w:rsidRPr="00D2449B" w:rsidRDefault="00002A44" w:rsidP="00D2449B">
            <w:pPr>
              <w:jc w:val="center"/>
              <w:rPr>
                <w:rFonts w:ascii="Calibri" w:hAnsi="Calibri"/>
                <w:b/>
                <w:szCs w:val="22"/>
              </w:rPr>
            </w:pPr>
            <w:r>
              <w:rPr>
                <w:rFonts w:ascii="Calibri" w:hAnsi="Calibri"/>
                <w:b/>
                <w:szCs w:val="22"/>
              </w:rPr>
              <w:t>2</w:t>
            </w:r>
            <w:r w:rsidR="00353E69">
              <w:rPr>
                <w:rFonts w:ascii="Calibri" w:hAnsi="Calibri"/>
                <w:b/>
                <w:szCs w:val="22"/>
              </w:rPr>
              <w:t>9</w:t>
            </w:r>
            <w:r>
              <w:rPr>
                <w:rFonts w:ascii="Calibri" w:hAnsi="Calibri"/>
                <w:b/>
                <w:szCs w:val="22"/>
              </w:rPr>
              <w:t>/05/24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CD68F3" w:rsidR="00837F4F" w:rsidRPr="00D2449B" w:rsidRDefault="00F41A74" w:rsidP="00D2449B">
            <w:pPr>
              <w:jc w:val="center"/>
              <w:rPr>
                <w:rFonts w:ascii="Calibri" w:hAnsi="Calibri"/>
                <w:b/>
                <w:szCs w:val="22"/>
              </w:rPr>
            </w:pPr>
            <w:r>
              <w:rPr>
                <w:rFonts w:ascii="Calibri" w:hAnsi="Calibri"/>
                <w:b/>
                <w:szCs w:val="22"/>
              </w:rPr>
              <w:t>KH</w:t>
            </w:r>
          </w:p>
        </w:tc>
        <w:tc>
          <w:tcPr>
            <w:tcW w:w="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F018FB" w:rsidR="00837F4F" w:rsidRPr="00D2449B" w:rsidRDefault="00F41A74" w:rsidP="00D2449B">
            <w:pPr>
              <w:jc w:val="center"/>
              <w:rPr>
                <w:rFonts w:ascii="Calibri" w:hAnsi="Calibri"/>
                <w:b/>
                <w:szCs w:val="22"/>
              </w:rPr>
            </w:pPr>
            <w:r>
              <w:rPr>
                <w:rFonts w:ascii="Calibri" w:hAnsi="Calibri"/>
                <w:b/>
                <w:szCs w:val="22"/>
              </w:rPr>
              <w:t>30/05/24</w:t>
            </w:r>
          </w:p>
        </w:tc>
      </w:tr>
      <w:tr w:rsidR="004A5EA9" w:rsidRPr="00D2449B" w14:paraId="2094A164" w14:textId="77777777" w:rsidTr="00F41A74">
        <w:trPr>
          <w:jc w:val="center"/>
        </w:trPr>
        <w:tc>
          <w:tcPr>
            <w:tcW w:w="982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41A7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3E96CE" w:rsidR="004A5EA9" w:rsidRPr="00406EBD" w:rsidRDefault="00CE01D6" w:rsidP="008542DE">
            <w:pPr>
              <w:rPr>
                <w:rFonts w:ascii="Calibri" w:hAnsi="Calibri"/>
                <w:color w:val="FF0000"/>
                <w:szCs w:val="22"/>
              </w:rPr>
            </w:pPr>
            <w:r w:rsidRPr="00CE01D6">
              <w:rPr>
                <w:rFonts w:ascii="Calibri" w:hAnsi="Calibri"/>
                <w:szCs w:val="22"/>
              </w:rPr>
              <w:t>3/2024/0273</w:t>
            </w:r>
          </w:p>
        </w:tc>
        <w:tc>
          <w:tcPr>
            <w:tcW w:w="3759"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41A7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384CC9" w:rsidR="00824DB6" w:rsidRPr="00C0704D" w:rsidRDefault="00CE01D6"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A76590" w:rsidR="00824DB6" w:rsidRPr="00C0704D" w:rsidRDefault="00CE01D6" w:rsidP="002C6277">
            <w:pPr>
              <w:rPr>
                <w:rFonts w:ascii="Calibri" w:hAnsi="Calibri"/>
                <w:szCs w:val="22"/>
              </w:rPr>
            </w:pPr>
            <w:r>
              <w:rPr>
                <w:rFonts w:ascii="Calibri" w:hAnsi="Calibri"/>
                <w:szCs w:val="22"/>
              </w:rPr>
              <w:t>N/A</w:t>
            </w:r>
          </w:p>
        </w:tc>
        <w:tc>
          <w:tcPr>
            <w:tcW w:w="3759"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41A7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91B0B9" w:rsidR="004A5EA9" w:rsidRPr="00250879" w:rsidRDefault="00CE01D6" w:rsidP="00811771">
            <w:pPr>
              <w:rPr>
                <w:rFonts w:ascii="Calibri" w:hAnsi="Calibri"/>
                <w:color w:val="548DD4" w:themeColor="text2" w:themeTint="99"/>
                <w:szCs w:val="22"/>
              </w:rPr>
            </w:pPr>
            <w:r w:rsidRPr="00CE01D6">
              <w:rPr>
                <w:rFonts w:ascii="Calibri" w:hAnsi="Calibri"/>
                <w:szCs w:val="22"/>
              </w:rPr>
              <w:t>LW</w:t>
            </w:r>
          </w:p>
        </w:tc>
        <w:tc>
          <w:tcPr>
            <w:tcW w:w="3759"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41A74">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AAE2973" w:rsidR="004A5EA9" w:rsidRPr="00D2449B" w:rsidRDefault="005353FE" w:rsidP="002A01CF">
            <w:pPr>
              <w:jc w:val="center"/>
              <w:rPr>
                <w:rFonts w:ascii="Calibri" w:hAnsi="Calibri"/>
                <w:b/>
                <w:szCs w:val="22"/>
              </w:rPr>
            </w:pPr>
            <w:r>
              <w:rPr>
                <w:rFonts w:ascii="Calibri" w:hAnsi="Calibri"/>
                <w:b/>
                <w:szCs w:val="22"/>
              </w:rPr>
              <w:t>REFUSED</w:t>
            </w:r>
          </w:p>
        </w:tc>
      </w:tr>
      <w:tr w:rsidR="004A5EA9" w:rsidRPr="00D2449B" w14:paraId="7813B96A" w14:textId="77777777" w:rsidTr="00F41A74">
        <w:trPr>
          <w:trHeight w:hRule="exact" w:val="170"/>
          <w:jc w:val="center"/>
        </w:trPr>
        <w:tc>
          <w:tcPr>
            <w:tcW w:w="982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41A7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16658F" w:rsidR="004A5EA9" w:rsidRPr="002C6277" w:rsidRDefault="00CE01D6">
            <w:pPr>
              <w:rPr>
                <w:rFonts w:ascii="Calibri" w:hAnsi="Calibri"/>
                <w:szCs w:val="22"/>
              </w:rPr>
            </w:pPr>
            <w:r>
              <w:rPr>
                <w:rFonts w:ascii="Calibri" w:hAnsi="Calibri"/>
                <w:szCs w:val="22"/>
              </w:rPr>
              <w:t xml:space="preserve">Certificate of Lawfulness for proposed siting of single storey mobile home to provide ancillary annexe. </w:t>
            </w:r>
          </w:p>
        </w:tc>
      </w:tr>
      <w:tr w:rsidR="002A01CF" w:rsidRPr="00D2449B" w14:paraId="52988241" w14:textId="77777777" w:rsidTr="00F41A7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5079B5F" w:rsidR="002A01CF" w:rsidRPr="002C6277" w:rsidRDefault="00CE01D6" w:rsidP="00A42E82">
            <w:pPr>
              <w:rPr>
                <w:rFonts w:ascii="Calibri" w:hAnsi="Calibri"/>
                <w:szCs w:val="22"/>
              </w:rPr>
            </w:pPr>
            <w:r>
              <w:rPr>
                <w:rFonts w:ascii="Calibri" w:hAnsi="Calibri"/>
                <w:szCs w:val="22"/>
              </w:rPr>
              <w:t>Rock House Higher Road Longridge PR3 2TW</w:t>
            </w:r>
          </w:p>
        </w:tc>
      </w:tr>
      <w:tr w:rsidR="00A95D89" w:rsidRPr="00D2449B" w14:paraId="3FB99B2E" w14:textId="77777777" w:rsidTr="00F41A74">
        <w:trPr>
          <w:trHeight w:hRule="exact" w:val="170"/>
          <w:jc w:val="center"/>
        </w:trPr>
        <w:tc>
          <w:tcPr>
            <w:tcW w:w="982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41A7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3D2732A" w:rsidR="002A01CF" w:rsidRPr="00295A61" w:rsidRDefault="00CE01D6">
            <w:pPr>
              <w:rPr>
                <w:rFonts w:ascii="Calibri" w:hAnsi="Calibri"/>
                <w:bCs/>
                <w:szCs w:val="22"/>
              </w:rPr>
            </w:pPr>
            <w:r>
              <w:rPr>
                <w:rFonts w:ascii="Calibri" w:hAnsi="Calibri"/>
                <w:bCs/>
                <w:szCs w:val="22"/>
              </w:rPr>
              <w:t>N/A</w:t>
            </w:r>
          </w:p>
        </w:tc>
      </w:tr>
      <w:tr w:rsidR="00C618DB" w:rsidRPr="00D2449B" w14:paraId="639E958B" w14:textId="77777777" w:rsidTr="00F41A74">
        <w:trPr>
          <w:trHeight w:hRule="exact" w:val="170"/>
          <w:jc w:val="center"/>
        </w:trPr>
        <w:tc>
          <w:tcPr>
            <w:tcW w:w="982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41A7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41A7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870463" w:rsidR="002A01CF" w:rsidRPr="00CE01D6" w:rsidRDefault="00CE01D6">
            <w:pPr>
              <w:rPr>
                <w:rFonts w:ascii="Calibri" w:hAnsi="Calibri"/>
                <w:bCs/>
                <w:szCs w:val="22"/>
              </w:rPr>
            </w:pPr>
            <w:r>
              <w:rPr>
                <w:rFonts w:ascii="Calibri" w:hAnsi="Calibri"/>
                <w:bCs/>
                <w:szCs w:val="22"/>
              </w:rPr>
              <w:t>N/A</w:t>
            </w:r>
          </w:p>
        </w:tc>
      </w:tr>
      <w:tr w:rsidR="00C0704D" w:rsidRPr="00D2449B" w14:paraId="62663AAF"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41A7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60EE14D" w:rsidR="00C0704D" w:rsidRPr="00C0704D" w:rsidRDefault="00CE01D6" w:rsidP="00692B60">
            <w:pPr>
              <w:rPr>
                <w:rFonts w:ascii="Calibri" w:hAnsi="Calibri"/>
                <w:szCs w:val="22"/>
              </w:rPr>
            </w:pPr>
            <w:r>
              <w:rPr>
                <w:rFonts w:ascii="Calibri" w:hAnsi="Calibri"/>
                <w:szCs w:val="22"/>
              </w:rPr>
              <w:t>N/A</w:t>
            </w:r>
          </w:p>
        </w:tc>
      </w:tr>
      <w:tr w:rsidR="00C0704D" w:rsidRPr="00D2449B" w14:paraId="1CDFA4C3" w14:textId="77777777" w:rsidTr="00F41A74">
        <w:trPr>
          <w:trHeight w:hRule="exact" w:val="170"/>
          <w:jc w:val="center"/>
        </w:trPr>
        <w:tc>
          <w:tcPr>
            <w:tcW w:w="982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5639B" w14:textId="77777777" w:rsidR="008542DE" w:rsidRPr="00CE01D6" w:rsidRDefault="00CE01D6" w:rsidP="00CE01D6">
            <w:pPr>
              <w:rPr>
                <w:rFonts w:ascii="Calibri" w:hAnsi="Calibri"/>
                <w:bCs/>
                <w:szCs w:val="22"/>
              </w:rPr>
            </w:pPr>
            <w:r w:rsidRPr="00CE01D6">
              <w:rPr>
                <w:rFonts w:ascii="Calibri" w:hAnsi="Calibri"/>
                <w:bCs/>
                <w:szCs w:val="22"/>
              </w:rPr>
              <w:t xml:space="preserve">Section 55 of the Town and Country Planning Act 1990. </w:t>
            </w:r>
          </w:p>
          <w:p w14:paraId="6C4C318E" w14:textId="3C950DB1" w:rsidR="00CE01D6" w:rsidRPr="00D2449B" w:rsidRDefault="00CE01D6" w:rsidP="00CE01D6">
            <w:pPr>
              <w:rPr>
                <w:rFonts w:ascii="Calibri" w:hAnsi="Calibri"/>
                <w:b/>
                <w:szCs w:val="22"/>
              </w:rPr>
            </w:pPr>
          </w:p>
        </w:tc>
      </w:tr>
      <w:tr w:rsidR="00C0704D" w:rsidRPr="00D2449B" w14:paraId="08181FD6"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1AE96E7E" w:rsidR="00406EBD" w:rsidRPr="00CE01D6" w:rsidRDefault="00CE01D6" w:rsidP="00C0704D">
            <w:pPr>
              <w:pStyle w:val="PLANNING"/>
              <w:rPr>
                <w:rFonts w:ascii="Calibri" w:hAnsi="Calibri"/>
                <w:szCs w:val="22"/>
              </w:rPr>
            </w:pPr>
            <w:r>
              <w:rPr>
                <w:rFonts w:ascii="Calibri" w:hAnsi="Calibri"/>
                <w:szCs w:val="22"/>
              </w:rPr>
              <w:t xml:space="preserve">3/2023/0684: Proposed single storey detached oak framed annexe building (Withdrawn).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F41A74">
        <w:trPr>
          <w:trHeight w:hRule="exact" w:val="170"/>
          <w:jc w:val="center"/>
        </w:trPr>
        <w:tc>
          <w:tcPr>
            <w:tcW w:w="982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08C6380"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01EAB">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101EAB">
            <w:pPr>
              <w:pStyle w:val="Header"/>
              <w:tabs>
                <w:tab w:val="clear" w:pos="4153"/>
                <w:tab w:val="clear" w:pos="8306"/>
              </w:tabs>
              <w:jc w:val="both"/>
              <w:rPr>
                <w:rFonts w:ascii="Calibri" w:hAnsi="Calibri"/>
                <w:b/>
                <w:szCs w:val="22"/>
              </w:rPr>
            </w:pPr>
          </w:p>
          <w:p w14:paraId="1ADCE41D" w14:textId="77777777" w:rsidR="00C0704D" w:rsidRDefault="00CE01D6" w:rsidP="00101EAB">
            <w:pPr>
              <w:pStyle w:val="Header"/>
              <w:tabs>
                <w:tab w:val="clear" w:pos="4153"/>
                <w:tab w:val="clear" w:pos="8306"/>
              </w:tabs>
              <w:jc w:val="both"/>
              <w:rPr>
                <w:rFonts w:ascii="Calibri" w:hAnsi="Calibri"/>
                <w:szCs w:val="22"/>
              </w:rPr>
            </w:pPr>
            <w:r>
              <w:rPr>
                <w:rFonts w:ascii="Calibri" w:hAnsi="Calibri"/>
                <w:szCs w:val="22"/>
              </w:rPr>
              <w:t xml:space="preserve">This application seeks a determination as to whether the proposal would constitute development as defined within Section 55 of the Town and Country Planning Act 1990. </w:t>
            </w:r>
          </w:p>
          <w:p w14:paraId="3F342B7D" w14:textId="77777777" w:rsidR="00CE01D6" w:rsidRDefault="00CE01D6" w:rsidP="00101EAB">
            <w:pPr>
              <w:pStyle w:val="Header"/>
              <w:tabs>
                <w:tab w:val="clear" w:pos="4153"/>
                <w:tab w:val="clear" w:pos="8306"/>
              </w:tabs>
              <w:jc w:val="both"/>
              <w:rPr>
                <w:rFonts w:ascii="Calibri" w:hAnsi="Calibri"/>
                <w:szCs w:val="22"/>
              </w:rPr>
            </w:pPr>
          </w:p>
          <w:p w14:paraId="29D1FC16" w14:textId="77777777" w:rsidR="00CE01D6" w:rsidRDefault="00CE01D6" w:rsidP="00101EAB">
            <w:pPr>
              <w:pStyle w:val="Header"/>
              <w:tabs>
                <w:tab w:val="clear" w:pos="4153"/>
                <w:tab w:val="clear" w:pos="8306"/>
              </w:tabs>
              <w:jc w:val="both"/>
              <w:rPr>
                <w:rFonts w:ascii="Calibri" w:hAnsi="Calibri"/>
                <w:szCs w:val="22"/>
              </w:rPr>
            </w:pPr>
            <w:r>
              <w:rPr>
                <w:rFonts w:ascii="Calibri" w:hAnsi="Calibri"/>
                <w:szCs w:val="22"/>
              </w:rPr>
              <w:t xml:space="preserve">In this particular instance, the application seeks to determine as to whether the siting and use of a mobile home, within the residential curtilage of the property known as Rock House, for purposes ancillary to the household, would constitute development as defined within Section 55 of the Act. </w:t>
            </w:r>
          </w:p>
          <w:p w14:paraId="3284F751" w14:textId="77777777" w:rsidR="00CE01D6" w:rsidRDefault="00CE01D6" w:rsidP="00101EAB">
            <w:pPr>
              <w:pStyle w:val="Header"/>
              <w:tabs>
                <w:tab w:val="clear" w:pos="4153"/>
                <w:tab w:val="clear" w:pos="8306"/>
              </w:tabs>
              <w:jc w:val="both"/>
              <w:rPr>
                <w:rFonts w:ascii="Calibri" w:hAnsi="Calibri"/>
                <w:szCs w:val="22"/>
              </w:rPr>
            </w:pPr>
          </w:p>
          <w:p w14:paraId="610ECABD" w14:textId="77777777" w:rsidR="00CE01D6" w:rsidRDefault="00CE01D6" w:rsidP="00101EAB">
            <w:pPr>
              <w:pStyle w:val="Header"/>
              <w:tabs>
                <w:tab w:val="clear" w:pos="4153"/>
                <w:tab w:val="clear" w:pos="8306"/>
              </w:tabs>
              <w:jc w:val="both"/>
              <w:rPr>
                <w:rFonts w:ascii="Calibri" w:hAnsi="Calibri"/>
                <w:szCs w:val="22"/>
              </w:rPr>
            </w:pPr>
            <w:r>
              <w:rPr>
                <w:rFonts w:ascii="Calibri" w:hAnsi="Calibri"/>
                <w:szCs w:val="22"/>
              </w:rPr>
              <w:t xml:space="preserve">In this respect, Section 55 reads as follows: </w:t>
            </w:r>
          </w:p>
          <w:p w14:paraId="6B9DB332" w14:textId="77777777" w:rsidR="00CE01D6" w:rsidRDefault="00CE01D6" w:rsidP="00101EAB">
            <w:pPr>
              <w:pStyle w:val="Header"/>
              <w:tabs>
                <w:tab w:val="clear" w:pos="4153"/>
                <w:tab w:val="clear" w:pos="8306"/>
              </w:tabs>
              <w:jc w:val="both"/>
              <w:rPr>
                <w:rFonts w:ascii="Calibri" w:hAnsi="Calibri"/>
                <w:szCs w:val="22"/>
              </w:rPr>
            </w:pPr>
          </w:p>
          <w:p w14:paraId="3EEE7966" w14:textId="62814A4C" w:rsidR="00CE01D6" w:rsidRPr="00B734B7" w:rsidRDefault="00CE01D6" w:rsidP="00101EAB">
            <w:pPr>
              <w:pStyle w:val="ListParagraph"/>
              <w:numPr>
                <w:ilvl w:val="0"/>
                <w:numId w:val="3"/>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 xml:space="preserve">Subject to the following provisions of this section, in this Act, except where the context otherwise requires, “development,” means the carrying out of building, engineering, mining or other operations </w:t>
            </w:r>
            <w:r w:rsidRPr="00B734B7">
              <w:rPr>
                <w:rFonts w:asciiTheme="minorHAnsi" w:hAnsiTheme="minorHAnsi" w:cstheme="minorHAnsi"/>
                <w:i/>
                <w:iCs/>
                <w:color w:val="000000"/>
                <w:szCs w:val="22"/>
                <w:lang w:eastAsia="en-GB"/>
              </w:rPr>
              <w:lastRenderedPageBreak/>
              <w:t>in, on, over or under land, or the making of any material change in the use of any buildings or other land.</w:t>
            </w:r>
          </w:p>
          <w:p w14:paraId="5DB40EE7" w14:textId="763D2732"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(1A) For the purposes of this Act “ building operations ” includes—</w:t>
            </w:r>
          </w:p>
          <w:p w14:paraId="5FAC8D61" w14:textId="4E1B9169" w:rsidR="00CE01D6"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demolition of buildings;</w:t>
            </w:r>
          </w:p>
          <w:p w14:paraId="57CE3EE1" w14:textId="78E5C064"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(b) rebuilding;</w:t>
            </w:r>
          </w:p>
          <w:p w14:paraId="1E4F2CA2" w14:textId="2112B185"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(c) structural alterations of or additions to buildings; and</w:t>
            </w:r>
          </w:p>
          <w:p w14:paraId="5E701618" w14:textId="6530F216"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b/>
                <w:bCs/>
                <w:i/>
                <w:iCs/>
                <w:color w:val="000000"/>
                <w:szCs w:val="22"/>
                <w:lang w:eastAsia="en-GB"/>
              </w:rPr>
            </w:pPr>
            <w:r w:rsidRPr="00B734B7">
              <w:rPr>
                <w:rFonts w:asciiTheme="minorHAnsi" w:hAnsiTheme="minorHAnsi" w:cstheme="minorHAnsi"/>
                <w:i/>
                <w:iCs/>
                <w:color w:val="000000"/>
                <w:szCs w:val="22"/>
                <w:lang w:eastAsia="en-GB"/>
              </w:rPr>
              <w:t>(d) other operations normally undertaken by a person carrying on business as a builder.</w:t>
            </w:r>
          </w:p>
          <w:p w14:paraId="0D0C8F5B" w14:textId="77777777" w:rsidR="00CE01D6" w:rsidRPr="00B734B7" w:rsidRDefault="00CE01D6" w:rsidP="00101EAB">
            <w:p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146F8137" w14:textId="3DB63A35" w:rsidR="00CE01D6" w:rsidRPr="00B734B7" w:rsidRDefault="00CE01D6" w:rsidP="00101EAB">
            <w:pPr>
              <w:pStyle w:val="ListParagraph"/>
              <w:numPr>
                <w:ilvl w:val="0"/>
                <w:numId w:val="3"/>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The following operations or uses of land shall not be taken for the purposes of this Act to involve development of the land—</w:t>
            </w:r>
          </w:p>
          <w:p w14:paraId="478F36F4" w14:textId="77777777" w:rsidR="00B734B7" w:rsidRPr="00B734B7" w:rsidRDefault="00B734B7" w:rsidP="00101EAB">
            <w:pPr>
              <w:pStyle w:val="ListParagraph"/>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14BCE9BC" w14:textId="632C7215"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(a) the carrying out for the maintenance, improvement or other alteration of any building of works which—</w:t>
            </w:r>
          </w:p>
          <w:p w14:paraId="2E5F811A" w14:textId="30783BBD"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(i) affect only the interior of the building, or</w:t>
            </w:r>
          </w:p>
          <w:p w14:paraId="1619B5B2" w14:textId="4BB03CE6" w:rsidR="00CE01D6" w:rsidRPr="00B734B7" w:rsidRDefault="00CE01D6"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(ii) do not materially affect the external appearance of the building, and are not works for making good war damage or works begun after 5th December 1968 for the alteration of a building by providing additional space in it underground;</w:t>
            </w:r>
          </w:p>
          <w:p w14:paraId="09292550" w14:textId="77777777" w:rsidR="00B734B7" w:rsidRPr="00B734B7" w:rsidRDefault="00B734B7" w:rsidP="00101EAB">
            <w:pPr>
              <w:shd w:val="clear" w:color="auto" w:fill="FFFFFF"/>
              <w:overflowPunct/>
              <w:autoSpaceDE/>
              <w:adjustRightInd/>
              <w:spacing w:after="120" w:line="360" w:lineRule="atLeast"/>
              <w:ind w:left="360"/>
              <w:jc w:val="both"/>
              <w:rPr>
                <w:rFonts w:asciiTheme="minorHAnsi" w:hAnsiTheme="minorHAnsi" w:cstheme="minorHAnsi"/>
                <w:i/>
                <w:iCs/>
                <w:color w:val="000000"/>
                <w:szCs w:val="22"/>
                <w:lang w:eastAsia="en-GB"/>
              </w:rPr>
            </w:pPr>
          </w:p>
          <w:p w14:paraId="735C2987" w14:textId="6DE4B51C" w:rsidR="00CE01D6"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the carrying out on land within the boundaries of a road by a highway authority of any works required for the maintenance or improvement of the road but, in the case of any such works which are not exclusively for the maintenance of the road, not including any works which may have significant adverse effects on the environment;</w:t>
            </w:r>
          </w:p>
          <w:p w14:paraId="492364F4" w14:textId="77777777" w:rsidR="00B734B7" w:rsidRPr="00B734B7" w:rsidRDefault="00B734B7" w:rsidP="00101EAB">
            <w:pPr>
              <w:pStyle w:val="ListParagraph"/>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02FFFCDA" w14:textId="7778E345" w:rsidR="00B734B7"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the carrying out by a local authority or statutory undertakers of any works for the purpose of inspecting, repairing or renewing any sewers, mains, pipes, cables or other apparatus, including the breaking open of any street or other land for that purpose;</w:t>
            </w:r>
          </w:p>
          <w:p w14:paraId="20883D9A" w14:textId="77777777" w:rsidR="00B734B7" w:rsidRPr="00B734B7" w:rsidRDefault="00B734B7" w:rsidP="00101EAB">
            <w:pPr>
              <w:pStyle w:val="ListParagraph"/>
              <w:jc w:val="both"/>
              <w:rPr>
                <w:rFonts w:asciiTheme="minorHAnsi" w:hAnsiTheme="minorHAnsi" w:cstheme="minorHAnsi"/>
                <w:i/>
                <w:iCs/>
                <w:color w:val="000000"/>
                <w:szCs w:val="22"/>
                <w:lang w:eastAsia="en-GB"/>
              </w:rPr>
            </w:pPr>
          </w:p>
          <w:p w14:paraId="1671A309" w14:textId="77777777" w:rsidR="00B734B7" w:rsidRPr="00B734B7" w:rsidRDefault="00B734B7" w:rsidP="00101EAB">
            <w:pPr>
              <w:pStyle w:val="ListParagraph"/>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1A4C7A0C" w14:textId="4F1F40FA" w:rsidR="00CE01D6"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the use of any buildings or other land within the curtilage of a dwellinghouse for any purpose incidental to the enjoyment of the dwellinghouse as such;</w:t>
            </w:r>
          </w:p>
          <w:p w14:paraId="54B216BD" w14:textId="77777777" w:rsidR="00B734B7" w:rsidRPr="00B734B7" w:rsidRDefault="00B734B7" w:rsidP="00101EAB">
            <w:pPr>
              <w:pStyle w:val="ListParagraph"/>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2D140C8D" w14:textId="7397B11A" w:rsidR="00B734B7"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the use of any land for the purposes of agriculture or forestry (including afforestation) and the use for any of those purposes of any building occupied together with land so use</w:t>
            </w:r>
            <w:r w:rsidR="00B734B7" w:rsidRPr="00B734B7">
              <w:rPr>
                <w:rFonts w:asciiTheme="minorHAnsi" w:hAnsiTheme="minorHAnsi" w:cstheme="minorHAnsi"/>
                <w:i/>
                <w:iCs/>
                <w:color w:val="000000"/>
                <w:szCs w:val="22"/>
                <w:lang w:eastAsia="en-GB"/>
              </w:rPr>
              <w:t>d;</w:t>
            </w:r>
          </w:p>
          <w:p w14:paraId="4F8D8735" w14:textId="77777777" w:rsidR="00B734B7" w:rsidRPr="00B734B7" w:rsidRDefault="00B734B7" w:rsidP="00101EAB">
            <w:pPr>
              <w:pStyle w:val="ListParagraph"/>
              <w:jc w:val="both"/>
              <w:rPr>
                <w:rFonts w:asciiTheme="minorHAnsi" w:hAnsiTheme="minorHAnsi" w:cstheme="minorHAnsi"/>
                <w:i/>
                <w:iCs/>
                <w:color w:val="000000"/>
                <w:szCs w:val="22"/>
                <w:lang w:eastAsia="en-GB"/>
              </w:rPr>
            </w:pPr>
          </w:p>
          <w:p w14:paraId="41DCD2BD" w14:textId="77777777" w:rsidR="00B734B7" w:rsidRPr="00B734B7" w:rsidRDefault="00B734B7" w:rsidP="00101EAB">
            <w:pPr>
              <w:pStyle w:val="ListParagraph"/>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394BE633" w14:textId="0FFD35D5" w:rsidR="00CE01D6"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 xml:space="preserve">in the case of buildings or other land which are used for a purpose of any class specified in an order made by the Secretary of State under this section, the use of the buildings or other land or, subject to </w:t>
            </w:r>
            <w:r w:rsidRPr="00B734B7">
              <w:rPr>
                <w:rFonts w:asciiTheme="minorHAnsi" w:hAnsiTheme="minorHAnsi" w:cstheme="minorHAnsi"/>
                <w:i/>
                <w:iCs/>
                <w:color w:val="000000"/>
                <w:szCs w:val="22"/>
                <w:lang w:eastAsia="en-GB"/>
              </w:rPr>
              <w:lastRenderedPageBreak/>
              <w:t>the provisions of the order, of any part of the buildings or the other land, for any other purpose of the same class</w:t>
            </w:r>
            <w:r w:rsidR="00B734B7" w:rsidRPr="00B734B7">
              <w:rPr>
                <w:rFonts w:asciiTheme="minorHAnsi" w:hAnsiTheme="minorHAnsi" w:cstheme="minorHAnsi"/>
                <w:i/>
                <w:iCs/>
                <w:color w:val="000000"/>
                <w:szCs w:val="22"/>
                <w:lang w:eastAsia="en-GB"/>
              </w:rPr>
              <w:t>;</w:t>
            </w:r>
          </w:p>
          <w:p w14:paraId="61AB9EF0" w14:textId="77777777" w:rsidR="00B734B7" w:rsidRPr="00B734B7" w:rsidRDefault="00B734B7" w:rsidP="00101EAB">
            <w:pPr>
              <w:pStyle w:val="ListParagraph"/>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p>
          <w:p w14:paraId="0CFEBBB7" w14:textId="4938763A" w:rsidR="00CE01D6" w:rsidRPr="00B734B7" w:rsidRDefault="00CE01D6" w:rsidP="00101EAB">
            <w:pPr>
              <w:pStyle w:val="ListParagraph"/>
              <w:numPr>
                <w:ilvl w:val="0"/>
                <w:numId w:val="4"/>
              </w:numPr>
              <w:shd w:val="clear" w:color="auto" w:fill="FFFFFF"/>
              <w:overflowPunct/>
              <w:autoSpaceDE/>
              <w:adjustRightInd/>
              <w:spacing w:after="120" w:line="360" w:lineRule="atLeast"/>
              <w:jc w:val="both"/>
              <w:rPr>
                <w:rFonts w:asciiTheme="minorHAnsi" w:hAnsiTheme="minorHAnsi" w:cstheme="minorHAnsi"/>
                <w:i/>
                <w:iCs/>
                <w:color w:val="000000"/>
                <w:szCs w:val="22"/>
                <w:lang w:eastAsia="en-GB"/>
              </w:rPr>
            </w:pPr>
            <w:r w:rsidRPr="00B734B7">
              <w:rPr>
                <w:rFonts w:asciiTheme="minorHAnsi" w:hAnsiTheme="minorHAnsi" w:cstheme="minorHAnsi"/>
                <w:i/>
                <w:iCs/>
                <w:color w:val="000000"/>
                <w:szCs w:val="22"/>
                <w:lang w:eastAsia="en-GB"/>
              </w:rPr>
              <w:t>the demolition of any description of building specified in a direction given by the Secretary of State to local planning authorities generally or to a particular local planning authority.</w:t>
            </w:r>
          </w:p>
          <w:p w14:paraId="719FA581" w14:textId="77777777" w:rsidR="00B734B7" w:rsidRDefault="00B734B7" w:rsidP="00101EAB">
            <w:pPr>
              <w:pStyle w:val="ListParagraph"/>
              <w:jc w:val="both"/>
              <w:rPr>
                <w:rFonts w:asciiTheme="minorHAnsi" w:hAnsiTheme="minorHAnsi" w:cstheme="minorHAnsi"/>
                <w:i/>
                <w:iCs/>
                <w:color w:val="000000"/>
                <w:sz w:val="20"/>
                <w:lang w:eastAsia="en-GB"/>
              </w:rPr>
            </w:pPr>
          </w:p>
          <w:p w14:paraId="662DDC81" w14:textId="77777777" w:rsidR="00B734B7" w:rsidRPr="00B734B7" w:rsidRDefault="00B734B7" w:rsidP="00101EAB">
            <w:pPr>
              <w:pStyle w:val="ListParagraph"/>
              <w:jc w:val="both"/>
              <w:rPr>
                <w:rFonts w:asciiTheme="minorHAnsi" w:hAnsiTheme="minorHAnsi" w:cstheme="minorHAnsi"/>
                <w:i/>
                <w:iCs/>
                <w:color w:val="000000"/>
                <w:sz w:val="20"/>
                <w:lang w:eastAsia="en-GB"/>
              </w:rPr>
            </w:pPr>
          </w:p>
          <w:p w14:paraId="44032F40" w14:textId="5607DB71" w:rsidR="00B734B7" w:rsidRDefault="00B734B7" w:rsidP="00101EAB">
            <w:pPr>
              <w:shd w:val="clear" w:color="auto" w:fill="FFFFFF"/>
              <w:overflowPunct/>
              <w:autoSpaceDE/>
              <w:adjustRightInd/>
              <w:spacing w:after="120"/>
              <w:jc w:val="both"/>
              <w:rPr>
                <w:rFonts w:asciiTheme="minorHAnsi" w:hAnsiTheme="minorHAnsi" w:cstheme="minorHAnsi"/>
                <w:color w:val="000000"/>
                <w:szCs w:val="22"/>
                <w:lang w:eastAsia="en-GB"/>
              </w:rPr>
            </w:pPr>
            <w:r w:rsidRPr="00B734B7">
              <w:rPr>
                <w:rFonts w:asciiTheme="minorHAnsi" w:hAnsiTheme="minorHAnsi" w:cstheme="minorHAnsi"/>
                <w:color w:val="000000"/>
                <w:szCs w:val="22"/>
                <w:lang w:eastAsia="en-GB"/>
              </w:rPr>
              <w:t xml:space="preserve">Furthermore, consideration must also be given in respect to the mobile home itself and whether it would be considered to be a ‘building’ or whether the siting of the mobile home on the land would be considered as constituting </w:t>
            </w:r>
            <w:r>
              <w:rPr>
                <w:rFonts w:asciiTheme="minorHAnsi" w:hAnsiTheme="minorHAnsi" w:cstheme="minorHAnsi"/>
                <w:color w:val="000000"/>
                <w:szCs w:val="22"/>
                <w:lang w:eastAsia="en-GB"/>
              </w:rPr>
              <w:t xml:space="preserve">the ‘siting or erection of a building’. However, </w:t>
            </w:r>
            <w:r w:rsidR="00D072C6">
              <w:rPr>
                <w:rFonts w:asciiTheme="minorHAnsi" w:hAnsiTheme="minorHAnsi" w:cstheme="minorHAnsi"/>
                <w:color w:val="000000"/>
                <w:szCs w:val="22"/>
                <w:lang w:eastAsia="en-GB"/>
              </w:rPr>
              <w:t xml:space="preserve">in </w:t>
            </w:r>
            <w:r>
              <w:rPr>
                <w:rFonts w:asciiTheme="minorHAnsi" w:hAnsiTheme="minorHAnsi" w:cstheme="minorHAnsi"/>
                <w:color w:val="000000"/>
                <w:szCs w:val="22"/>
                <w:lang w:eastAsia="en-GB"/>
              </w:rPr>
              <w:t xml:space="preserve">this respect case law has established that mobile homes, for the purposes of the Caravans Sited and Control of Development Act 1960 are defined as follows: </w:t>
            </w:r>
          </w:p>
          <w:p w14:paraId="6B1A1D73" w14:textId="77777777" w:rsidR="00B734B7" w:rsidRDefault="00B734B7" w:rsidP="00101EAB">
            <w:pPr>
              <w:shd w:val="clear" w:color="auto" w:fill="FFFFFF"/>
              <w:overflowPunct/>
              <w:autoSpaceDE/>
              <w:adjustRightInd/>
              <w:spacing w:after="120"/>
              <w:jc w:val="both"/>
              <w:rPr>
                <w:rFonts w:asciiTheme="minorHAnsi" w:hAnsiTheme="minorHAnsi" w:cstheme="minorHAnsi"/>
                <w:color w:val="000000"/>
                <w:szCs w:val="22"/>
                <w:lang w:eastAsia="en-GB"/>
              </w:rPr>
            </w:pPr>
          </w:p>
          <w:p w14:paraId="62AD05A6" w14:textId="77777777" w:rsidR="00B734B7" w:rsidRDefault="00B734B7" w:rsidP="00101EAB">
            <w:pPr>
              <w:jc w:val="both"/>
              <w:rPr>
                <w:rFonts w:ascii="Calibri" w:hAnsi="Calibri"/>
                <w:i/>
                <w:iCs/>
                <w:szCs w:val="22"/>
              </w:rPr>
            </w:pPr>
            <w:r>
              <w:rPr>
                <w:rFonts w:ascii="Calibri" w:hAnsi="Calibri"/>
                <w:i/>
                <w:iCs/>
                <w:szCs w:val="22"/>
              </w:rPr>
              <w:t>Section 29 (1) of the Caravan Sites and Control of Development Act 1960 defines a caravan as “… any structure designed or adapted for human habitation which is capable of being moved from one place to another (whether by being towed, or by being transported on a motor vehicle or trailer) and any motor vehicle so designed or adapted but does not include:</w:t>
            </w:r>
          </w:p>
          <w:p w14:paraId="22BEA42C" w14:textId="77777777" w:rsidR="00B734B7" w:rsidRDefault="00B734B7" w:rsidP="00101EAB">
            <w:pPr>
              <w:jc w:val="both"/>
              <w:rPr>
                <w:rFonts w:ascii="Calibri" w:hAnsi="Calibri"/>
                <w:i/>
                <w:iCs/>
                <w:szCs w:val="22"/>
              </w:rPr>
            </w:pPr>
          </w:p>
          <w:p w14:paraId="06ACF0EC" w14:textId="77777777" w:rsidR="00B734B7" w:rsidRDefault="00B734B7" w:rsidP="00101EAB">
            <w:pPr>
              <w:pStyle w:val="ListParagraph"/>
              <w:numPr>
                <w:ilvl w:val="0"/>
                <w:numId w:val="5"/>
              </w:numPr>
              <w:jc w:val="both"/>
              <w:textAlignment w:val="auto"/>
              <w:rPr>
                <w:rFonts w:ascii="Calibri" w:hAnsi="Calibri"/>
                <w:i/>
                <w:iCs/>
                <w:szCs w:val="22"/>
              </w:rPr>
            </w:pPr>
            <w:r>
              <w:rPr>
                <w:rFonts w:ascii="Calibri" w:hAnsi="Calibri"/>
                <w:i/>
                <w:iCs/>
                <w:szCs w:val="22"/>
              </w:rPr>
              <w:t>Any railway rolling stock which is for the time being on rails forming part of a railway system, or</w:t>
            </w:r>
          </w:p>
          <w:p w14:paraId="33A34568" w14:textId="77777777" w:rsidR="00B734B7" w:rsidRDefault="00B734B7" w:rsidP="00101EAB">
            <w:pPr>
              <w:pStyle w:val="ListParagraph"/>
              <w:numPr>
                <w:ilvl w:val="0"/>
                <w:numId w:val="5"/>
              </w:numPr>
              <w:jc w:val="both"/>
              <w:textAlignment w:val="auto"/>
              <w:rPr>
                <w:rFonts w:ascii="Calibri" w:hAnsi="Calibri"/>
                <w:i/>
                <w:iCs/>
                <w:szCs w:val="22"/>
              </w:rPr>
            </w:pPr>
            <w:r>
              <w:rPr>
                <w:rFonts w:ascii="Calibri" w:hAnsi="Calibri"/>
                <w:i/>
                <w:iCs/>
                <w:szCs w:val="22"/>
              </w:rPr>
              <w:t>Any tent.”</w:t>
            </w:r>
          </w:p>
          <w:p w14:paraId="19AA7F0D" w14:textId="77777777" w:rsidR="00B734B7" w:rsidRDefault="00B734B7" w:rsidP="00101EAB">
            <w:pPr>
              <w:pStyle w:val="ListParagraph"/>
              <w:jc w:val="both"/>
              <w:rPr>
                <w:rFonts w:ascii="Calibri" w:hAnsi="Calibri"/>
                <w:i/>
                <w:iCs/>
                <w:szCs w:val="22"/>
              </w:rPr>
            </w:pPr>
          </w:p>
          <w:p w14:paraId="3CD8C826" w14:textId="77777777" w:rsidR="00B734B7" w:rsidRDefault="00B734B7" w:rsidP="00101EAB">
            <w:pPr>
              <w:jc w:val="both"/>
              <w:rPr>
                <w:rFonts w:ascii="Calibri" w:hAnsi="Calibri"/>
                <w:i/>
                <w:iCs/>
                <w:szCs w:val="22"/>
              </w:rPr>
            </w:pPr>
            <w:r>
              <w:rPr>
                <w:rFonts w:ascii="Calibri" w:hAnsi="Calibri"/>
                <w:i/>
                <w:iCs/>
                <w:szCs w:val="22"/>
              </w:rPr>
              <w:t>This definition was modified by Section 13(1) of the Caravan Sites Act 1968 which deals with twin-unit caravans. Section 13 (1) permits with the definition:</w:t>
            </w:r>
          </w:p>
          <w:p w14:paraId="63833D02" w14:textId="77777777" w:rsidR="00B734B7" w:rsidRDefault="00B734B7" w:rsidP="00101EAB">
            <w:pPr>
              <w:jc w:val="both"/>
              <w:rPr>
                <w:rFonts w:ascii="Calibri" w:hAnsi="Calibri"/>
                <w:i/>
                <w:iCs/>
                <w:szCs w:val="22"/>
              </w:rPr>
            </w:pPr>
          </w:p>
          <w:p w14:paraId="3CC86273" w14:textId="77777777" w:rsidR="00B734B7" w:rsidRDefault="00B734B7" w:rsidP="00101EAB">
            <w:pPr>
              <w:jc w:val="both"/>
              <w:rPr>
                <w:rFonts w:ascii="Calibri" w:hAnsi="Calibri"/>
                <w:i/>
                <w:iCs/>
                <w:szCs w:val="22"/>
              </w:rPr>
            </w:pPr>
            <w:r>
              <w:rPr>
                <w:rFonts w:ascii="Calibri" w:hAnsi="Calibri"/>
                <w:i/>
                <w:iCs/>
                <w:szCs w:val="22"/>
              </w:rPr>
              <w:t>“A structure designed or adapted for human habitation which:</w:t>
            </w:r>
          </w:p>
          <w:p w14:paraId="6E759EC1" w14:textId="77777777" w:rsidR="00B734B7" w:rsidRDefault="00B734B7" w:rsidP="00101EAB">
            <w:pPr>
              <w:jc w:val="both"/>
              <w:rPr>
                <w:rFonts w:ascii="Calibri" w:hAnsi="Calibri"/>
                <w:i/>
                <w:iCs/>
                <w:szCs w:val="22"/>
              </w:rPr>
            </w:pPr>
          </w:p>
          <w:p w14:paraId="31584F2B" w14:textId="77777777" w:rsidR="00B734B7" w:rsidRDefault="00B734B7" w:rsidP="00101EAB">
            <w:pPr>
              <w:pStyle w:val="ListParagraph"/>
              <w:numPr>
                <w:ilvl w:val="0"/>
                <w:numId w:val="6"/>
              </w:numPr>
              <w:jc w:val="both"/>
              <w:textAlignment w:val="auto"/>
              <w:rPr>
                <w:rFonts w:ascii="Calibri" w:hAnsi="Calibri"/>
                <w:i/>
                <w:iCs/>
                <w:szCs w:val="22"/>
              </w:rPr>
            </w:pPr>
            <w:r>
              <w:rPr>
                <w:rFonts w:ascii="Calibri" w:hAnsi="Calibri"/>
                <w:i/>
                <w:iCs/>
                <w:szCs w:val="22"/>
              </w:rPr>
              <w:t>Is composed of not more than two sections separately constructed and designed to be assembled on a site by means of bolts, clamps or other devices; and</w:t>
            </w:r>
          </w:p>
          <w:p w14:paraId="23E2049B" w14:textId="77777777" w:rsidR="00B734B7" w:rsidRDefault="00B734B7" w:rsidP="00101EAB">
            <w:pPr>
              <w:pStyle w:val="ListParagraph"/>
              <w:numPr>
                <w:ilvl w:val="0"/>
                <w:numId w:val="6"/>
              </w:numPr>
              <w:jc w:val="both"/>
              <w:textAlignment w:val="auto"/>
              <w:rPr>
                <w:rFonts w:ascii="Calibri" w:hAnsi="Calibri"/>
                <w:i/>
                <w:iCs/>
                <w:szCs w:val="22"/>
              </w:rPr>
            </w:pPr>
            <w:r>
              <w:rPr>
                <w:rFonts w:ascii="Calibri" w:hAnsi="Calibri"/>
                <w:i/>
                <w:iCs/>
                <w:szCs w:val="22"/>
              </w:rPr>
              <w:t>Is, when assembled, physically capable of being moved by road from one place to another (whether by being towed, or by being transported on a motor vehicle or trailer), shall not be treated as not being (or not having been) a caravan within the meaning of Part 1 of the Caravan Sites and Control of Development Act 1960 by reason only that it cannot lawfully be moved on a highway when assembled.”</w:t>
            </w:r>
          </w:p>
          <w:p w14:paraId="30D77BF0" w14:textId="77777777" w:rsidR="00B734B7" w:rsidRDefault="00B734B7" w:rsidP="00101EAB">
            <w:pPr>
              <w:ind w:left="360"/>
              <w:jc w:val="both"/>
              <w:rPr>
                <w:rFonts w:ascii="Calibri" w:hAnsi="Calibri"/>
                <w:i/>
                <w:iCs/>
                <w:szCs w:val="22"/>
              </w:rPr>
            </w:pPr>
          </w:p>
          <w:p w14:paraId="55BA608E" w14:textId="77777777" w:rsidR="00B734B7" w:rsidRDefault="00B734B7" w:rsidP="00101EAB">
            <w:pPr>
              <w:jc w:val="both"/>
              <w:rPr>
                <w:rFonts w:ascii="Calibri" w:hAnsi="Calibri"/>
                <w:i/>
                <w:iCs/>
                <w:szCs w:val="22"/>
              </w:rPr>
            </w:pPr>
            <w:r>
              <w:rPr>
                <w:rFonts w:ascii="Calibri" w:hAnsi="Calibri"/>
                <w:i/>
                <w:iCs/>
                <w:szCs w:val="22"/>
              </w:rPr>
              <w:t>Section 13(2) of the 1968 Act further prescribes the following maximum dimensions for twin-unit caravans:</w:t>
            </w:r>
          </w:p>
          <w:p w14:paraId="6A171488" w14:textId="77777777" w:rsidR="00B734B7" w:rsidRDefault="00B734B7" w:rsidP="00101EAB">
            <w:pPr>
              <w:jc w:val="both"/>
              <w:rPr>
                <w:rFonts w:ascii="Calibri" w:hAnsi="Calibri"/>
                <w:i/>
                <w:iCs/>
                <w:szCs w:val="22"/>
              </w:rPr>
            </w:pPr>
          </w:p>
          <w:p w14:paraId="127B834B" w14:textId="77777777" w:rsidR="00B734B7" w:rsidRDefault="00B734B7" w:rsidP="00101EAB">
            <w:pPr>
              <w:pStyle w:val="ListParagraph"/>
              <w:numPr>
                <w:ilvl w:val="0"/>
                <w:numId w:val="7"/>
              </w:numPr>
              <w:jc w:val="both"/>
              <w:textAlignment w:val="auto"/>
              <w:rPr>
                <w:rFonts w:ascii="Calibri" w:hAnsi="Calibri"/>
                <w:i/>
                <w:iCs/>
                <w:szCs w:val="22"/>
              </w:rPr>
            </w:pPr>
            <w:r>
              <w:rPr>
                <w:rFonts w:ascii="Calibri" w:hAnsi="Calibri"/>
                <w:i/>
                <w:iCs/>
                <w:szCs w:val="22"/>
              </w:rPr>
              <w:t>length (exclusive of any drawbar); 60 feet (18.288 metres);</w:t>
            </w:r>
          </w:p>
          <w:p w14:paraId="27689E94" w14:textId="77777777" w:rsidR="00B734B7" w:rsidRDefault="00B734B7" w:rsidP="00101EAB">
            <w:pPr>
              <w:pStyle w:val="ListParagraph"/>
              <w:numPr>
                <w:ilvl w:val="0"/>
                <w:numId w:val="7"/>
              </w:numPr>
              <w:jc w:val="both"/>
              <w:textAlignment w:val="auto"/>
              <w:rPr>
                <w:rFonts w:ascii="Calibri" w:hAnsi="Calibri"/>
                <w:i/>
                <w:iCs/>
                <w:szCs w:val="22"/>
              </w:rPr>
            </w:pPr>
            <w:r>
              <w:rPr>
                <w:rFonts w:ascii="Calibri" w:hAnsi="Calibri"/>
                <w:i/>
                <w:iCs/>
                <w:szCs w:val="22"/>
              </w:rPr>
              <w:t>width: 20 feet (6.096 metres);</w:t>
            </w:r>
          </w:p>
          <w:p w14:paraId="73984E6F" w14:textId="77777777" w:rsidR="00B734B7" w:rsidRDefault="00B734B7" w:rsidP="00101EAB">
            <w:pPr>
              <w:pStyle w:val="ListParagraph"/>
              <w:numPr>
                <w:ilvl w:val="0"/>
                <w:numId w:val="7"/>
              </w:numPr>
              <w:jc w:val="both"/>
              <w:textAlignment w:val="auto"/>
              <w:rPr>
                <w:rFonts w:ascii="Calibri" w:hAnsi="Calibri"/>
                <w:i/>
                <w:iCs/>
                <w:szCs w:val="22"/>
              </w:rPr>
            </w:pPr>
            <w:r>
              <w:rPr>
                <w:rFonts w:ascii="Calibri" w:hAnsi="Calibri"/>
                <w:i/>
                <w:iCs/>
                <w:szCs w:val="22"/>
              </w:rPr>
              <w:t>overall height of living accommodation (measured internally from the floor at the lowest level to the ceiling at the highest level): 10 feet (3.048 metres).</w:t>
            </w:r>
          </w:p>
          <w:p w14:paraId="3505DAC8" w14:textId="77777777" w:rsidR="00B734B7" w:rsidRDefault="00B734B7" w:rsidP="00101EAB">
            <w:pPr>
              <w:jc w:val="both"/>
              <w:rPr>
                <w:rFonts w:ascii="Calibri" w:hAnsi="Calibri"/>
                <w:i/>
                <w:iCs/>
                <w:szCs w:val="22"/>
              </w:rPr>
            </w:pPr>
          </w:p>
          <w:p w14:paraId="3CA6F835" w14:textId="77777777" w:rsidR="00B734B7" w:rsidRDefault="00B734B7" w:rsidP="00101EAB">
            <w:pPr>
              <w:jc w:val="both"/>
              <w:rPr>
                <w:rFonts w:ascii="Calibri" w:hAnsi="Calibri"/>
                <w:i/>
                <w:iCs/>
                <w:szCs w:val="22"/>
              </w:rPr>
            </w:pPr>
            <w:r>
              <w:rPr>
                <w:rFonts w:ascii="Calibri" w:hAnsi="Calibri"/>
                <w:i/>
                <w:iCs/>
                <w:szCs w:val="22"/>
              </w:rPr>
              <w:t>The Caravan Sites Act 1968 and Social Landlords (Permissible Additional</w:t>
            </w:r>
          </w:p>
          <w:p w14:paraId="6C8CE304" w14:textId="77777777" w:rsidR="00B734B7" w:rsidRDefault="00B734B7" w:rsidP="00101EAB">
            <w:pPr>
              <w:jc w:val="both"/>
              <w:rPr>
                <w:rFonts w:ascii="Calibri" w:hAnsi="Calibri"/>
                <w:i/>
                <w:iCs/>
                <w:szCs w:val="22"/>
              </w:rPr>
            </w:pPr>
            <w:r>
              <w:rPr>
                <w:rFonts w:ascii="Calibri" w:hAnsi="Calibri"/>
                <w:i/>
                <w:iCs/>
                <w:szCs w:val="22"/>
              </w:rPr>
              <w:t>Purposes) (England) Order 2006 (Definition of Caravan) (Amendment) (England) Order 2006 has now amended Section 13(2) of the 1968 Act to increase the maximum dimensions of a caravan to:</w:t>
            </w:r>
          </w:p>
          <w:p w14:paraId="73EE0184" w14:textId="77777777" w:rsidR="00B734B7" w:rsidRDefault="00B734B7" w:rsidP="00101EAB">
            <w:pPr>
              <w:jc w:val="both"/>
              <w:rPr>
                <w:rFonts w:ascii="Calibri" w:hAnsi="Calibri"/>
                <w:i/>
                <w:iCs/>
                <w:szCs w:val="22"/>
              </w:rPr>
            </w:pPr>
          </w:p>
          <w:p w14:paraId="0CBD28E8" w14:textId="77777777" w:rsidR="00B734B7" w:rsidRDefault="00B734B7" w:rsidP="00101EAB">
            <w:pPr>
              <w:pStyle w:val="ListParagraph"/>
              <w:numPr>
                <w:ilvl w:val="0"/>
                <w:numId w:val="8"/>
              </w:numPr>
              <w:jc w:val="both"/>
              <w:textAlignment w:val="auto"/>
              <w:rPr>
                <w:rFonts w:ascii="Calibri" w:hAnsi="Calibri"/>
                <w:i/>
                <w:iCs/>
                <w:szCs w:val="22"/>
              </w:rPr>
            </w:pPr>
            <w:r>
              <w:rPr>
                <w:rFonts w:ascii="Calibri" w:hAnsi="Calibri"/>
                <w:i/>
                <w:iCs/>
                <w:szCs w:val="22"/>
              </w:rPr>
              <w:t>length (exclusive of any drawbar) - 65.616 feet (20 metres);</w:t>
            </w:r>
          </w:p>
          <w:p w14:paraId="4FD6FAD0" w14:textId="77777777" w:rsidR="00B734B7" w:rsidRDefault="00B734B7" w:rsidP="00101EAB">
            <w:pPr>
              <w:pStyle w:val="ListParagraph"/>
              <w:numPr>
                <w:ilvl w:val="0"/>
                <w:numId w:val="8"/>
              </w:numPr>
              <w:jc w:val="both"/>
              <w:textAlignment w:val="auto"/>
              <w:rPr>
                <w:rFonts w:ascii="Calibri" w:hAnsi="Calibri"/>
                <w:i/>
                <w:iCs/>
                <w:szCs w:val="22"/>
              </w:rPr>
            </w:pPr>
            <w:r>
              <w:rPr>
                <w:rFonts w:ascii="Calibri" w:hAnsi="Calibri"/>
                <w:i/>
                <w:iCs/>
                <w:szCs w:val="22"/>
              </w:rPr>
              <w:t>b) width - 22.309 feet (6.8 metres);</w:t>
            </w:r>
          </w:p>
          <w:p w14:paraId="0560CFB0" w14:textId="77777777" w:rsidR="00B734B7" w:rsidRDefault="00B734B7" w:rsidP="00101EAB">
            <w:pPr>
              <w:pStyle w:val="ListParagraph"/>
              <w:numPr>
                <w:ilvl w:val="0"/>
                <w:numId w:val="8"/>
              </w:numPr>
              <w:jc w:val="both"/>
              <w:textAlignment w:val="auto"/>
              <w:rPr>
                <w:rFonts w:ascii="Calibri" w:hAnsi="Calibri"/>
                <w:i/>
                <w:iCs/>
                <w:szCs w:val="22"/>
              </w:rPr>
            </w:pPr>
            <w:r>
              <w:rPr>
                <w:rFonts w:ascii="Calibri" w:hAnsi="Calibri"/>
                <w:i/>
                <w:iCs/>
                <w:szCs w:val="22"/>
              </w:rPr>
              <w:t>overall height of living accommodation (measured internally from the floor at the lowest level to the ceiling at the highest level) - 10.006 feet (3.05 metres).</w:t>
            </w:r>
          </w:p>
          <w:p w14:paraId="2CE93510" w14:textId="6E0C4968" w:rsidR="00B734B7" w:rsidRDefault="00B734B7" w:rsidP="00101EAB">
            <w:pPr>
              <w:shd w:val="clear" w:color="auto" w:fill="FFFFFF"/>
              <w:overflowPunct/>
              <w:autoSpaceDE/>
              <w:adjustRightInd/>
              <w:spacing w:after="120"/>
              <w:jc w:val="both"/>
              <w:rPr>
                <w:rFonts w:asciiTheme="minorHAnsi" w:hAnsiTheme="minorHAnsi" w:cstheme="minorHAnsi"/>
                <w:color w:val="000000"/>
                <w:szCs w:val="22"/>
                <w:lang w:eastAsia="en-GB"/>
              </w:rPr>
            </w:pPr>
          </w:p>
          <w:p w14:paraId="782285A7" w14:textId="5D44050A" w:rsidR="00B734B7" w:rsidRDefault="00B734B7" w:rsidP="00101EAB">
            <w:pPr>
              <w:shd w:val="clear" w:color="auto" w:fill="FFFFFF"/>
              <w:overflowPunct/>
              <w:autoSpaceDE/>
              <w:adjustRightInd/>
              <w:spacing w:after="120"/>
              <w:jc w:val="both"/>
              <w:rPr>
                <w:rFonts w:asciiTheme="minorHAnsi" w:hAnsiTheme="minorHAnsi" w:cstheme="minorHAnsi"/>
                <w:color w:val="000000"/>
                <w:szCs w:val="22"/>
                <w:lang w:eastAsia="en-GB"/>
              </w:rPr>
            </w:pPr>
            <w:r>
              <w:rPr>
                <w:rFonts w:asciiTheme="minorHAnsi" w:hAnsiTheme="minorHAnsi" w:cstheme="minorHAnsi"/>
                <w:color w:val="000000"/>
                <w:szCs w:val="22"/>
                <w:lang w:eastAsia="en-GB"/>
              </w:rPr>
              <w:lastRenderedPageBreak/>
              <w:t xml:space="preserve">In view of the above and taking account of the dimensions of the proposed mobile home, it is considered that the proposal would meet the definition of ‘Caravan’ for the purposes of the Act and is therefore not considered to be a ‘building’. </w:t>
            </w:r>
          </w:p>
          <w:p w14:paraId="2ADC9DCD" w14:textId="77777777" w:rsidR="007E394F" w:rsidRDefault="00B734B7" w:rsidP="00101EAB">
            <w:pPr>
              <w:shd w:val="clear" w:color="auto" w:fill="FFFFFF"/>
              <w:overflowPunct/>
              <w:autoSpaceDE/>
              <w:adjustRightInd/>
              <w:spacing w:after="120"/>
              <w:jc w:val="both"/>
              <w:rPr>
                <w:rFonts w:asciiTheme="minorHAnsi" w:hAnsiTheme="minorHAnsi" w:cstheme="minorHAnsi"/>
                <w:color w:val="000000"/>
                <w:szCs w:val="22"/>
                <w:lang w:eastAsia="en-GB"/>
              </w:rPr>
            </w:pPr>
            <w:r>
              <w:rPr>
                <w:rFonts w:asciiTheme="minorHAnsi" w:hAnsiTheme="minorHAnsi" w:cstheme="minorHAnsi"/>
                <w:color w:val="000000"/>
                <w:szCs w:val="22"/>
                <w:lang w:eastAsia="en-GB"/>
              </w:rPr>
              <w:t xml:space="preserve">Therefore, it is the use of the mobile home and land upon which it is situated that must be considered against Section 55 (2)(d) of the Town and Country Planning Act 1990 and not the siting of the ‘structure’ itself. </w:t>
            </w:r>
          </w:p>
          <w:p w14:paraId="7FC8D023" w14:textId="0657B830" w:rsidR="00056E00" w:rsidRDefault="007E394F" w:rsidP="00EB6857">
            <w:pPr>
              <w:shd w:val="clear" w:color="auto" w:fill="FFFFFF"/>
              <w:overflowPunct/>
              <w:autoSpaceDE/>
              <w:adjustRightInd/>
              <w:spacing w:after="120"/>
              <w:jc w:val="both"/>
              <w:rPr>
                <w:rFonts w:asciiTheme="minorHAnsi" w:hAnsiTheme="minorHAnsi" w:cstheme="minorHAnsi"/>
                <w:color w:val="000000"/>
                <w:szCs w:val="22"/>
                <w:lang w:eastAsia="en-GB"/>
              </w:rPr>
            </w:pPr>
            <w:r>
              <w:rPr>
                <w:rFonts w:asciiTheme="minorHAnsi" w:hAnsiTheme="minorHAnsi" w:cstheme="minorHAnsi"/>
                <w:color w:val="000000"/>
                <w:szCs w:val="22"/>
                <w:lang w:eastAsia="en-GB"/>
              </w:rPr>
              <w:t>The submitted information states that the mobile home would be used and occupied by the family who occupy the main dwelling at Rock House as additional accommodation, with the mobile home having no separate address, post box, utility metres, services, parking, garden area/ curtilage or access. However, taking account of the internal configuration of the proposal, which would include a kitchen, dining area, sitting area, 2no. en-suite bedrooms, home office and store, it cannot be reasonably argued that the mobile home would be</w:t>
            </w:r>
            <w:r w:rsidR="00EB6857">
              <w:rPr>
                <w:rFonts w:asciiTheme="minorHAnsi" w:hAnsiTheme="minorHAnsi" w:cstheme="minorHAnsi"/>
                <w:color w:val="000000"/>
                <w:szCs w:val="22"/>
                <w:lang w:eastAsia="en-GB"/>
              </w:rPr>
              <w:t xml:space="preserve"> for a purpose incidental to the enjoyment of the main dwellinghouse</w:t>
            </w:r>
            <w:r w:rsidR="00056E00">
              <w:rPr>
                <w:rFonts w:asciiTheme="minorHAnsi" w:hAnsiTheme="minorHAnsi" w:cstheme="minorHAnsi"/>
                <w:color w:val="000000"/>
                <w:szCs w:val="22"/>
                <w:lang w:eastAsia="en-GB"/>
              </w:rPr>
              <w:t xml:space="preserve"> in as much that the mobile home would provide primary living facilities and ancillary accommodation which would be commensurate with that of an independent residential unit, separate to the residential use of Rock House. </w:t>
            </w:r>
          </w:p>
          <w:p w14:paraId="51D66101" w14:textId="15778C1B" w:rsidR="00EB6857" w:rsidRDefault="00EB6857" w:rsidP="00101EAB">
            <w:pPr>
              <w:shd w:val="clear" w:color="auto" w:fill="FFFFFF"/>
              <w:overflowPunct/>
              <w:autoSpaceDE/>
              <w:adjustRightInd/>
              <w:spacing w:after="120"/>
              <w:jc w:val="both"/>
              <w:rPr>
                <w:rFonts w:asciiTheme="minorHAnsi" w:hAnsiTheme="minorHAnsi" w:cstheme="minorHAnsi"/>
                <w:color w:val="000000"/>
                <w:szCs w:val="22"/>
                <w:lang w:eastAsia="en-GB"/>
              </w:rPr>
            </w:pPr>
            <w:r>
              <w:rPr>
                <w:rFonts w:asciiTheme="minorHAnsi" w:hAnsiTheme="minorHAnsi" w:cstheme="minorHAnsi"/>
                <w:color w:val="000000"/>
                <w:szCs w:val="22"/>
                <w:lang w:eastAsia="en-GB"/>
              </w:rPr>
              <w:t xml:space="preserve">The ancillary use of the mobile </w:t>
            </w:r>
            <w:r w:rsidR="00E37DB3">
              <w:rPr>
                <w:rFonts w:asciiTheme="minorHAnsi" w:hAnsiTheme="minorHAnsi" w:cstheme="minorHAnsi"/>
                <w:color w:val="000000"/>
                <w:szCs w:val="22"/>
                <w:lang w:eastAsia="en-GB"/>
              </w:rPr>
              <w:t xml:space="preserve">home </w:t>
            </w:r>
            <w:r>
              <w:rPr>
                <w:rFonts w:asciiTheme="minorHAnsi" w:hAnsiTheme="minorHAnsi" w:cstheme="minorHAnsi"/>
                <w:color w:val="000000"/>
                <w:szCs w:val="22"/>
                <w:lang w:eastAsia="en-GB"/>
              </w:rPr>
              <w:t xml:space="preserve">has also been confirmed throughout the submitted information, including the description of development and supporting statement. </w:t>
            </w:r>
          </w:p>
          <w:p w14:paraId="1B20488F" w14:textId="21274F58" w:rsidR="00CE01D6" w:rsidRPr="00460C95" w:rsidRDefault="00101EAB" w:rsidP="00460C95">
            <w:pPr>
              <w:shd w:val="clear" w:color="auto" w:fill="FFFFFF"/>
              <w:overflowPunct/>
              <w:autoSpaceDE/>
              <w:adjustRightInd/>
              <w:spacing w:after="120"/>
              <w:jc w:val="both"/>
              <w:rPr>
                <w:rFonts w:asciiTheme="minorHAnsi" w:hAnsiTheme="minorHAnsi" w:cstheme="minorHAnsi"/>
                <w:i/>
                <w:iCs/>
                <w:color w:val="000000"/>
                <w:szCs w:val="22"/>
                <w:lang w:eastAsia="en-GB"/>
              </w:rPr>
            </w:pPr>
            <w:r>
              <w:rPr>
                <w:rFonts w:asciiTheme="minorHAnsi" w:hAnsiTheme="minorHAnsi" w:cstheme="minorHAnsi"/>
                <w:color w:val="000000"/>
                <w:szCs w:val="22"/>
                <w:lang w:eastAsia="en-GB"/>
              </w:rPr>
              <w:t xml:space="preserve">In respect of the above, </w:t>
            </w:r>
            <w:r w:rsidR="00460C95">
              <w:rPr>
                <w:rFonts w:asciiTheme="minorHAnsi" w:hAnsiTheme="minorHAnsi" w:cstheme="minorHAnsi"/>
                <w:color w:val="000000"/>
                <w:szCs w:val="22"/>
                <w:lang w:eastAsia="en-GB"/>
              </w:rPr>
              <w:t>the siting of the mobile home within the curtilage of the dwellinghouse would therefore constitute development by virtue of Section 55 (2)(d) of the Town and Country Planning Act 1990 insofar that the use of the mobile home would not be for a ‘</w:t>
            </w:r>
            <w:r w:rsidR="00460C95">
              <w:rPr>
                <w:rFonts w:asciiTheme="minorHAnsi" w:hAnsiTheme="minorHAnsi" w:cstheme="minorHAnsi"/>
                <w:i/>
                <w:iCs/>
                <w:color w:val="000000"/>
                <w:szCs w:val="22"/>
                <w:lang w:eastAsia="en-GB"/>
              </w:rPr>
              <w:t xml:space="preserve">purpose incidental to the enjoyment of the dwellinghouse’. </w:t>
            </w:r>
          </w:p>
        </w:tc>
      </w:tr>
      <w:tr w:rsidR="00C0704D" w:rsidRPr="00D2449B" w14:paraId="0A9D02B4" w14:textId="77777777" w:rsidTr="00F41A74">
        <w:trPr>
          <w:jc w:val="center"/>
        </w:trPr>
        <w:tc>
          <w:tcPr>
            <w:tcW w:w="982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D07B07B" w14:textId="07B54F4D" w:rsidR="005353FE" w:rsidRDefault="00101EAB" w:rsidP="00DD62F6">
            <w:pPr>
              <w:pStyle w:val="Header"/>
              <w:tabs>
                <w:tab w:val="clear" w:pos="4153"/>
                <w:tab w:val="clear" w:pos="8306"/>
              </w:tabs>
              <w:contextualSpacing/>
              <w:jc w:val="both"/>
              <w:rPr>
                <w:rFonts w:ascii="Calibri" w:hAnsi="Calibri"/>
                <w:bCs/>
                <w:szCs w:val="22"/>
              </w:rPr>
            </w:pPr>
            <w:r>
              <w:rPr>
                <w:rFonts w:ascii="Calibri" w:hAnsi="Calibri"/>
                <w:bCs/>
                <w:szCs w:val="22"/>
              </w:rPr>
              <w:t>The siting of the mobile home within the curtilage of the dwellinghouse known as Roc</w:t>
            </w:r>
            <w:r w:rsidR="00D072C6">
              <w:rPr>
                <w:rFonts w:ascii="Calibri" w:hAnsi="Calibri"/>
                <w:bCs/>
                <w:szCs w:val="22"/>
              </w:rPr>
              <w:t>k</w:t>
            </w:r>
            <w:r>
              <w:rPr>
                <w:rFonts w:ascii="Calibri" w:hAnsi="Calibri"/>
                <w:bCs/>
                <w:szCs w:val="22"/>
              </w:rPr>
              <w:t xml:space="preserve"> House</w:t>
            </w:r>
            <w:r w:rsidR="005353FE">
              <w:rPr>
                <w:rFonts w:ascii="Calibri" w:hAnsi="Calibri"/>
                <w:bCs/>
                <w:szCs w:val="22"/>
              </w:rPr>
              <w:t xml:space="preserve"> would constitute development by virtue of Section 55 (2)(d) of the Town and Country Planning Act 1990 insofar that the level of accommodation provided would exceed that which can be reasonably considered as incidental to the enjoyment of the main dwellinghouse. The mobile home is therefore deemed operation</w:t>
            </w:r>
            <w:r w:rsidR="006131E4">
              <w:rPr>
                <w:rFonts w:ascii="Calibri" w:hAnsi="Calibri"/>
                <w:bCs/>
                <w:szCs w:val="22"/>
              </w:rPr>
              <w:t>al</w:t>
            </w:r>
            <w:r w:rsidR="005353FE">
              <w:rPr>
                <w:rFonts w:ascii="Calibri" w:hAnsi="Calibri"/>
                <w:bCs/>
                <w:szCs w:val="22"/>
              </w:rPr>
              <w:t xml:space="preserve"> development for which planning permission is required</w:t>
            </w:r>
            <w:r w:rsidR="00F41A74">
              <w:rPr>
                <w:rFonts w:ascii="Calibri" w:hAnsi="Calibri"/>
                <w:bCs/>
                <w:szCs w:val="22"/>
              </w:rPr>
              <w:t>.</w:t>
            </w:r>
          </w:p>
          <w:p w14:paraId="3A4BD7A7" w14:textId="073A1409" w:rsidR="009F4443" w:rsidRDefault="009F4443" w:rsidP="005353FE">
            <w:pPr>
              <w:pStyle w:val="Header"/>
              <w:tabs>
                <w:tab w:val="clear" w:pos="4153"/>
                <w:tab w:val="clear" w:pos="8306"/>
              </w:tabs>
              <w:contextualSpacing/>
              <w:jc w:val="both"/>
              <w:rPr>
                <w:rFonts w:ascii="Calibri" w:hAnsi="Calibri"/>
                <w:b/>
                <w:szCs w:val="22"/>
              </w:rPr>
            </w:pPr>
          </w:p>
        </w:tc>
      </w:tr>
      <w:tr w:rsidR="00C0704D" w:rsidRPr="00D2449B" w14:paraId="507FC89B" w14:textId="77777777" w:rsidTr="00F41A7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C80F36" w:rsidR="00C0704D" w:rsidRPr="00D2449B" w:rsidRDefault="00F914AD" w:rsidP="00CD2CEF">
            <w:pPr>
              <w:rPr>
                <w:rFonts w:ascii="Calibri" w:hAnsi="Calibri"/>
                <w:bCs/>
                <w:szCs w:val="22"/>
              </w:rPr>
            </w:pPr>
            <w:r>
              <w:rPr>
                <w:rFonts w:ascii="Calibri" w:hAnsi="Calibri"/>
                <w:bCs/>
                <w:szCs w:val="22"/>
              </w:rPr>
              <w:t>That the Certificat</w:t>
            </w:r>
            <w:r w:rsidR="00704C4C">
              <w:rPr>
                <w:rFonts w:ascii="Calibri" w:hAnsi="Calibri"/>
                <w:bCs/>
                <w:szCs w:val="22"/>
              </w:rPr>
              <w:t>e</w:t>
            </w:r>
            <w:r>
              <w:rPr>
                <w:rFonts w:ascii="Calibri" w:hAnsi="Calibri"/>
                <w:bCs/>
                <w:szCs w:val="22"/>
              </w:rPr>
              <w:t xml:space="preserve"> of Lawfulness be </w:t>
            </w:r>
            <w:r w:rsidR="00056E00">
              <w:rPr>
                <w:rFonts w:ascii="Calibri" w:hAnsi="Calibri"/>
                <w:bCs/>
                <w:szCs w:val="22"/>
              </w:rPr>
              <w:t xml:space="preserve">refused.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323E"/>
    <w:multiLevelType w:val="hybridMultilevel"/>
    <w:tmpl w:val="2AC2CF7C"/>
    <w:lvl w:ilvl="0" w:tplc="1AAECC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C57380"/>
    <w:multiLevelType w:val="hybridMultilevel"/>
    <w:tmpl w:val="55A4C8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1D4EBB"/>
    <w:multiLevelType w:val="hybridMultilevel"/>
    <w:tmpl w:val="34D095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C1F13C2"/>
    <w:multiLevelType w:val="hybridMultilevel"/>
    <w:tmpl w:val="42E81B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072AA1"/>
    <w:multiLevelType w:val="hybridMultilevel"/>
    <w:tmpl w:val="57188B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FD77CEE"/>
    <w:multiLevelType w:val="hybridMultilevel"/>
    <w:tmpl w:val="55A4C874"/>
    <w:lvl w:ilvl="0" w:tplc="FB4AF1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D5154"/>
    <w:multiLevelType w:val="hybridMultilevel"/>
    <w:tmpl w:val="A328D2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8"/>
  </w:num>
  <w:num w:numId="2" w16cid:durableId="1144615875">
    <w:abstractNumId w:val="1"/>
  </w:num>
  <w:num w:numId="3" w16cid:durableId="1661348376">
    <w:abstractNumId w:val="0"/>
  </w:num>
  <w:num w:numId="4" w16cid:durableId="838041244">
    <w:abstractNumId w:val="6"/>
  </w:num>
  <w:num w:numId="5" w16cid:durableId="315457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553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0219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289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87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A44"/>
    <w:rsid w:val="00056E00"/>
    <w:rsid w:val="00065833"/>
    <w:rsid w:val="00086065"/>
    <w:rsid w:val="000A6867"/>
    <w:rsid w:val="000B3C4F"/>
    <w:rsid w:val="000B5CB5"/>
    <w:rsid w:val="00101EAB"/>
    <w:rsid w:val="00130035"/>
    <w:rsid w:val="001D4F7A"/>
    <w:rsid w:val="00250879"/>
    <w:rsid w:val="00282E3A"/>
    <w:rsid w:val="0029334A"/>
    <w:rsid w:val="002954E5"/>
    <w:rsid w:val="00295A61"/>
    <w:rsid w:val="002A01CF"/>
    <w:rsid w:val="002B2863"/>
    <w:rsid w:val="002C6277"/>
    <w:rsid w:val="002D4B60"/>
    <w:rsid w:val="002F2580"/>
    <w:rsid w:val="00321B6E"/>
    <w:rsid w:val="00353E69"/>
    <w:rsid w:val="00373070"/>
    <w:rsid w:val="00375556"/>
    <w:rsid w:val="00406EBD"/>
    <w:rsid w:val="00440CB6"/>
    <w:rsid w:val="00460C95"/>
    <w:rsid w:val="0046548C"/>
    <w:rsid w:val="004947BB"/>
    <w:rsid w:val="00497407"/>
    <w:rsid w:val="004A5EA9"/>
    <w:rsid w:val="004C2434"/>
    <w:rsid w:val="004F0649"/>
    <w:rsid w:val="00510FA2"/>
    <w:rsid w:val="005353FE"/>
    <w:rsid w:val="00556ECD"/>
    <w:rsid w:val="005B74B4"/>
    <w:rsid w:val="005E1C6C"/>
    <w:rsid w:val="005E65DF"/>
    <w:rsid w:val="006131E4"/>
    <w:rsid w:val="00621653"/>
    <w:rsid w:val="00692B60"/>
    <w:rsid w:val="00696B04"/>
    <w:rsid w:val="006A71AD"/>
    <w:rsid w:val="006C2BFA"/>
    <w:rsid w:val="006F6849"/>
    <w:rsid w:val="0070054B"/>
    <w:rsid w:val="00704C4C"/>
    <w:rsid w:val="00761D2C"/>
    <w:rsid w:val="00773A66"/>
    <w:rsid w:val="00776AE2"/>
    <w:rsid w:val="00796F60"/>
    <w:rsid w:val="007C791C"/>
    <w:rsid w:val="007D0CEC"/>
    <w:rsid w:val="007D7DF4"/>
    <w:rsid w:val="007E0D23"/>
    <w:rsid w:val="007E394F"/>
    <w:rsid w:val="007F16D6"/>
    <w:rsid w:val="00811771"/>
    <w:rsid w:val="00824DB6"/>
    <w:rsid w:val="00830FD7"/>
    <w:rsid w:val="00837F4F"/>
    <w:rsid w:val="008542DE"/>
    <w:rsid w:val="00877C8F"/>
    <w:rsid w:val="008A28C8"/>
    <w:rsid w:val="009F4443"/>
    <w:rsid w:val="00A42E82"/>
    <w:rsid w:val="00A579BB"/>
    <w:rsid w:val="00A63D55"/>
    <w:rsid w:val="00A95D89"/>
    <w:rsid w:val="00B734B7"/>
    <w:rsid w:val="00B93EB5"/>
    <w:rsid w:val="00BD3F03"/>
    <w:rsid w:val="00C0704D"/>
    <w:rsid w:val="00C25722"/>
    <w:rsid w:val="00C618DB"/>
    <w:rsid w:val="00CE01D6"/>
    <w:rsid w:val="00D072C6"/>
    <w:rsid w:val="00D11007"/>
    <w:rsid w:val="00D17EB1"/>
    <w:rsid w:val="00D2449B"/>
    <w:rsid w:val="00D54E67"/>
    <w:rsid w:val="00DD3288"/>
    <w:rsid w:val="00DD62F6"/>
    <w:rsid w:val="00E37DB3"/>
    <w:rsid w:val="00E46243"/>
    <w:rsid w:val="00E66534"/>
    <w:rsid w:val="00E72F6C"/>
    <w:rsid w:val="00E92E23"/>
    <w:rsid w:val="00EA09F9"/>
    <w:rsid w:val="00EB5B18"/>
    <w:rsid w:val="00EB6857"/>
    <w:rsid w:val="00EC23C7"/>
    <w:rsid w:val="00ED00B7"/>
    <w:rsid w:val="00EF44E6"/>
    <w:rsid w:val="00F056A7"/>
    <w:rsid w:val="00F13445"/>
    <w:rsid w:val="00F41A74"/>
    <w:rsid w:val="00F52A84"/>
    <w:rsid w:val="00F914AD"/>
    <w:rsid w:val="00F941A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18773">
      <w:bodyDiv w:val="1"/>
      <w:marLeft w:val="0"/>
      <w:marRight w:val="0"/>
      <w:marTop w:val="0"/>
      <w:marBottom w:val="0"/>
      <w:divBdr>
        <w:top w:val="none" w:sz="0" w:space="0" w:color="auto"/>
        <w:left w:val="none" w:sz="0" w:space="0" w:color="auto"/>
        <w:bottom w:val="none" w:sz="0" w:space="0" w:color="auto"/>
        <w:right w:val="none" w:sz="0" w:space="0" w:color="auto"/>
      </w:divBdr>
    </w:div>
    <w:div w:id="2060468728">
      <w:bodyDiv w:val="1"/>
      <w:marLeft w:val="0"/>
      <w:marRight w:val="0"/>
      <w:marTop w:val="0"/>
      <w:marBottom w:val="0"/>
      <w:divBdr>
        <w:top w:val="none" w:sz="0" w:space="0" w:color="auto"/>
        <w:left w:val="none" w:sz="0" w:space="0" w:color="auto"/>
        <w:bottom w:val="none" w:sz="0" w:space="0" w:color="auto"/>
        <w:right w:val="none" w:sz="0" w:space="0" w:color="auto"/>
      </w:divBdr>
    </w:div>
    <w:div w:id="206250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2024-05-30T13:16:00Z</cp:lastPrinted>
  <dcterms:created xsi:type="dcterms:W3CDTF">2024-05-30T13:23:00Z</dcterms:created>
  <dcterms:modified xsi:type="dcterms:W3CDTF">2024-05-30T13:23:00Z</dcterms:modified>
</cp:coreProperties>
</file>