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144ACEC" w:rsidR="00837F4F" w:rsidRPr="00D2449B" w:rsidRDefault="002B323F"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BA052B0" w:rsidR="00837F4F" w:rsidRPr="00D2449B" w:rsidRDefault="00877F92" w:rsidP="00D2449B">
            <w:pPr>
              <w:jc w:val="center"/>
              <w:rPr>
                <w:rFonts w:ascii="Calibri" w:hAnsi="Calibri"/>
                <w:b/>
                <w:szCs w:val="22"/>
              </w:rPr>
            </w:pPr>
            <w:r>
              <w:rPr>
                <w:rFonts w:ascii="Calibri" w:hAnsi="Calibri"/>
                <w:b/>
                <w:szCs w:val="22"/>
              </w:rPr>
              <w:t>26/06/24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F612BBE" w:rsidR="004A5EA9" w:rsidRPr="005F1A36" w:rsidRDefault="002B323F" w:rsidP="008542DE">
            <w:pPr>
              <w:rPr>
                <w:rFonts w:ascii="Calibri" w:hAnsi="Calibri"/>
                <w:szCs w:val="22"/>
              </w:rPr>
            </w:pPr>
            <w:r>
              <w:rPr>
                <w:rFonts w:ascii="Calibri" w:hAnsi="Calibri"/>
                <w:szCs w:val="22"/>
              </w:rPr>
              <w:t>3/2024/0310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21637A3" w:rsidR="00824DB6" w:rsidRPr="00C0704D" w:rsidRDefault="000C21BF" w:rsidP="002C6277">
            <w:pPr>
              <w:rPr>
                <w:rFonts w:ascii="Calibri" w:hAnsi="Calibri"/>
                <w:szCs w:val="22"/>
              </w:rPr>
            </w:pPr>
            <w:r>
              <w:rPr>
                <w:rFonts w:ascii="Calibri" w:hAnsi="Calibri"/>
                <w:szCs w:val="22"/>
              </w:rPr>
              <w:t>11/06/24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05D32E1" w:rsidR="00824DB6" w:rsidRPr="00C0704D" w:rsidRDefault="002B323F" w:rsidP="002C6277">
            <w:pPr>
              <w:rPr>
                <w:rFonts w:ascii="Calibri" w:hAnsi="Calibri"/>
                <w:szCs w:val="22"/>
              </w:rPr>
            </w:pPr>
            <w:r>
              <w:rPr>
                <w:rFonts w:ascii="Calibri" w:hAnsi="Calibri"/>
                <w:szCs w:val="22"/>
              </w:rPr>
              <w:t>14/05/24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2B323F" w:rsidRDefault="00D2449B">
            <w:pPr>
              <w:rPr>
                <w:rFonts w:ascii="Calibri" w:hAnsi="Calibri"/>
                <w:b/>
                <w:szCs w:val="22"/>
              </w:rPr>
            </w:pPr>
            <w:r w:rsidRPr="002B323F">
              <w:rPr>
                <w:rFonts w:ascii="Calibri" w:hAnsi="Calibri"/>
                <w:b/>
                <w:szCs w:val="22"/>
              </w:rPr>
              <w:t>Officer</w:t>
            </w:r>
            <w:r w:rsidR="004A5EA9" w:rsidRPr="002B323F">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3C4D255" w:rsidR="004A5EA9" w:rsidRPr="002B323F" w:rsidRDefault="002B323F" w:rsidP="00811771">
            <w:pPr>
              <w:rPr>
                <w:rFonts w:ascii="Calibri" w:hAnsi="Calibri"/>
                <w:szCs w:val="22"/>
              </w:rPr>
            </w:pPr>
            <w:r w:rsidRPr="002B323F">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CB6856" w:rsidR="004A5EA9" w:rsidRPr="00D2449B" w:rsidRDefault="00F157AD" w:rsidP="002A01CF">
            <w:pPr>
              <w:jc w:val="center"/>
              <w:rPr>
                <w:rFonts w:ascii="Calibri" w:hAnsi="Calibri"/>
                <w:b/>
                <w:szCs w:val="22"/>
              </w:rPr>
            </w:pPr>
            <w:r>
              <w:rPr>
                <w:rFonts w:ascii="Calibri" w:hAnsi="Calibri"/>
                <w:b/>
                <w:szCs w:val="22"/>
              </w:rPr>
              <w:t>REFUSAL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0149212" w:rsidR="004A5EA9" w:rsidRPr="002C6277" w:rsidRDefault="002B323F">
            <w:pPr>
              <w:rPr>
                <w:rFonts w:ascii="Calibri" w:hAnsi="Calibri"/>
                <w:szCs w:val="22"/>
              </w:rPr>
            </w:pPr>
            <w:r>
              <w:rPr>
                <w:rFonts w:ascii="Calibri" w:hAnsi="Calibri"/>
                <w:szCs w:val="22"/>
              </w:rPr>
              <w:t>Retention of unauthorised works to Listed Building including replacement windows and doors, removal of window and insertion of new uPVC double door openings to access attached balcony to rear.</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D7AB1DB" w:rsidR="002A01CF" w:rsidRPr="002C6277" w:rsidRDefault="002B323F" w:rsidP="00A42E82">
            <w:pPr>
              <w:rPr>
                <w:rFonts w:ascii="Calibri" w:hAnsi="Calibri"/>
                <w:szCs w:val="22"/>
              </w:rPr>
            </w:pPr>
            <w:r>
              <w:rPr>
                <w:rFonts w:ascii="Calibri" w:hAnsi="Calibri"/>
                <w:szCs w:val="22"/>
              </w:rPr>
              <w:t>10 Higher Road Longridge PR3 3SX</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0D24D8E" w:rsidR="002A01CF" w:rsidRPr="00295A61" w:rsidRDefault="002B323F">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F10EB89" w:rsidR="002A01CF" w:rsidRPr="002B323F" w:rsidRDefault="002B323F">
            <w:pPr>
              <w:rPr>
                <w:rFonts w:ascii="Calibri" w:hAnsi="Calibri"/>
                <w:bCs/>
                <w:szCs w:val="22"/>
              </w:rPr>
            </w:pPr>
            <w:r>
              <w:rPr>
                <w:rFonts w:ascii="Calibri" w:hAnsi="Calibri"/>
                <w:bCs/>
                <w:szCs w:val="22"/>
              </w:rPr>
              <w:t>N/A</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2B203460" w:rsidR="00C0704D" w:rsidRPr="00C0704D" w:rsidRDefault="002B323F"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7E39FD1" w14:textId="77777777" w:rsidR="009C1F22" w:rsidRDefault="009C1F22" w:rsidP="009C1F22">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6FA886CD" w14:textId="22BB2468" w:rsidR="009C1F22" w:rsidRPr="00C618DB"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2F4855BE" w14:textId="77777777" w:rsidR="009C1F22" w:rsidRDefault="009C1F22" w:rsidP="009C1F22">
            <w:pPr>
              <w:pStyle w:val="PLANNING"/>
              <w:rPr>
                <w:rFonts w:ascii="Calibri" w:hAnsi="Calibri"/>
                <w:szCs w:val="22"/>
              </w:rPr>
            </w:pPr>
          </w:p>
          <w:p w14:paraId="050E29D3" w14:textId="77777777" w:rsidR="009C1F22" w:rsidRPr="00C618DB" w:rsidRDefault="009C1F22" w:rsidP="009C1F22">
            <w:pPr>
              <w:pStyle w:val="PLANNING"/>
              <w:rPr>
                <w:rFonts w:ascii="Calibri" w:hAnsi="Calibri"/>
                <w:szCs w:val="22"/>
              </w:rPr>
            </w:pPr>
            <w:r w:rsidRPr="00D11007">
              <w:rPr>
                <w:rFonts w:ascii="Calibri" w:hAnsi="Calibri"/>
                <w:szCs w:val="22"/>
              </w:rPr>
              <w:t>Planning (Listed Buildings and Conservation Areas) Act</w:t>
            </w: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72A7AC4F" w:rsidR="00406EBD" w:rsidRPr="002B323F" w:rsidRDefault="002B323F" w:rsidP="009C1F22">
            <w:pPr>
              <w:pStyle w:val="PLANNING"/>
              <w:rPr>
                <w:rFonts w:ascii="Calibri" w:hAnsi="Calibri"/>
                <w:szCs w:val="22"/>
              </w:rPr>
            </w:pPr>
            <w:r>
              <w:rPr>
                <w:rFonts w:ascii="Calibri" w:hAnsi="Calibri"/>
                <w:szCs w:val="22"/>
              </w:rPr>
              <w:t xml:space="preserve">No previous planning history.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2DE041EE" w14:textId="499D9B8C" w:rsidR="000C21BF" w:rsidRDefault="000C21BF" w:rsidP="00406EBD">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relates to a mid-terraced property at no.10 Higher Road. The entire row of terraced properties, nos. 6-44 inclusive, collectively form a Grade II Listed Building. The official listing description for nos. 6-44 Higher Road reads as follows: </w:t>
            </w:r>
          </w:p>
          <w:p w14:paraId="484B44E2" w14:textId="77777777" w:rsidR="000C21BF" w:rsidRDefault="000C21BF" w:rsidP="00406EBD">
            <w:pPr>
              <w:pStyle w:val="Header"/>
              <w:tabs>
                <w:tab w:val="clear" w:pos="4153"/>
                <w:tab w:val="clear" w:pos="8306"/>
              </w:tabs>
              <w:contextualSpacing/>
              <w:jc w:val="both"/>
              <w:rPr>
                <w:rFonts w:ascii="Calibri" w:hAnsi="Calibri"/>
                <w:bCs/>
                <w:szCs w:val="22"/>
              </w:rPr>
            </w:pPr>
          </w:p>
          <w:p w14:paraId="786987B2" w14:textId="2F7C7762" w:rsidR="000C21BF" w:rsidRDefault="000C21BF" w:rsidP="00406EBD">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Row of houses, begun in 1793. Squared coursed sandstone with slate roof and brick stacks, except that on the gable (left-hand) wall of no.44. 2 storeys with cellars entered at lower ground level to the rear. Windows have plain reveals and projecting stone sills, with modern windows. Each house is of one bay, with the doors of adjacent houses paired, with a third door, leading through a tunnel to the yard, between them. The doorways have plain stone surrounds. Some of the houses now have an extra window on the 1</w:t>
            </w:r>
            <w:r w:rsidRPr="000C21BF">
              <w:rPr>
                <w:rFonts w:ascii="Calibri" w:hAnsi="Calibri"/>
                <w:bCs/>
                <w:i/>
                <w:iCs/>
                <w:szCs w:val="22"/>
                <w:vertAlign w:val="superscript"/>
              </w:rPr>
              <w:t>st</w:t>
            </w:r>
            <w:r>
              <w:rPr>
                <w:rFonts w:ascii="Calibri" w:hAnsi="Calibri"/>
                <w:bCs/>
                <w:i/>
                <w:iCs/>
                <w:szCs w:val="22"/>
              </w:rPr>
              <w:t xml:space="preserve"> floor over the door. Nos. 6, 8 and 44 have stone gutter brackets. A keyed joint between no.24 and 26 indicated a break in construction. </w:t>
            </w:r>
            <w:r w:rsidR="000F1F3B">
              <w:rPr>
                <w:rFonts w:ascii="Calibri" w:hAnsi="Calibri"/>
                <w:bCs/>
                <w:i/>
                <w:iCs/>
                <w:szCs w:val="22"/>
              </w:rPr>
              <w:t xml:space="preserve">Built by the Longridge Building Society, one of the earliest terminating building societies in the country, and used as an example by Price, Seymour J., Building Societies, their Origin and History, Cambridge, 1958, pp 32-44’. </w:t>
            </w:r>
          </w:p>
          <w:p w14:paraId="7F8D7148" w14:textId="77777777" w:rsidR="000F1F3B" w:rsidRDefault="000F1F3B" w:rsidP="00406EBD">
            <w:pPr>
              <w:pStyle w:val="Header"/>
              <w:tabs>
                <w:tab w:val="clear" w:pos="4153"/>
                <w:tab w:val="clear" w:pos="8306"/>
              </w:tabs>
              <w:contextualSpacing/>
              <w:jc w:val="both"/>
              <w:rPr>
                <w:rFonts w:ascii="Calibri" w:hAnsi="Calibri"/>
                <w:bCs/>
                <w:i/>
                <w:iCs/>
                <w:szCs w:val="22"/>
              </w:rPr>
            </w:pPr>
          </w:p>
          <w:p w14:paraId="5E57DD98" w14:textId="0075600B" w:rsidR="000F1F3B" w:rsidRPr="000F1F3B" w:rsidRDefault="000F1F3B"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premises is situated on a main road location on the eastern side of the defined settlement area of Longridge and within the Longridge Conservation Area. The area surrounding the premises is predominantly residential in character. </w:t>
            </w:r>
          </w:p>
          <w:p w14:paraId="62370E9F" w14:textId="195E3E33" w:rsidR="00406EBD" w:rsidRPr="006C2BFA" w:rsidRDefault="00406EBD"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216D063" w14:textId="3524721F" w:rsidR="00FE7C2E" w:rsidRPr="00FE7C2E" w:rsidRDefault="000F1F3B" w:rsidP="00406EBD">
            <w:pPr>
              <w:pStyle w:val="Header"/>
              <w:tabs>
                <w:tab w:val="clear" w:pos="4153"/>
                <w:tab w:val="clear" w:pos="8306"/>
              </w:tabs>
              <w:jc w:val="both"/>
              <w:rPr>
                <w:rFonts w:ascii="Calibri" w:hAnsi="Calibri"/>
                <w:bCs/>
                <w:szCs w:val="22"/>
              </w:rPr>
            </w:pPr>
            <w:r>
              <w:rPr>
                <w:rFonts w:ascii="Calibri" w:hAnsi="Calibri"/>
                <w:bCs/>
                <w:szCs w:val="22"/>
              </w:rPr>
              <w:t xml:space="preserve">Listed Building Consent is sought for the </w:t>
            </w:r>
            <w:r w:rsidR="00FE7C2E">
              <w:rPr>
                <w:rFonts w:ascii="Calibri" w:hAnsi="Calibri"/>
                <w:bCs/>
                <w:szCs w:val="22"/>
              </w:rPr>
              <w:t xml:space="preserve">retention of unauthorised work, including replacement windows and doors and removal of rear ground floor window and insertion of new uPVC double door opening </w:t>
            </w:r>
            <w:r w:rsidR="00362CA3">
              <w:rPr>
                <w:rFonts w:ascii="Calibri" w:hAnsi="Calibri"/>
                <w:bCs/>
                <w:szCs w:val="22"/>
              </w:rPr>
              <w:t>onto</w:t>
            </w:r>
            <w:r w:rsidR="00FE7C2E">
              <w:rPr>
                <w:rFonts w:ascii="Calibri" w:hAnsi="Calibri"/>
                <w:bCs/>
                <w:szCs w:val="22"/>
              </w:rPr>
              <w:t xml:space="preserve"> attached balcony to rear. </w:t>
            </w:r>
          </w:p>
          <w:p w14:paraId="1B20488F" w14:textId="167E35BB" w:rsidR="00FE7C2E" w:rsidRPr="00D54E67" w:rsidRDefault="00FE7C2E" w:rsidP="00406EBD">
            <w:pPr>
              <w:pStyle w:val="Header"/>
              <w:tabs>
                <w:tab w:val="clear" w:pos="4153"/>
                <w:tab w:val="clear" w:pos="8306"/>
              </w:tabs>
              <w:jc w:val="both"/>
              <w:rPr>
                <w:rFonts w:ascii="Calibri" w:hAnsi="Calibri"/>
                <w:szCs w:val="22"/>
              </w:rPr>
            </w:pPr>
          </w:p>
        </w:tc>
      </w:tr>
      <w:tr w:rsidR="009C1F22" w:rsidRPr="00D2449B" w14:paraId="6161D2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B02E87" w14:textId="78C9208C" w:rsidR="009C1F22" w:rsidRDefault="009C1F22" w:rsidP="00FC5EF8">
            <w:pPr>
              <w:pStyle w:val="Header"/>
              <w:tabs>
                <w:tab w:val="clear" w:pos="4153"/>
                <w:tab w:val="clear" w:pos="8306"/>
              </w:tabs>
              <w:contextualSpacing/>
              <w:jc w:val="both"/>
              <w:rPr>
                <w:rFonts w:ascii="Calibri" w:hAnsi="Calibri"/>
                <w:b/>
                <w:szCs w:val="22"/>
              </w:rPr>
            </w:pPr>
            <w:r>
              <w:rPr>
                <w:rFonts w:ascii="Calibri" w:hAnsi="Calibri"/>
                <w:b/>
                <w:szCs w:val="22"/>
              </w:rPr>
              <w:t>Impact upon Listed Building and Setting:</w:t>
            </w:r>
          </w:p>
          <w:p w14:paraId="1294C0D9" w14:textId="77777777" w:rsidR="009C1F22" w:rsidRDefault="009C1F22" w:rsidP="00FC5EF8">
            <w:pPr>
              <w:pStyle w:val="Header"/>
              <w:tabs>
                <w:tab w:val="clear" w:pos="4153"/>
                <w:tab w:val="clear" w:pos="8306"/>
              </w:tabs>
              <w:jc w:val="both"/>
              <w:rPr>
                <w:rFonts w:ascii="Calibri" w:hAnsi="Calibri"/>
                <w:b/>
                <w:szCs w:val="22"/>
              </w:rPr>
            </w:pPr>
          </w:p>
          <w:p w14:paraId="5E047FCE" w14:textId="2C0EAF6B" w:rsidR="003A24D6" w:rsidRDefault="003A24D6" w:rsidP="00FC5EF8">
            <w:pPr>
              <w:pStyle w:val="Header"/>
              <w:tabs>
                <w:tab w:val="clear" w:pos="4153"/>
                <w:tab w:val="clear" w:pos="8306"/>
              </w:tabs>
              <w:jc w:val="both"/>
              <w:rPr>
                <w:rFonts w:ascii="Calibri" w:hAnsi="Calibri"/>
                <w:bCs/>
                <w:szCs w:val="22"/>
              </w:rPr>
            </w:pPr>
            <w:r>
              <w:rPr>
                <w:rFonts w:ascii="Calibri" w:hAnsi="Calibri"/>
                <w:bCs/>
                <w:szCs w:val="22"/>
              </w:rPr>
              <w:t xml:space="preserve">When assessing works to Listed Buildings and their setting, the Local Planning Authority must accord with their duties at Sections 16 and 66 of the Planning (Listed Buildings and Conservation Areas) Act 1990 which states: </w:t>
            </w:r>
          </w:p>
          <w:p w14:paraId="3C37AC72" w14:textId="77777777" w:rsidR="003A24D6" w:rsidRDefault="003A24D6" w:rsidP="00FC5EF8">
            <w:pPr>
              <w:pStyle w:val="Header"/>
              <w:tabs>
                <w:tab w:val="clear" w:pos="4153"/>
                <w:tab w:val="clear" w:pos="8306"/>
              </w:tabs>
              <w:jc w:val="both"/>
              <w:rPr>
                <w:rFonts w:ascii="Calibri" w:hAnsi="Calibri"/>
                <w:bCs/>
                <w:szCs w:val="22"/>
              </w:rPr>
            </w:pPr>
          </w:p>
          <w:p w14:paraId="3F86B082" w14:textId="77777777" w:rsidR="003A24D6" w:rsidRDefault="003A24D6" w:rsidP="003A24D6">
            <w:pPr>
              <w:pStyle w:val="Header"/>
              <w:tabs>
                <w:tab w:val="left" w:pos="720"/>
              </w:tabs>
              <w:jc w:val="both"/>
              <w:rPr>
                <w:rFonts w:ascii="Calibri" w:hAnsi="Calibri"/>
                <w:bCs/>
                <w:i/>
                <w:iCs/>
                <w:szCs w:val="22"/>
              </w:rPr>
            </w:pPr>
            <w:r>
              <w:rPr>
                <w:rFonts w:ascii="Calibri" w:hAnsi="Calibri"/>
                <w:bCs/>
                <w:i/>
                <w:iCs/>
                <w:szCs w:val="22"/>
              </w:rPr>
              <w:t xml:space="preserve">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 </w:t>
            </w:r>
          </w:p>
          <w:p w14:paraId="2D2E2E5D" w14:textId="77777777" w:rsidR="003A24D6" w:rsidRDefault="003A24D6" w:rsidP="003A24D6">
            <w:pPr>
              <w:pStyle w:val="Header"/>
              <w:tabs>
                <w:tab w:val="left" w:pos="720"/>
              </w:tabs>
              <w:jc w:val="both"/>
              <w:rPr>
                <w:rFonts w:ascii="Calibri" w:hAnsi="Calibri"/>
                <w:bCs/>
                <w:szCs w:val="22"/>
              </w:rPr>
            </w:pPr>
          </w:p>
          <w:p w14:paraId="5FB57608" w14:textId="60544F0D" w:rsidR="003A24D6" w:rsidRDefault="003A24D6" w:rsidP="003A24D6">
            <w:pPr>
              <w:pStyle w:val="Header"/>
              <w:tabs>
                <w:tab w:val="left" w:pos="720"/>
              </w:tabs>
              <w:jc w:val="both"/>
              <w:rPr>
                <w:rFonts w:ascii="Calibri" w:hAnsi="Calibri"/>
                <w:bCs/>
                <w:i/>
                <w:iCs/>
                <w:szCs w:val="22"/>
              </w:rPr>
            </w:pPr>
            <w:r>
              <w:rPr>
                <w:rFonts w:ascii="Calibri" w:hAnsi="Calibri"/>
                <w:bCs/>
                <w:i/>
                <w:iCs/>
                <w:szCs w:val="22"/>
              </w:rPr>
              <w:t xml:space="preserve">66. 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it possesses. </w:t>
            </w:r>
          </w:p>
          <w:p w14:paraId="4DA18236" w14:textId="77777777" w:rsidR="003A24D6" w:rsidRDefault="003A24D6" w:rsidP="003A24D6">
            <w:pPr>
              <w:pStyle w:val="Header"/>
              <w:tabs>
                <w:tab w:val="left" w:pos="720"/>
              </w:tabs>
              <w:jc w:val="both"/>
              <w:rPr>
                <w:rFonts w:ascii="Calibri" w:hAnsi="Calibri"/>
                <w:bCs/>
                <w:szCs w:val="22"/>
              </w:rPr>
            </w:pPr>
          </w:p>
          <w:p w14:paraId="1605E24E" w14:textId="0702B4EE" w:rsidR="003A24D6" w:rsidRPr="003A24D6" w:rsidRDefault="003A24D6" w:rsidP="003A24D6">
            <w:pPr>
              <w:pStyle w:val="Header"/>
              <w:tabs>
                <w:tab w:val="left" w:pos="720"/>
              </w:tabs>
              <w:jc w:val="both"/>
              <w:rPr>
                <w:rFonts w:ascii="Calibri" w:hAnsi="Calibri"/>
                <w:bCs/>
                <w:szCs w:val="22"/>
              </w:rPr>
            </w:pPr>
            <w:r>
              <w:rPr>
                <w:rFonts w:ascii="Calibri" w:hAnsi="Calibri"/>
                <w:bCs/>
                <w:szCs w:val="22"/>
              </w:rPr>
              <w:t>Accordingly, the proposed works to the Listed Building will be carefully assessed with respect to the duties above</w:t>
            </w:r>
          </w:p>
          <w:p w14:paraId="1DF41956" w14:textId="77777777" w:rsidR="003A24D6" w:rsidRPr="003A24D6" w:rsidRDefault="003A24D6" w:rsidP="00FC5EF8">
            <w:pPr>
              <w:pStyle w:val="Header"/>
              <w:tabs>
                <w:tab w:val="clear" w:pos="4153"/>
                <w:tab w:val="clear" w:pos="8306"/>
              </w:tabs>
              <w:jc w:val="both"/>
              <w:rPr>
                <w:rFonts w:ascii="Calibri" w:hAnsi="Calibri"/>
                <w:bCs/>
                <w:szCs w:val="22"/>
              </w:rPr>
            </w:pPr>
          </w:p>
          <w:p w14:paraId="1712C551" w14:textId="77777777" w:rsidR="000D4FCB" w:rsidRDefault="000D4FCB" w:rsidP="000D4FCB">
            <w:pPr>
              <w:pStyle w:val="Header"/>
              <w:tabs>
                <w:tab w:val="clear" w:pos="4153"/>
                <w:tab w:val="clear" w:pos="8306"/>
              </w:tabs>
              <w:jc w:val="both"/>
              <w:rPr>
                <w:rFonts w:ascii="Calibri" w:hAnsi="Calibri"/>
                <w:bCs/>
                <w:szCs w:val="22"/>
              </w:rPr>
            </w:pPr>
            <w:r>
              <w:rPr>
                <w:rFonts w:ascii="Calibri" w:hAnsi="Calibri"/>
                <w:bCs/>
                <w:szCs w:val="22"/>
              </w:rPr>
              <w:t xml:space="preserve">With regards to proposals for development affecting Listed Buildings, Paragraph 205 of the National Planning Policy Framework states: </w:t>
            </w:r>
          </w:p>
          <w:p w14:paraId="2E3AF419" w14:textId="77777777" w:rsidR="00FE7C2E" w:rsidRDefault="00FE7C2E" w:rsidP="00FC5EF8">
            <w:pPr>
              <w:pStyle w:val="Header"/>
              <w:tabs>
                <w:tab w:val="clear" w:pos="4153"/>
                <w:tab w:val="clear" w:pos="8306"/>
              </w:tabs>
              <w:jc w:val="both"/>
              <w:rPr>
                <w:rFonts w:ascii="Calibri" w:hAnsi="Calibri"/>
                <w:bCs/>
                <w:szCs w:val="22"/>
              </w:rPr>
            </w:pPr>
          </w:p>
          <w:p w14:paraId="2E834A05" w14:textId="77777777" w:rsidR="00FE7C2E" w:rsidRDefault="00FE7C2E" w:rsidP="00FC5EF8">
            <w:pPr>
              <w:pStyle w:val="Header"/>
              <w:tabs>
                <w:tab w:val="clear" w:pos="4153"/>
                <w:tab w:val="clear" w:pos="8306"/>
              </w:tabs>
              <w:jc w:val="both"/>
              <w:rPr>
                <w:rFonts w:ascii="Calibri" w:hAnsi="Calibri"/>
                <w:bCs/>
                <w:i/>
                <w:iCs/>
                <w:szCs w:val="22"/>
              </w:rPr>
            </w:pPr>
            <w:r>
              <w:rPr>
                <w:rFonts w:ascii="Calibri" w:hAnsi="Calibri"/>
                <w:bCs/>
                <w:szCs w:val="22"/>
              </w:rPr>
              <w:t>‘</w:t>
            </w:r>
            <w:r>
              <w:rPr>
                <w:rFonts w:ascii="Calibri" w:hAnsi="Calibri"/>
                <w:bCs/>
                <w:i/>
                <w:iCs/>
                <w:szCs w:val="22"/>
              </w:rPr>
              <w:t xml:space="preserve">When considering the impact of a proposed development on the significant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06DA0783" w14:textId="77777777" w:rsidR="000D4FCB" w:rsidRDefault="000D4FCB" w:rsidP="00FC5EF8">
            <w:pPr>
              <w:pStyle w:val="Header"/>
              <w:tabs>
                <w:tab w:val="clear" w:pos="4153"/>
                <w:tab w:val="clear" w:pos="8306"/>
              </w:tabs>
              <w:jc w:val="both"/>
              <w:rPr>
                <w:rFonts w:ascii="Calibri" w:hAnsi="Calibri"/>
                <w:bCs/>
                <w:i/>
                <w:iCs/>
                <w:szCs w:val="22"/>
              </w:rPr>
            </w:pPr>
          </w:p>
          <w:p w14:paraId="1878F250" w14:textId="2033D2F7" w:rsidR="000D4FCB" w:rsidRDefault="000D4FCB" w:rsidP="000D4FCB">
            <w:pPr>
              <w:pStyle w:val="Header"/>
              <w:tabs>
                <w:tab w:val="clear" w:pos="4153"/>
                <w:tab w:val="clear" w:pos="8306"/>
              </w:tabs>
              <w:jc w:val="both"/>
              <w:rPr>
                <w:rFonts w:ascii="Calibri" w:hAnsi="Calibri"/>
                <w:bCs/>
                <w:szCs w:val="22"/>
              </w:rPr>
            </w:pPr>
            <w:r>
              <w:rPr>
                <w:rFonts w:ascii="Calibri" w:hAnsi="Calibri"/>
                <w:bCs/>
                <w:szCs w:val="22"/>
              </w:rPr>
              <w:t>At the local level, Key Statement EN5 and Policy DME4 of the Ribble Valley Core Strategy are primarily engaged for the purposes of assessing likely impacts upon</w:t>
            </w:r>
            <w:r w:rsidR="009840A7">
              <w:rPr>
                <w:rFonts w:ascii="Calibri" w:hAnsi="Calibri"/>
                <w:bCs/>
                <w:szCs w:val="22"/>
              </w:rPr>
              <w:t xml:space="preserve"> the</w:t>
            </w:r>
            <w:r>
              <w:rPr>
                <w:rFonts w:ascii="Calibri" w:hAnsi="Calibri"/>
                <w:bCs/>
                <w:szCs w:val="22"/>
              </w:rPr>
              <w:t xml:space="preserve"> designated heritage asset resultant from the proposed development. </w:t>
            </w:r>
          </w:p>
          <w:p w14:paraId="523A0FB2" w14:textId="77777777" w:rsidR="000D4FCB" w:rsidRDefault="000D4FCB" w:rsidP="00FC5EF8">
            <w:pPr>
              <w:pStyle w:val="Header"/>
              <w:tabs>
                <w:tab w:val="clear" w:pos="4153"/>
                <w:tab w:val="clear" w:pos="8306"/>
              </w:tabs>
              <w:jc w:val="both"/>
              <w:rPr>
                <w:rFonts w:ascii="Calibri" w:hAnsi="Calibri"/>
                <w:bCs/>
                <w:i/>
                <w:iCs/>
                <w:szCs w:val="22"/>
              </w:rPr>
            </w:pPr>
          </w:p>
          <w:p w14:paraId="1B97F84F" w14:textId="77777777" w:rsidR="00FE7C2E" w:rsidRDefault="00FE7C2E" w:rsidP="00FC5EF8">
            <w:pPr>
              <w:pStyle w:val="Header"/>
              <w:tabs>
                <w:tab w:val="clear" w:pos="4153"/>
                <w:tab w:val="clear" w:pos="8306"/>
              </w:tabs>
              <w:jc w:val="both"/>
              <w:rPr>
                <w:rFonts w:ascii="Calibri" w:hAnsi="Calibri"/>
                <w:bCs/>
                <w:i/>
                <w:iCs/>
                <w:szCs w:val="22"/>
              </w:rPr>
            </w:pPr>
          </w:p>
          <w:p w14:paraId="3D09583E" w14:textId="293A5928" w:rsidR="00FE7C2E" w:rsidRDefault="00FE7C2E" w:rsidP="00FC5EF8">
            <w:pPr>
              <w:pStyle w:val="Header"/>
              <w:tabs>
                <w:tab w:val="clear" w:pos="4153"/>
                <w:tab w:val="clear" w:pos="8306"/>
              </w:tabs>
              <w:jc w:val="both"/>
              <w:rPr>
                <w:rFonts w:ascii="Calibri" w:hAnsi="Calibri"/>
                <w:bCs/>
                <w:szCs w:val="22"/>
              </w:rPr>
            </w:pPr>
            <w:r>
              <w:rPr>
                <w:rFonts w:ascii="Calibri" w:hAnsi="Calibri"/>
                <w:bCs/>
                <w:szCs w:val="22"/>
              </w:rPr>
              <w:t xml:space="preserve">In </w:t>
            </w:r>
            <w:r w:rsidR="000D4FCB">
              <w:rPr>
                <w:rFonts w:ascii="Calibri" w:hAnsi="Calibri"/>
                <w:bCs/>
                <w:szCs w:val="22"/>
              </w:rPr>
              <w:t>this respect</w:t>
            </w:r>
            <w:r>
              <w:rPr>
                <w:rFonts w:ascii="Calibri" w:hAnsi="Calibri"/>
                <w:bCs/>
                <w:szCs w:val="22"/>
              </w:rPr>
              <w:t xml:space="preserve">, Key Statement EN5 of the Ribble Valley Core Strategy states: </w:t>
            </w:r>
          </w:p>
          <w:p w14:paraId="37DFB588" w14:textId="77777777" w:rsidR="00FE7C2E" w:rsidRDefault="00FE7C2E" w:rsidP="00FC5EF8">
            <w:pPr>
              <w:pStyle w:val="Header"/>
              <w:tabs>
                <w:tab w:val="clear" w:pos="4153"/>
                <w:tab w:val="clear" w:pos="8306"/>
              </w:tabs>
              <w:jc w:val="both"/>
              <w:rPr>
                <w:rFonts w:ascii="Calibri" w:hAnsi="Calibri"/>
                <w:bCs/>
                <w:szCs w:val="22"/>
              </w:rPr>
            </w:pPr>
          </w:p>
          <w:p w14:paraId="42C4677C" w14:textId="77777777" w:rsidR="00FE7C2E" w:rsidRDefault="00FE7C2E" w:rsidP="00FC5EF8">
            <w:pPr>
              <w:pStyle w:val="Header"/>
              <w:tabs>
                <w:tab w:val="clear" w:pos="4153"/>
                <w:tab w:val="clear" w:pos="8306"/>
              </w:tabs>
              <w:jc w:val="both"/>
              <w:rPr>
                <w:rFonts w:ascii="Calibri" w:hAnsi="Calibri"/>
                <w:bCs/>
                <w:i/>
                <w:iCs/>
                <w:szCs w:val="22"/>
              </w:rPr>
            </w:pPr>
            <w:r>
              <w:rPr>
                <w:rFonts w:ascii="Calibri" w:hAnsi="Calibri"/>
                <w:bCs/>
                <w:szCs w:val="22"/>
              </w:rPr>
              <w:t>‘</w:t>
            </w:r>
            <w:r>
              <w:rPr>
                <w:rFonts w:ascii="Calibri" w:hAnsi="Calibri"/>
                <w:bCs/>
                <w:i/>
                <w:iCs/>
                <w:szCs w:val="22"/>
              </w:rPr>
              <w:t xml:space="preserve">There will be a presumption in favour of the conservation and enhancement of the significant of heritage assets and their setting.’ </w:t>
            </w:r>
          </w:p>
          <w:p w14:paraId="66EB3717" w14:textId="77777777" w:rsidR="00FE7C2E" w:rsidRDefault="00FE7C2E" w:rsidP="00FC5EF8">
            <w:pPr>
              <w:pStyle w:val="Header"/>
              <w:tabs>
                <w:tab w:val="clear" w:pos="4153"/>
                <w:tab w:val="clear" w:pos="8306"/>
              </w:tabs>
              <w:jc w:val="both"/>
              <w:rPr>
                <w:rFonts w:ascii="Calibri" w:hAnsi="Calibri"/>
                <w:bCs/>
                <w:i/>
                <w:iCs/>
                <w:szCs w:val="22"/>
              </w:rPr>
            </w:pPr>
          </w:p>
          <w:p w14:paraId="52DEE43B" w14:textId="77777777" w:rsidR="00FE7C2E" w:rsidRDefault="00FE7C2E" w:rsidP="00FC5EF8">
            <w:pPr>
              <w:pStyle w:val="Header"/>
              <w:tabs>
                <w:tab w:val="clear" w:pos="4153"/>
                <w:tab w:val="clear" w:pos="8306"/>
              </w:tabs>
              <w:jc w:val="both"/>
              <w:rPr>
                <w:rFonts w:ascii="Calibri" w:hAnsi="Calibri"/>
                <w:bCs/>
                <w:szCs w:val="22"/>
              </w:rPr>
            </w:pPr>
            <w:r>
              <w:rPr>
                <w:rFonts w:ascii="Calibri" w:hAnsi="Calibri"/>
                <w:bCs/>
                <w:szCs w:val="22"/>
              </w:rPr>
              <w:t xml:space="preserve">Furthermore, Policy DME4 of the Core Strategy states: </w:t>
            </w:r>
          </w:p>
          <w:p w14:paraId="66F81010" w14:textId="77777777" w:rsidR="00FE7C2E" w:rsidRDefault="00FE7C2E" w:rsidP="00FC5EF8">
            <w:pPr>
              <w:pStyle w:val="Header"/>
              <w:tabs>
                <w:tab w:val="clear" w:pos="4153"/>
                <w:tab w:val="clear" w:pos="8306"/>
              </w:tabs>
              <w:jc w:val="both"/>
              <w:rPr>
                <w:rFonts w:ascii="Calibri" w:hAnsi="Calibri"/>
                <w:bCs/>
                <w:szCs w:val="22"/>
              </w:rPr>
            </w:pPr>
          </w:p>
          <w:p w14:paraId="1A374AD8" w14:textId="77777777" w:rsidR="00FE7C2E" w:rsidRDefault="00FE7C2E" w:rsidP="00FC5EF8">
            <w:pPr>
              <w:pStyle w:val="Header"/>
              <w:tabs>
                <w:tab w:val="clear" w:pos="4153"/>
                <w:tab w:val="clear" w:pos="8306"/>
              </w:tabs>
              <w:jc w:val="both"/>
              <w:rPr>
                <w:rFonts w:ascii="Calibri" w:hAnsi="Calibri"/>
                <w:bCs/>
                <w:i/>
                <w:iCs/>
                <w:szCs w:val="22"/>
              </w:rPr>
            </w:pPr>
            <w:r>
              <w:rPr>
                <w:rFonts w:ascii="Calibri" w:hAnsi="Calibri"/>
                <w:bCs/>
                <w:szCs w:val="22"/>
              </w:rPr>
              <w:t>‘</w:t>
            </w:r>
            <w:r>
              <w:rPr>
                <w:rFonts w:ascii="Calibri" w:hAnsi="Calibri"/>
                <w:bCs/>
                <w:i/>
                <w:iCs/>
                <w:szCs w:val="22"/>
              </w:rPr>
              <w:t xml:space="preserve">Alterations or extensions to Listed Buildings or buildings of local heritage interest, or development proposals on sites within their setting which cause harm to the significant of the heritage asset will not be supported’. </w:t>
            </w:r>
          </w:p>
          <w:p w14:paraId="466B7862" w14:textId="77777777" w:rsidR="006026F0" w:rsidRDefault="006026F0" w:rsidP="00FC5EF8">
            <w:pPr>
              <w:pStyle w:val="Header"/>
              <w:tabs>
                <w:tab w:val="clear" w:pos="4153"/>
                <w:tab w:val="clear" w:pos="8306"/>
              </w:tabs>
              <w:jc w:val="both"/>
              <w:rPr>
                <w:rFonts w:ascii="Calibri" w:hAnsi="Calibri"/>
                <w:bCs/>
                <w:szCs w:val="22"/>
              </w:rPr>
            </w:pPr>
          </w:p>
          <w:p w14:paraId="37255E6D" w14:textId="617F1721" w:rsidR="006026F0" w:rsidRDefault="006026F0" w:rsidP="00FC5EF8">
            <w:pPr>
              <w:pStyle w:val="Header"/>
              <w:tabs>
                <w:tab w:val="clear" w:pos="4153"/>
                <w:tab w:val="clear" w:pos="8306"/>
              </w:tabs>
              <w:jc w:val="both"/>
              <w:rPr>
                <w:rFonts w:ascii="Calibri" w:hAnsi="Calibri"/>
                <w:bCs/>
                <w:szCs w:val="22"/>
              </w:rPr>
            </w:pPr>
            <w:r>
              <w:rPr>
                <w:rFonts w:ascii="Calibri" w:hAnsi="Calibri"/>
                <w:bCs/>
                <w:i/>
                <w:iCs/>
                <w:szCs w:val="22"/>
              </w:rPr>
              <w:t xml:space="preserve">Making Changes to Heritage Assets (Historic England, 2016) </w:t>
            </w:r>
            <w:r w:rsidR="000D4FCB">
              <w:rPr>
                <w:rFonts w:ascii="Calibri" w:hAnsi="Calibri"/>
                <w:bCs/>
                <w:i/>
                <w:iCs/>
                <w:szCs w:val="22"/>
              </w:rPr>
              <w:t xml:space="preserve">also </w:t>
            </w:r>
            <w:r>
              <w:rPr>
                <w:rFonts w:ascii="Calibri" w:hAnsi="Calibri"/>
                <w:bCs/>
                <w:szCs w:val="22"/>
              </w:rPr>
              <w:t xml:space="preserve">provides general guidance with regards to the repair and alterations of heritage assets: </w:t>
            </w:r>
          </w:p>
          <w:p w14:paraId="0F1842C9" w14:textId="77777777" w:rsidR="006026F0" w:rsidRDefault="006026F0" w:rsidP="00FC5EF8">
            <w:pPr>
              <w:pStyle w:val="Header"/>
              <w:tabs>
                <w:tab w:val="clear" w:pos="4153"/>
                <w:tab w:val="clear" w:pos="8306"/>
              </w:tabs>
              <w:jc w:val="both"/>
              <w:rPr>
                <w:rFonts w:ascii="Calibri" w:hAnsi="Calibri"/>
                <w:bCs/>
                <w:szCs w:val="22"/>
              </w:rPr>
            </w:pPr>
          </w:p>
          <w:p w14:paraId="5549B9B0" w14:textId="77ADCE76" w:rsidR="006026F0" w:rsidRDefault="006026F0" w:rsidP="00FC5EF8">
            <w:pPr>
              <w:pStyle w:val="Header"/>
              <w:tabs>
                <w:tab w:val="clear" w:pos="4153"/>
                <w:tab w:val="clear" w:pos="8306"/>
              </w:tabs>
              <w:jc w:val="both"/>
              <w:rPr>
                <w:rFonts w:ascii="Calibri" w:hAnsi="Calibri"/>
                <w:bCs/>
                <w:szCs w:val="22"/>
              </w:rPr>
            </w:pPr>
            <w:r>
              <w:rPr>
                <w:rFonts w:ascii="Calibri" w:hAnsi="Calibri"/>
                <w:bCs/>
                <w:szCs w:val="22"/>
              </w:rPr>
              <w:t>‘</w:t>
            </w:r>
            <w:r w:rsidRPr="006026F0">
              <w:rPr>
                <w:rFonts w:ascii="Calibri" w:hAnsi="Calibri"/>
                <w:bCs/>
                <w:i/>
                <w:iCs/>
                <w:szCs w:val="22"/>
              </w:rPr>
              <w:t>The main issues to considered in proposals for additions to heritage assets, including new development in conservation areas are proportion, height, massing, bulk, use of materials, durability and adaptability, use, enclosure, relationship with adjacent assets and definition of spaces and streets, alignment, active frontages, permeability and treatment of setting… the junction between new work and the existing fabric needs particular attention, both for its impact on the significance of the existing asset and the impact on the contribution of its setting… original materials normally only need to be replaced when they have failed in their structural purpose</w:t>
            </w:r>
            <w:r>
              <w:rPr>
                <w:rFonts w:ascii="Calibri" w:hAnsi="Calibri"/>
                <w:bCs/>
                <w:szCs w:val="22"/>
              </w:rPr>
              <w:t xml:space="preserve">.’ </w:t>
            </w:r>
          </w:p>
          <w:p w14:paraId="3FF46971" w14:textId="77777777" w:rsidR="000D4FCB" w:rsidRDefault="000D4FCB" w:rsidP="00FC5EF8">
            <w:pPr>
              <w:pStyle w:val="Header"/>
              <w:tabs>
                <w:tab w:val="clear" w:pos="4153"/>
                <w:tab w:val="clear" w:pos="8306"/>
              </w:tabs>
              <w:jc w:val="both"/>
              <w:rPr>
                <w:rFonts w:ascii="Calibri" w:hAnsi="Calibri"/>
                <w:bCs/>
                <w:szCs w:val="22"/>
              </w:rPr>
            </w:pPr>
          </w:p>
          <w:p w14:paraId="36C1E69E" w14:textId="77777777" w:rsidR="000D4FCB" w:rsidRDefault="000D4FCB" w:rsidP="000D4FCB">
            <w:pPr>
              <w:jc w:val="both"/>
              <w:rPr>
                <w:rFonts w:ascii="Calibri" w:hAnsi="Calibri"/>
                <w:bCs/>
              </w:rPr>
            </w:pPr>
            <w:r>
              <w:rPr>
                <w:rFonts w:ascii="Calibri" w:hAnsi="Calibri"/>
                <w:bCs/>
              </w:rPr>
              <w:t xml:space="preserve">In a similar vein, the </w:t>
            </w:r>
            <w:r>
              <w:rPr>
                <w:rFonts w:ascii="Calibri" w:hAnsi="Calibri"/>
                <w:bCs/>
                <w:i/>
                <w:iCs/>
              </w:rPr>
              <w:t>Institute Of Historic Building Conservation (2021)</w:t>
            </w:r>
            <w:r>
              <w:rPr>
                <w:rFonts w:ascii="Calibri" w:hAnsi="Calibri"/>
                <w:bCs/>
              </w:rPr>
              <w:t xml:space="preserve"> advises:</w:t>
            </w:r>
          </w:p>
          <w:p w14:paraId="47B9050E" w14:textId="77777777" w:rsidR="000D4FCB" w:rsidRDefault="000D4FCB" w:rsidP="000D4FCB">
            <w:pPr>
              <w:jc w:val="both"/>
              <w:rPr>
                <w:rFonts w:ascii="Calibri" w:hAnsi="Calibri"/>
                <w:b/>
              </w:rPr>
            </w:pPr>
          </w:p>
          <w:p w14:paraId="5DAC5190" w14:textId="57402A2E" w:rsidR="000D4FCB" w:rsidRPr="000D4FCB" w:rsidRDefault="000D4FCB" w:rsidP="000D4FCB">
            <w:pPr>
              <w:jc w:val="both"/>
              <w:rPr>
                <w:rFonts w:ascii="Calibri" w:hAnsi="Calibri"/>
                <w:bCs/>
                <w:i/>
                <w:iCs/>
              </w:rPr>
            </w:pPr>
            <w:r>
              <w:rPr>
                <w:rFonts w:ascii="Calibri" w:hAnsi="Calibri"/>
                <w:bCs/>
                <w:i/>
                <w:iCs/>
              </w:rPr>
              <w:t>‘Modern extensions should be harmonious and not dominate the existing building in scale, materials, situation, or impact on setting. Successful extensions require a thorough understanding of the building type and sensitive handling. The design of new elements intended to stand alongside historic fabric needs to be very carefully considered and to be successful should respect the setting and the fundamental architectural principles of scale, height, massing, alignment, and use of appropriate materials…a building derives much of its character and appearance from its roof. Roofs often contain the oldest and least altered parts of a building. Alterations should respect what survives in its original form…The alteration of original roof forms and pitches should generally be discouraged.’</w:t>
            </w:r>
          </w:p>
          <w:p w14:paraId="79B9A387" w14:textId="77777777" w:rsidR="006026F0" w:rsidRDefault="006026F0" w:rsidP="00FC5EF8">
            <w:pPr>
              <w:pStyle w:val="Header"/>
              <w:tabs>
                <w:tab w:val="clear" w:pos="4153"/>
                <w:tab w:val="clear" w:pos="8306"/>
              </w:tabs>
              <w:jc w:val="both"/>
              <w:rPr>
                <w:rFonts w:ascii="Calibri" w:hAnsi="Calibri"/>
                <w:bCs/>
                <w:i/>
                <w:iCs/>
                <w:szCs w:val="22"/>
              </w:rPr>
            </w:pPr>
          </w:p>
          <w:p w14:paraId="204AE07F" w14:textId="7659DFBA" w:rsidR="006026F0" w:rsidRDefault="006026F0" w:rsidP="00FC5EF8">
            <w:pPr>
              <w:pStyle w:val="Header"/>
              <w:tabs>
                <w:tab w:val="clear" w:pos="4153"/>
                <w:tab w:val="clear" w:pos="8306"/>
              </w:tabs>
              <w:jc w:val="both"/>
              <w:rPr>
                <w:rFonts w:ascii="Calibri" w:hAnsi="Calibri"/>
                <w:bCs/>
                <w:szCs w:val="22"/>
              </w:rPr>
            </w:pPr>
            <w:r>
              <w:rPr>
                <w:rFonts w:ascii="Calibri" w:hAnsi="Calibri"/>
                <w:bCs/>
                <w:szCs w:val="22"/>
              </w:rPr>
              <w:t xml:space="preserve">In addition, </w:t>
            </w:r>
            <w:r>
              <w:rPr>
                <w:rFonts w:ascii="Calibri" w:hAnsi="Calibri"/>
                <w:bCs/>
                <w:i/>
                <w:iCs/>
                <w:szCs w:val="22"/>
              </w:rPr>
              <w:t xml:space="preserve">Guidance on Alterations to Listed Buildings (IHBC, 2021) </w:t>
            </w:r>
            <w:r>
              <w:rPr>
                <w:rFonts w:ascii="Calibri" w:hAnsi="Calibri"/>
                <w:bCs/>
                <w:szCs w:val="22"/>
              </w:rPr>
              <w:t xml:space="preserve">states: </w:t>
            </w:r>
          </w:p>
          <w:p w14:paraId="2D7F43A6" w14:textId="77777777" w:rsidR="006026F0" w:rsidRDefault="006026F0" w:rsidP="00FC5EF8">
            <w:pPr>
              <w:pStyle w:val="Header"/>
              <w:tabs>
                <w:tab w:val="clear" w:pos="4153"/>
                <w:tab w:val="clear" w:pos="8306"/>
              </w:tabs>
              <w:jc w:val="both"/>
              <w:rPr>
                <w:rFonts w:ascii="Calibri" w:hAnsi="Calibri"/>
                <w:bCs/>
                <w:szCs w:val="22"/>
              </w:rPr>
            </w:pPr>
          </w:p>
          <w:p w14:paraId="324D72CD" w14:textId="6024E9D2" w:rsidR="006B047E" w:rsidRPr="006B047E" w:rsidRDefault="006026F0" w:rsidP="00FC5EF8">
            <w:pPr>
              <w:pStyle w:val="Header"/>
              <w:tabs>
                <w:tab w:val="clear" w:pos="4153"/>
                <w:tab w:val="clear" w:pos="8306"/>
              </w:tabs>
              <w:jc w:val="both"/>
              <w:rPr>
                <w:rFonts w:ascii="Calibri" w:hAnsi="Calibri"/>
                <w:bCs/>
                <w:i/>
                <w:iCs/>
                <w:szCs w:val="22"/>
              </w:rPr>
            </w:pPr>
            <w:r>
              <w:rPr>
                <w:rFonts w:ascii="Calibri" w:hAnsi="Calibri"/>
                <w:bCs/>
                <w:szCs w:val="22"/>
              </w:rPr>
              <w:t>‘</w:t>
            </w:r>
            <w:r>
              <w:rPr>
                <w:rFonts w:ascii="Calibri" w:hAnsi="Calibri"/>
                <w:bCs/>
                <w:i/>
                <w:iCs/>
                <w:szCs w:val="22"/>
              </w:rPr>
              <w:t xml:space="preserve">As a general rule, original doors and windows should be retained. They should be replaced only where they are demonstrably beyond repair and should match the original, or later historically or architecturally important replacements, in every respect’. </w:t>
            </w:r>
          </w:p>
          <w:p w14:paraId="37555420" w14:textId="77777777" w:rsidR="006026F0" w:rsidRDefault="006026F0" w:rsidP="00FC5EF8">
            <w:pPr>
              <w:pStyle w:val="Header"/>
              <w:tabs>
                <w:tab w:val="clear" w:pos="4153"/>
                <w:tab w:val="clear" w:pos="8306"/>
              </w:tabs>
              <w:jc w:val="both"/>
              <w:rPr>
                <w:rFonts w:ascii="Calibri" w:hAnsi="Calibri"/>
                <w:bCs/>
                <w:i/>
                <w:iCs/>
                <w:szCs w:val="22"/>
              </w:rPr>
            </w:pPr>
          </w:p>
          <w:p w14:paraId="757429CB" w14:textId="5121A5E7" w:rsidR="00C12D83" w:rsidRDefault="00BB5D15" w:rsidP="00FC5EF8">
            <w:pPr>
              <w:pStyle w:val="Header"/>
              <w:tabs>
                <w:tab w:val="clear" w:pos="4153"/>
                <w:tab w:val="clear" w:pos="8306"/>
              </w:tabs>
              <w:jc w:val="both"/>
              <w:rPr>
                <w:rFonts w:ascii="Calibri" w:hAnsi="Calibri"/>
                <w:bCs/>
                <w:szCs w:val="22"/>
              </w:rPr>
            </w:pPr>
            <w:r>
              <w:rPr>
                <w:rFonts w:ascii="Calibri" w:hAnsi="Calibri"/>
                <w:bCs/>
                <w:szCs w:val="22"/>
              </w:rPr>
              <w:t xml:space="preserve">In this instance, the development consists of replacement windows and doors, removal of rear upper ground floor window and insertion of uPVC double door opening onto attached balcony. </w:t>
            </w:r>
          </w:p>
          <w:p w14:paraId="2F80E74B" w14:textId="77777777" w:rsidR="00BB5D15" w:rsidRDefault="00BB5D15" w:rsidP="00FC5EF8">
            <w:pPr>
              <w:pStyle w:val="Header"/>
              <w:tabs>
                <w:tab w:val="clear" w:pos="4153"/>
                <w:tab w:val="clear" w:pos="8306"/>
              </w:tabs>
              <w:jc w:val="both"/>
              <w:rPr>
                <w:rFonts w:ascii="Calibri" w:hAnsi="Calibri"/>
                <w:bCs/>
                <w:szCs w:val="22"/>
              </w:rPr>
            </w:pPr>
          </w:p>
          <w:p w14:paraId="39A12AD7" w14:textId="2D4893FA" w:rsidR="008C318D" w:rsidRPr="00C967F6" w:rsidRDefault="00D15FF3" w:rsidP="00FC5EF8">
            <w:pPr>
              <w:pStyle w:val="Header"/>
              <w:tabs>
                <w:tab w:val="clear" w:pos="4153"/>
                <w:tab w:val="clear" w:pos="8306"/>
              </w:tabs>
              <w:jc w:val="both"/>
              <w:rPr>
                <w:rFonts w:ascii="Calibri" w:hAnsi="Calibri"/>
                <w:bCs/>
                <w:szCs w:val="22"/>
              </w:rPr>
            </w:pPr>
            <w:r w:rsidRPr="00C967F6">
              <w:rPr>
                <w:rFonts w:ascii="Calibri" w:hAnsi="Calibri"/>
                <w:bCs/>
                <w:szCs w:val="22"/>
              </w:rPr>
              <w:t xml:space="preserve">The replacement windows and front door comprise </w:t>
            </w:r>
            <w:r w:rsidR="006B047E">
              <w:rPr>
                <w:rFonts w:ascii="Calibri" w:hAnsi="Calibri"/>
                <w:bCs/>
                <w:szCs w:val="22"/>
              </w:rPr>
              <w:t>solid</w:t>
            </w:r>
            <w:r w:rsidRPr="00C967F6">
              <w:rPr>
                <w:rFonts w:ascii="Calibri" w:hAnsi="Calibri"/>
                <w:bCs/>
                <w:szCs w:val="22"/>
              </w:rPr>
              <w:t xml:space="preserve"> timber</w:t>
            </w:r>
            <w:r w:rsidR="006B047E">
              <w:rPr>
                <w:rFonts w:ascii="Calibri" w:hAnsi="Calibri"/>
                <w:bCs/>
                <w:szCs w:val="22"/>
              </w:rPr>
              <w:t xml:space="preserve"> finished in dark grey</w:t>
            </w:r>
            <w:r w:rsidRPr="00C967F6">
              <w:rPr>
                <w:rFonts w:ascii="Calibri" w:hAnsi="Calibri"/>
                <w:bCs/>
                <w:szCs w:val="22"/>
              </w:rPr>
              <w:t xml:space="preserve"> </w:t>
            </w:r>
            <w:r w:rsidR="00553071" w:rsidRPr="00C967F6">
              <w:rPr>
                <w:rFonts w:ascii="Calibri" w:hAnsi="Calibri"/>
                <w:bCs/>
                <w:szCs w:val="22"/>
              </w:rPr>
              <w:t xml:space="preserve">and are </w:t>
            </w:r>
            <w:r w:rsidRPr="00C967F6">
              <w:rPr>
                <w:rFonts w:ascii="Calibri" w:hAnsi="Calibri"/>
                <w:bCs/>
                <w:szCs w:val="22"/>
              </w:rPr>
              <w:t>considered to respect the historic character of the building by virtue of their slim and understated profile. In contrast,</w:t>
            </w:r>
            <w:r w:rsidR="008C318D" w:rsidRPr="00C967F6">
              <w:rPr>
                <w:rFonts w:ascii="Calibri" w:hAnsi="Calibri"/>
                <w:bCs/>
                <w:szCs w:val="22"/>
              </w:rPr>
              <w:t xml:space="preserve"> the introduction of modern uPVC double doors undermines and unduly compromises the significance and special interest of the property as a designated heritage asset</w:t>
            </w:r>
            <w:r w:rsidR="00553071" w:rsidRPr="00C967F6">
              <w:rPr>
                <w:rFonts w:ascii="Calibri" w:hAnsi="Calibri"/>
                <w:bCs/>
                <w:szCs w:val="22"/>
              </w:rPr>
              <w:t xml:space="preserve"> due to the incorporation of an anomalous material which is neither reflective of the </w:t>
            </w:r>
            <w:r w:rsidR="009143A4" w:rsidRPr="00C967F6">
              <w:rPr>
                <w:rFonts w:ascii="Calibri" w:hAnsi="Calibri"/>
                <w:bCs/>
                <w:szCs w:val="22"/>
              </w:rPr>
              <w:t>property’s</w:t>
            </w:r>
            <w:r w:rsidR="00553071" w:rsidRPr="00C967F6">
              <w:rPr>
                <w:rFonts w:ascii="Calibri" w:hAnsi="Calibri"/>
                <w:bCs/>
                <w:szCs w:val="22"/>
              </w:rPr>
              <w:t xml:space="preserve"> original construction or any other materials previously present</w:t>
            </w:r>
            <w:r w:rsidR="008C318D" w:rsidRPr="00C967F6">
              <w:rPr>
                <w:rFonts w:ascii="Calibri" w:hAnsi="Calibri"/>
                <w:bCs/>
                <w:szCs w:val="22"/>
              </w:rPr>
              <w:t xml:space="preserve">. </w:t>
            </w:r>
            <w:r w:rsidR="00553071" w:rsidRPr="00C967F6">
              <w:rPr>
                <w:rFonts w:ascii="Calibri" w:hAnsi="Calibri"/>
                <w:bCs/>
                <w:szCs w:val="22"/>
              </w:rPr>
              <w:t xml:space="preserve">The addition therefore reads as a discordant and anomalous form of development that fails to </w:t>
            </w:r>
            <w:r w:rsidR="0047348C">
              <w:rPr>
                <w:rFonts w:ascii="Calibri" w:hAnsi="Calibri"/>
                <w:bCs/>
                <w:szCs w:val="22"/>
              </w:rPr>
              <w:t>conserve</w:t>
            </w:r>
            <w:r w:rsidR="00553071" w:rsidRPr="00C967F6">
              <w:rPr>
                <w:rFonts w:ascii="Calibri" w:hAnsi="Calibri"/>
                <w:bCs/>
                <w:szCs w:val="22"/>
              </w:rPr>
              <w:t xml:space="preserve"> the significance or special architectural and historic character of the Listed Building. </w:t>
            </w:r>
          </w:p>
          <w:p w14:paraId="71FA8481" w14:textId="1293C94E" w:rsidR="00BB5D15" w:rsidRPr="00C967F6" w:rsidRDefault="00BB5D15" w:rsidP="00FC5EF8">
            <w:pPr>
              <w:pStyle w:val="Header"/>
              <w:tabs>
                <w:tab w:val="clear" w:pos="4153"/>
                <w:tab w:val="clear" w:pos="8306"/>
              </w:tabs>
              <w:jc w:val="both"/>
              <w:rPr>
                <w:rFonts w:ascii="Calibri" w:hAnsi="Calibri"/>
                <w:bCs/>
                <w:szCs w:val="22"/>
              </w:rPr>
            </w:pPr>
          </w:p>
          <w:p w14:paraId="5540C437" w14:textId="15F7E94C" w:rsidR="009143A4" w:rsidRPr="00C967F6" w:rsidRDefault="00BB5D15" w:rsidP="00FC5EF8">
            <w:pPr>
              <w:pStyle w:val="Header"/>
              <w:tabs>
                <w:tab w:val="clear" w:pos="4153"/>
                <w:tab w:val="clear" w:pos="8306"/>
              </w:tabs>
              <w:jc w:val="both"/>
              <w:rPr>
                <w:rFonts w:ascii="Calibri" w:hAnsi="Calibri"/>
                <w:bCs/>
                <w:szCs w:val="22"/>
              </w:rPr>
            </w:pPr>
            <w:r w:rsidRPr="00C967F6">
              <w:rPr>
                <w:rFonts w:ascii="Calibri" w:hAnsi="Calibri"/>
                <w:bCs/>
                <w:szCs w:val="22"/>
              </w:rPr>
              <w:t xml:space="preserve">The attached balcony comprises an outward projection of </w:t>
            </w:r>
            <w:r w:rsidR="00A12810" w:rsidRPr="00C967F6">
              <w:rPr>
                <w:rFonts w:ascii="Calibri" w:hAnsi="Calibri"/>
                <w:bCs/>
                <w:szCs w:val="22"/>
              </w:rPr>
              <w:t>2.1m</w:t>
            </w:r>
            <w:r w:rsidRPr="00C967F6">
              <w:rPr>
                <w:rFonts w:ascii="Calibri" w:hAnsi="Calibri"/>
                <w:bCs/>
                <w:szCs w:val="22"/>
              </w:rPr>
              <w:t xml:space="preserve"> from the property’s </w:t>
            </w:r>
            <w:r w:rsidR="00A12810" w:rsidRPr="00C967F6">
              <w:rPr>
                <w:rFonts w:ascii="Calibri" w:hAnsi="Calibri"/>
                <w:bCs/>
                <w:szCs w:val="22"/>
              </w:rPr>
              <w:t>south-eastern</w:t>
            </w:r>
            <w:r w:rsidRPr="00C967F6">
              <w:rPr>
                <w:rFonts w:ascii="Calibri" w:hAnsi="Calibri"/>
                <w:bCs/>
                <w:szCs w:val="22"/>
              </w:rPr>
              <w:t xml:space="preserve"> rear elevation with the width of the balcony spanning </w:t>
            </w:r>
            <w:r w:rsidR="00A12810" w:rsidRPr="00C967F6">
              <w:rPr>
                <w:rFonts w:ascii="Calibri" w:hAnsi="Calibri"/>
                <w:bCs/>
                <w:szCs w:val="22"/>
              </w:rPr>
              <w:t>3.2m</w:t>
            </w:r>
            <w:r w:rsidRPr="00C967F6">
              <w:rPr>
                <w:rFonts w:ascii="Calibri" w:hAnsi="Calibri"/>
                <w:bCs/>
                <w:szCs w:val="22"/>
              </w:rPr>
              <w:t>. Historic analysis suggests that the previous plan form of the property</w:t>
            </w:r>
            <w:r w:rsidR="0047348C">
              <w:rPr>
                <w:rFonts w:ascii="Calibri" w:hAnsi="Calibri"/>
                <w:bCs/>
                <w:szCs w:val="22"/>
              </w:rPr>
              <w:t xml:space="preserve"> has</w:t>
            </w:r>
            <w:r w:rsidRPr="00C967F6">
              <w:rPr>
                <w:rFonts w:ascii="Calibri" w:hAnsi="Calibri"/>
                <w:bCs/>
                <w:szCs w:val="22"/>
              </w:rPr>
              <w:t xml:space="preserve"> remained largely unchanged since the </w:t>
            </w:r>
            <w:r w:rsidR="00A12810" w:rsidRPr="00C967F6">
              <w:rPr>
                <w:rFonts w:ascii="Calibri" w:hAnsi="Calibri"/>
                <w:bCs/>
                <w:szCs w:val="22"/>
              </w:rPr>
              <w:t>18</w:t>
            </w:r>
            <w:r w:rsidR="00A12810" w:rsidRPr="00C967F6">
              <w:rPr>
                <w:rFonts w:ascii="Calibri" w:hAnsi="Calibri"/>
                <w:bCs/>
                <w:szCs w:val="22"/>
                <w:vertAlign w:val="superscript"/>
              </w:rPr>
              <w:t>th</w:t>
            </w:r>
            <w:r w:rsidRPr="00C967F6">
              <w:rPr>
                <w:rFonts w:ascii="Calibri" w:hAnsi="Calibri"/>
                <w:bCs/>
                <w:szCs w:val="22"/>
              </w:rPr>
              <w:t xml:space="preserve"> century</w:t>
            </w:r>
            <w:r w:rsidR="009143A4" w:rsidRPr="00C967F6">
              <w:rPr>
                <w:rFonts w:ascii="Calibri" w:hAnsi="Calibri"/>
                <w:bCs/>
                <w:szCs w:val="22"/>
              </w:rPr>
              <w:t xml:space="preserve"> with t</w:t>
            </w:r>
            <w:r w:rsidR="00B35C91" w:rsidRPr="00C967F6">
              <w:rPr>
                <w:rFonts w:ascii="Calibri" w:hAnsi="Calibri"/>
                <w:bCs/>
                <w:szCs w:val="22"/>
              </w:rPr>
              <w:t>he balcony therefore result</w:t>
            </w:r>
            <w:r w:rsidR="009143A4" w:rsidRPr="00C967F6">
              <w:rPr>
                <w:rFonts w:ascii="Calibri" w:hAnsi="Calibri"/>
                <w:bCs/>
                <w:szCs w:val="22"/>
              </w:rPr>
              <w:t xml:space="preserve">ing </w:t>
            </w:r>
            <w:r w:rsidR="00B35C91" w:rsidRPr="00C967F6">
              <w:rPr>
                <w:rFonts w:ascii="Calibri" w:hAnsi="Calibri"/>
                <w:bCs/>
                <w:szCs w:val="22"/>
              </w:rPr>
              <w:t>in deviation from the property’s original unadorned rear elevation</w:t>
            </w:r>
            <w:r w:rsidR="009143A4" w:rsidRPr="00C967F6">
              <w:rPr>
                <w:rFonts w:ascii="Calibri" w:hAnsi="Calibri"/>
                <w:bCs/>
                <w:szCs w:val="22"/>
              </w:rPr>
              <w:t xml:space="preserve">. </w:t>
            </w:r>
            <w:r w:rsidR="00CB4A1B" w:rsidRPr="00C967F6">
              <w:rPr>
                <w:rFonts w:ascii="Calibri" w:hAnsi="Calibri"/>
                <w:bCs/>
                <w:szCs w:val="22"/>
              </w:rPr>
              <w:t>The</w:t>
            </w:r>
            <w:r w:rsidR="009143A4" w:rsidRPr="00C967F6">
              <w:rPr>
                <w:rFonts w:ascii="Calibri" w:hAnsi="Calibri"/>
                <w:bCs/>
                <w:szCs w:val="22"/>
              </w:rPr>
              <w:t xml:space="preserve"> structure is also considered to appear overtly bulky and incongruous when viewed in context with the original vernacular of the building </w:t>
            </w:r>
            <w:r w:rsidR="009143A4" w:rsidRPr="00C967F6">
              <w:rPr>
                <w:rFonts w:ascii="Calibri" w:hAnsi="Calibri"/>
                <w:bCs/>
                <w:szCs w:val="22"/>
              </w:rPr>
              <w:lastRenderedPageBreak/>
              <w:t xml:space="preserve">by virtue of its size and scale, whilst the incorporation of vertical timber cladding to the side elevations and a glazed balustrade to the rear appears at odds with the traditional stone-based vernacular and </w:t>
            </w:r>
            <w:r w:rsidR="00362CA3">
              <w:rPr>
                <w:rFonts w:ascii="Calibri" w:hAnsi="Calibri"/>
                <w:bCs/>
                <w:szCs w:val="22"/>
              </w:rPr>
              <w:t>simple</w:t>
            </w:r>
            <w:r w:rsidR="009143A4" w:rsidRPr="00C967F6">
              <w:rPr>
                <w:rFonts w:ascii="Calibri" w:hAnsi="Calibri"/>
                <w:bCs/>
                <w:szCs w:val="22"/>
              </w:rPr>
              <w:t xml:space="preserve"> features of the parent dwelling, having no historic reference to the building. The construction of the balcony, along with the incorporation of uPVC double doors, has therefore resulted in an overtly bulky and modern addition to the dwellinghouse which draws the eye away from the historical importance of the building and thereby significantly undermining the inherent characteristics and significance of the heritage asset. </w:t>
            </w:r>
          </w:p>
          <w:p w14:paraId="1134D8CC" w14:textId="77777777" w:rsidR="009143A4" w:rsidRDefault="009143A4" w:rsidP="00FC5EF8">
            <w:pPr>
              <w:pStyle w:val="Header"/>
              <w:tabs>
                <w:tab w:val="clear" w:pos="4153"/>
                <w:tab w:val="clear" w:pos="8306"/>
              </w:tabs>
              <w:jc w:val="both"/>
              <w:rPr>
                <w:rFonts w:ascii="Calibri" w:hAnsi="Calibri"/>
                <w:bCs/>
                <w:color w:val="FF0000"/>
                <w:szCs w:val="22"/>
              </w:rPr>
            </w:pPr>
          </w:p>
          <w:p w14:paraId="1025CA4E" w14:textId="21B32B1C" w:rsidR="00C42F04" w:rsidRDefault="00C42F04" w:rsidP="00FC5EF8">
            <w:pPr>
              <w:jc w:val="both"/>
              <w:rPr>
                <w:rFonts w:ascii="Calibri" w:hAnsi="Calibri"/>
                <w:bCs/>
              </w:rPr>
            </w:pPr>
            <w:r>
              <w:rPr>
                <w:rFonts w:ascii="Calibri" w:hAnsi="Calibri"/>
                <w:bCs/>
              </w:rPr>
              <w:t>Taking account of the above, the retention of the balcony and uPVC double doors would fail to accord with the above guidance and policies in relation to the appropriate adaption of heritage assets with the proposed extension detracting from the historic and architectural character of the listed building which in turn would be harmful to the significance of the heritage asset.</w:t>
            </w:r>
          </w:p>
          <w:p w14:paraId="14CED58D" w14:textId="77777777" w:rsidR="00C42F04" w:rsidRDefault="00C42F04" w:rsidP="00FC5EF8">
            <w:pPr>
              <w:jc w:val="both"/>
              <w:rPr>
                <w:rFonts w:ascii="Calibri" w:hAnsi="Calibri"/>
                <w:bCs/>
                <w:i/>
                <w:iCs/>
              </w:rPr>
            </w:pPr>
          </w:p>
          <w:p w14:paraId="5DE33313" w14:textId="77777777" w:rsidR="00C42F04" w:rsidRDefault="00C42F04" w:rsidP="00FC5EF8">
            <w:pPr>
              <w:jc w:val="both"/>
              <w:rPr>
                <w:rFonts w:ascii="Calibri" w:hAnsi="Calibri"/>
                <w:bCs/>
              </w:rPr>
            </w:pPr>
            <w:r>
              <w:rPr>
                <w:rFonts w:ascii="Calibri" w:hAnsi="Calibri"/>
                <w:bCs/>
              </w:rPr>
              <w:t xml:space="preserve">The level of harm to the heritage asset from the proposed development is considered to be less than substantial in this instance. </w:t>
            </w:r>
          </w:p>
          <w:p w14:paraId="702B4A39" w14:textId="77777777" w:rsidR="00C42F04" w:rsidRDefault="00C42F04" w:rsidP="00FC5EF8">
            <w:pPr>
              <w:jc w:val="both"/>
              <w:rPr>
                <w:rFonts w:ascii="Calibri" w:hAnsi="Calibri"/>
                <w:bCs/>
              </w:rPr>
            </w:pPr>
          </w:p>
          <w:p w14:paraId="47CB633E" w14:textId="77777777" w:rsidR="00C42F04" w:rsidRDefault="00C42F04" w:rsidP="00FC5EF8">
            <w:pPr>
              <w:jc w:val="both"/>
              <w:rPr>
                <w:rFonts w:ascii="Calibri" w:hAnsi="Calibri"/>
                <w:bCs/>
              </w:rPr>
            </w:pPr>
            <w:r>
              <w:rPr>
                <w:rFonts w:ascii="Calibri" w:hAnsi="Calibri"/>
                <w:bCs/>
              </w:rPr>
              <w:t xml:space="preserve">Paragraph 208 of the NPPF states: </w:t>
            </w:r>
          </w:p>
          <w:p w14:paraId="60AB2926" w14:textId="77777777" w:rsidR="00C42F04" w:rsidRDefault="00C42F04" w:rsidP="00FC5EF8">
            <w:pPr>
              <w:jc w:val="both"/>
              <w:rPr>
                <w:rFonts w:ascii="Calibri" w:hAnsi="Calibri"/>
                <w:bCs/>
              </w:rPr>
            </w:pPr>
          </w:p>
          <w:p w14:paraId="215678AA" w14:textId="77777777" w:rsidR="00C42F04" w:rsidRDefault="00C42F04" w:rsidP="00FC5EF8">
            <w:pPr>
              <w:jc w:val="both"/>
              <w:rPr>
                <w:rFonts w:ascii="Calibri" w:hAnsi="Calibri"/>
                <w:bCs/>
                <w:i/>
                <w:iCs/>
              </w:rPr>
            </w:pPr>
            <w:r>
              <w:rPr>
                <w:rFonts w:ascii="Calibri" w:hAnsi="Calibri"/>
                <w:bCs/>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0D5FCDC7" w14:textId="77777777" w:rsidR="00C42F04" w:rsidRDefault="00C42F04" w:rsidP="00FC5EF8">
            <w:pPr>
              <w:jc w:val="both"/>
              <w:rPr>
                <w:rFonts w:ascii="Calibri" w:hAnsi="Calibri"/>
                <w:bCs/>
              </w:rPr>
            </w:pPr>
          </w:p>
          <w:p w14:paraId="02B1FF79" w14:textId="7D232AEF" w:rsidR="00C42F04" w:rsidRDefault="00C42F04" w:rsidP="00FC5EF8">
            <w:pPr>
              <w:jc w:val="both"/>
              <w:rPr>
                <w:rFonts w:ascii="Calibri" w:hAnsi="Calibri"/>
                <w:bCs/>
              </w:rPr>
            </w:pPr>
            <w:r>
              <w:rPr>
                <w:rFonts w:ascii="Calibri" w:hAnsi="Calibri"/>
                <w:bCs/>
              </w:rPr>
              <w:t xml:space="preserve">In this instance, the retention of the works would offer no public benefits with the development being utilised for private use with the only benefactors being the residents of no.10 Higher Road. As such, there are no public benefits identified that would outweigh the harm that would occur to the heritage asset from the retention of the unauthorised works. In addition, the heritage asset provides an existing residential use that would not cease in the event of the </w:t>
            </w:r>
            <w:r w:rsidR="009143A4">
              <w:rPr>
                <w:rFonts w:ascii="Calibri" w:hAnsi="Calibri"/>
                <w:bCs/>
              </w:rPr>
              <w:t>development</w:t>
            </w:r>
            <w:r>
              <w:rPr>
                <w:rFonts w:ascii="Calibri" w:hAnsi="Calibri"/>
                <w:bCs/>
              </w:rPr>
              <w:t xml:space="preserve"> failing to be retained, therefore the heritage asset is already considered to be in its optimum viable use. </w:t>
            </w:r>
          </w:p>
          <w:p w14:paraId="0BECCD4A" w14:textId="77777777" w:rsidR="00FE7C2E" w:rsidRDefault="00FE7C2E" w:rsidP="00FC5EF8">
            <w:pPr>
              <w:jc w:val="both"/>
              <w:rPr>
                <w:rFonts w:ascii="Calibri" w:hAnsi="Calibri"/>
                <w:bCs/>
                <w:szCs w:val="22"/>
              </w:rPr>
            </w:pPr>
          </w:p>
          <w:p w14:paraId="4403A5CB" w14:textId="1058FF0D" w:rsidR="00C42F04" w:rsidRDefault="00C42F04" w:rsidP="00FC5EF8">
            <w:pPr>
              <w:jc w:val="both"/>
              <w:rPr>
                <w:rFonts w:ascii="Calibri" w:hAnsi="Calibri"/>
                <w:bCs/>
              </w:rPr>
            </w:pPr>
            <w:r>
              <w:rPr>
                <w:rFonts w:ascii="Calibri" w:hAnsi="Calibri"/>
                <w:bCs/>
              </w:rPr>
              <w:t xml:space="preserve">Accordingly, the development fails to satisfy the requirements of </w:t>
            </w:r>
            <w:r w:rsidR="00B14076">
              <w:rPr>
                <w:rFonts w:ascii="Calibri" w:hAnsi="Calibri"/>
                <w:bCs/>
                <w:iCs/>
                <w:szCs w:val="22"/>
              </w:rPr>
              <w:t>Sections 16 and 66 of the Planning (Listed Buildings and Conservation Areas) Act 1990,</w:t>
            </w:r>
            <w:r>
              <w:rPr>
                <w:rFonts w:ascii="Calibri" w:hAnsi="Calibri"/>
                <w:bCs/>
              </w:rPr>
              <w:t xml:space="preserve"> Key Statement EN5 and Policy DME4 of the Ribble Valley Core Strategy and </w:t>
            </w:r>
            <w:r w:rsidR="00B14076">
              <w:rPr>
                <w:rFonts w:ascii="Calibri" w:hAnsi="Calibri"/>
                <w:bCs/>
              </w:rPr>
              <w:t xml:space="preserve">Paragraphs 205 and 208 of the National Planning Policy Framework and </w:t>
            </w:r>
            <w:r>
              <w:rPr>
                <w:rFonts w:ascii="Calibri" w:hAnsi="Calibri"/>
                <w:bCs/>
              </w:rPr>
              <w:t>is therefore considered to be unacceptable.</w:t>
            </w:r>
          </w:p>
          <w:p w14:paraId="53BBA97C" w14:textId="4C362A47" w:rsidR="00C42F04" w:rsidRPr="00FE7C2E" w:rsidRDefault="00C42F04" w:rsidP="00FC5EF8">
            <w:pPr>
              <w:jc w:val="both"/>
              <w:rPr>
                <w:rFonts w:ascii="Calibri" w:hAnsi="Calibri"/>
                <w:bCs/>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FC5EF8">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FC5EF8">
            <w:pPr>
              <w:contextualSpacing/>
              <w:jc w:val="both"/>
              <w:rPr>
                <w:rFonts w:ascii="Calibri" w:hAnsi="Calibri"/>
                <w:bCs/>
                <w:color w:val="548DD4" w:themeColor="text2" w:themeTint="99"/>
                <w:szCs w:val="22"/>
              </w:rPr>
            </w:pPr>
          </w:p>
          <w:p w14:paraId="36ED496B" w14:textId="364ADDCE" w:rsidR="0034343F" w:rsidRDefault="0034343F" w:rsidP="00FC5EF8">
            <w:pPr>
              <w:jc w:val="both"/>
              <w:rPr>
                <w:rFonts w:ascii="Calibri" w:hAnsi="Calibri"/>
                <w:bCs/>
                <w:iCs/>
                <w:szCs w:val="22"/>
              </w:rPr>
            </w:pPr>
            <w:r>
              <w:rPr>
                <w:rFonts w:ascii="Calibri" w:hAnsi="Calibri"/>
                <w:bCs/>
                <w:iCs/>
                <w:szCs w:val="22"/>
              </w:rPr>
              <w:t xml:space="preserve">The </w:t>
            </w:r>
            <w:r w:rsidR="00C967F6">
              <w:rPr>
                <w:rFonts w:ascii="Calibri" w:hAnsi="Calibri"/>
                <w:bCs/>
                <w:iCs/>
                <w:szCs w:val="22"/>
              </w:rPr>
              <w:t>retention of the unauthorised works</w:t>
            </w:r>
            <w:r>
              <w:rPr>
                <w:rFonts w:ascii="Calibri" w:hAnsi="Calibri"/>
                <w:bCs/>
                <w:iCs/>
                <w:szCs w:val="22"/>
              </w:rPr>
              <w:t xml:space="preserve"> </w:t>
            </w:r>
            <w:r w:rsidR="00B14076">
              <w:rPr>
                <w:rFonts w:ascii="Calibri" w:hAnsi="Calibri"/>
                <w:bCs/>
                <w:iCs/>
                <w:szCs w:val="22"/>
              </w:rPr>
              <w:t xml:space="preserve">results in </w:t>
            </w:r>
            <w:r>
              <w:rPr>
                <w:rFonts w:ascii="Calibri" w:hAnsi="Calibri"/>
                <w:bCs/>
                <w:iCs/>
                <w:szCs w:val="22"/>
              </w:rPr>
              <w:t>a harmful impact upon the special interest of the application property. The degree of harm to the designated heritage asset would be less than substantial and</w:t>
            </w:r>
            <w:r w:rsidR="00B14076">
              <w:rPr>
                <w:rFonts w:ascii="Calibri" w:hAnsi="Calibri"/>
                <w:bCs/>
                <w:iCs/>
                <w:szCs w:val="22"/>
              </w:rPr>
              <w:t xml:space="preserve"> </w:t>
            </w:r>
            <w:r>
              <w:rPr>
                <w:rFonts w:ascii="Calibri" w:hAnsi="Calibri"/>
                <w:bCs/>
                <w:iCs/>
                <w:szCs w:val="22"/>
              </w:rPr>
              <w:t xml:space="preserve">there are no public benefits identified that would outweigh the harm. </w:t>
            </w:r>
          </w:p>
          <w:p w14:paraId="48265E92" w14:textId="77777777" w:rsidR="0034343F" w:rsidRDefault="0034343F" w:rsidP="00FC5EF8">
            <w:pPr>
              <w:jc w:val="both"/>
              <w:rPr>
                <w:rFonts w:ascii="Calibri" w:hAnsi="Calibri"/>
                <w:bCs/>
                <w:iCs/>
                <w:szCs w:val="22"/>
              </w:rPr>
            </w:pPr>
          </w:p>
          <w:p w14:paraId="0306D292" w14:textId="3383DB49" w:rsidR="0034343F" w:rsidRDefault="0034343F" w:rsidP="00FC5EF8">
            <w:pPr>
              <w:jc w:val="both"/>
              <w:rPr>
                <w:rFonts w:ascii="Calibri" w:hAnsi="Calibri"/>
                <w:bCs/>
                <w:iCs/>
                <w:szCs w:val="22"/>
              </w:rPr>
            </w:pPr>
            <w:r>
              <w:rPr>
                <w:rFonts w:ascii="Calibri" w:hAnsi="Calibri"/>
                <w:bCs/>
                <w:iCs/>
                <w:szCs w:val="22"/>
              </w:rPr>
              <w:t>As such, the proposal fails to meet the requirements of</w:t>
            </w:r>
            <w:r w:rsidR="00362CA3">
              <w:rPr>
                <w:rFonts w:ascii="Calibri" w:hAnsi="Calibri"/>
                <w:bCs/>
                <w:iCs/>
                <w:szCs w:val="22"/>
              </w:rPr>
              <w:t xml:space="preserve"> </w:t>
            </w:r>
            <w:r w:rsidR="00B14076">
              <w:rPr>
                <w:rFonts w:ascii="Calibri" w:hAnsi="Calibri"/>
                <w:bCs/>
                <w:iCs/>
                <w:szCs w:val="22"/>
              </w:rPr>
              <w:t xml:space="preserve">Sections 16 and 66 of the Planning (Listed Buildings and Conservation Areas) Act 1990, </w:t>
            </w:r>
            <w:r w:rsidR="0047348C">
              <w:rPr>
                <w:rFonts w:ascii="Calibri" w:hAnsi="Calibri"/>
                <w:bCs/>
                <w:iCs/>
                <w:szCs w:val="22"/>
              </w:rPr>
              <w:t xml:space="preserve">Key Statement EN5 and Policy DME4 of the Ribble Valley Core Strategy, and </w:t>
            </w:r>
            <w:r w:rsidR="00362CA3">
              <w:rPr>
                <w:rFonts w:ascii="Calibri" w:hAnsi="Calibri"/>
                <w:bCs/>
                <w:iCs/>
                <w:szCs w:val="22"/>
              </w:rPr>
              <w:t>Paragraphs 205 and 208 of the National Planning Policy Framework</w:t>
            </w:r>
            <w:r w:rsidR="0047348C">
              <w:rPr>
                <w:rFonts w:ascii="Calibri" w:hAnsi="Calibri"/>
                <w:bCs/>
                <w:iCs/>
                <w:szCs w:val="22"/>
              </w:rPr>
              <w:t>.</w:t>
            </w:r>
          </w:p>
          <w:p w14:paraId="37C8E21D" w14:textId="77777777" w:rsidR="0034343F" w:rsidRDefault="0034343F" w:rsidP="00FC5EF8">
            <w:pPr>
              <w:jc w:val="both"/>
              <w:rPr>
                <w:rFonts w:ascii="Calibri" w:hAnsi="Calibri"/>
                <w:bCs/>
                <w:szCs w:val="22"/>
              </w:rPr>
            </w:pPr>
          </w:p>
          <w:p w14:paraId="3097396C" w14:textId="10C61707" w:rsidR="0034343F" w:rsidRDefault="0034343F" w:rsidP="00FC5EF8">
            <w:pPr>
              <w:jc w:val="both"/>
              <w:rPr>
                <w:rFonts w:ascii="Calibri" w:hAnsi="Calibri"/>
                <w:bCs/>
                <w:szCs w:val="22"/>
              </w:rPr>
            </w:pPr>
            <w:r>
              <w:rPr>
                <w:rFonts w:ascii="Calibri" w:hAnsi="Calibri"/>
                <w:bCs/>
                <w:szCs w:val="22"/>
              </w:rPr>
              <w:t>As such, for the above reasons and having regard to all material considerations and matters raised</w:t>
            </w:r>
            <w:r w:rsidR="00362CA3">
              <w:rPr>
                <w:rFonts w:ascii="Calibri" w:hAnsi="Calibri"/>
                <w:bCs/>
                <w:szCs w:val="22"/>
              </w:rPr>
              <w:t xml:space="preserve">, </w:t>
            </w:r>
            <w:r>
              <w:rPr>
                <w:rFonts w:ascii="Calibri" w:hAnsi="Calibri"/>
                <w:bCs/>
                <w:szCs w:val="22"/>
              </w:rPr>
              <w:t>the application is recommended for refusal.</w:t>
            </w:r>
          </w:p>
          <w:p w14:paraId="3A4BD7A7" w14:textId="073A1409" w:rsidR="009F4443" w:rsidRDefault="009F4443" w:rsidP="00FC5EF8">
            <w:pPr>
              <w:pStyle w:val="Header"/>
              <w:tabs>
                <w:tab w:val="clear" w:pos="4153"/>
                <w:tab w:val="clear" w:pos="8306"/>
              </w:tabs>
              <w:contextualSpacing/>
              <w:jc w:val="both"/>
              <w:rPr>
                <w:rFonts w:ascii="Calibri" w:hAnsi="Calibri"/>
                <w:b/>
                <w:szCs w:val="22"/>
              </w:rPr>
            </w:pPr>
          </w:p>
        </w:tc>
      </w:tr>
      <w:tr w:rsidR="00C0704D"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C7314E9" w:rsidR="00C0704D" w:rsidRPr="00D2449B" w:rsidRDefault="00F157AD" w:rsidP="00CD2CEF">
            <w:pPr>
              <w:rPr>
                <w:rFonts w:ascii="Calibri" w:hAnsi="Calibri"/>
                <w:bCs/>
                <w:szCs w:val="22"/>
              </w:rPr>
            </w:pPr>
            <w:r>
              <w:rPr>
                <w:rFonts w:ascii="Calibri" w:hAnsi="Calibri"/>
                <w:bCs/>
                <w:szCs w:val="22"/>
              </w:rPr>
              <w:t xml:space="preserve">That </w:t>
            </w:r>
            <w:r w:rsidR="00052BCB">
              <w:rPr>
                <w:rFonts w:ascii="Calibri" w:hAnsi="Calibri"/>
                <w:bCs/>
                <w:szCs w:val="22"/>
              </w:rPr>
              <w:t>Listed Building</w:t>
            </w:r>
            <w:r>
              <w:rPr>
                <w:rFonts w:ascii="Calibri" w:hAnsi="Calibri"/>
                <w:bCs/>
                <w:szCs w:val="22"/>
              </w:rPr>
              <w:t xml:space="preserve"> </w:t>
            </w:r>
            <w:r w:rsidR="00052BCB">
              <w:rPr>
                <w:rFonts w:ascii="Calibri" w:hAnsi="Calibri"/>
                <w:bCs/>
                <w:szCs w:val="22"/>
              </w:rPr>
              <w:t>C</w:t>
            </w:r>
            <w:r>
              <w:rPr>
                <w:rFonts w:ascii="Calibri" w:hAnsi="Calibri"/>
                <w:bCs/>
                <w:szCs w:val="22"/>
              </w:rPr>
              <w:t>onsent be refused for the following reason(s):</w:t>
            </w:r>
          </w:p>
        </w:tc>
      </w:tr>
      <w:tr w:rsidR="00F157AD" w:rsidRPr="00D2449B" w14:paraId="0E53B5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177294" w14:textId="27732970" w:rsidR="00F157AD" w:rsidRPr="00D2449B" w:rsidRDefault="00F157AD" w:rsidP="00F157AD">
            <w:pPr>
              <w:jc w:val="center"/>
              <w:rPr>
                <w:rFonts w:ascii="Calibri" w:hAnsi="Calibri"/>
                <w:b/>
                <w:szCs w:val="22"/>
              </w:rPr>
            </w:pPr>
            <w:r>
              <w:rPr>
                <w:rFonts w:ascii="Calibri" w:hAnsi="Calibri"/>
                <w:b/>
                <w:szCs w:val="22"/>
              </w:rPr>
              <w:t>01:</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9398A4" w14:textId="5DE2C459" w:rsidR="00F157AD" w:rsidRPr="00D2449B" w:rsidRDefault="00F157AD" w:rsidP="003A24D6">
            <w:pPr>
              <w:jc w:val="both"/>
              <w:rPr>
                <w:rFonts w:ascii="Calibri" w:hAnsi="Calibri"/>
                <w:bCs/>
                <w:szCs w:val="22"/>
              </w:rPr>
            </w:pPr>
            <w:r>
              <w:rPr>
                <w:rFonts w:ascii="Calibri" w:hAnsi="Calibri"/>
                <w:bCs/>
                <w:szCs w:val="22"/>
              </w:rPr>
              <w:t xml:space="preserve">The proposed development by virtue of </w:t>
            </w:r>
            <w:r w:rsidR="003A24D6">
              <w:rPr>
                <w:rFonts w:ascii="Calibri" w:hAnsi="Calibri"/>
                <w:bCs/>
                <w:szCs w:val="22"/>
              </w:rPr>
              <w:t xml:space="preserve">the loss of original plan form, size, scale, </w:t>
            </w:r>
            <w:r>
              <w:rPr>
                <w:rFonts w:ascii="Calibri" w:hAnsi="Calibri"/>
                <w:bCs/>
                <w:szCs w:val="22"/>
              </w:rPr>
              <w:t xml:space="preserve">and use of modern materials would have a harmful impact upon the Grade II Listed Building. As such, the proposal fails to meet the requirements of </w:t>
            </w:r>
            <w:r w:rsidR="00B14076">
              <w:rPr>
                <w:rFonts w:ascii="Calibri" w:hAnsi="Calibri"/>
                <w:bCs/>
                <w:szCs w:val="22"/>
              </w:rPr>
              <w:t>Sections 16 and 66 of the Planning (Listed Buildings and Conservation Areas) Act 1990</w:t>
            </w:r>
            <w:r w:rsidR="0047348C">
              <w:rPr>
                <w:rFonts w:ascii="Calibri" w:hAnsi="Calibri"/>
                <w:bCs/>
                <w:szCs w:val="22"/>
              </w:rPr>
              <w:t xml:space="preserve">Key </w:t>
            </w:r>
            <w:r w:rsidR="0047348C">
              <w:rPr>
                <w:rFonts w:ascii="Calibri" w:hAnsi="Calibri"/>
                <w:bCs/>
                <w:szCs w:val="22"/>
              </w:rPr>
              <w:lastRenderedPageBreak/>
              <w:t>Statement EN5 and Policy DME4 of the Ribble Valley Core Strategy (2008-2028)</w:t>
            </w:r>
            <w:r w:rsidR="00B14076">
              <w:rPr>
                <w:rFonts w:ascii="Calibri" w:hAnsi="Calibri"/>
                <w:bCs/>
                <w:szCs w:val="22"/>
              </w:rPr>
              <w:t xml:space="preserve"> </w:t>
            </w:r>
            <w:r w:rsidR="0047348C">
              <w:rPr>
                <w:rFonts w:ascii="Calibri" w:hAnsi="Calibri"/>
                <w:bCs/>
                <w:szCs w:val="22"/>
              </w:rPr>
              <w:t xml:space="preserve">and </w:t>
            </w:r>
            <w:r w:rsidR="003A24D6">
              <w:rPr>
                <w:rFonts w:ascii="Calibri" w:hAnsi="Calibri"/>
                <w:bCs/>
                <w:szCs w:val="22"/>
              </w:rPr>
              <w:t>Paragraphs 205 and 208 of the National Planning Policy Framework</w:t>
            </w:r>
            <w:r w:rsidR="0047348C">
              <w:rPr>
                <w:rFonts w:ascii="Calibri" w:hAnsi="Calibri"/>
                <w:bCs/>
                <w:szCs w:val="22"/>
              </w:rPr>
              <w:t>.</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2BCB"/>
    <w:rsid w:val="00065833"/>
    <w:rsid w:val="000A6867"/>
    <w:rsid w:val="000B5CB5"/>
    <w:rsid w:val="000C21BF"/>
    <w:rsid w:val="000D4FCB"/>
    <w:rsid w:val="000E5A45"/>
    <w:rsid w:val="000F1F3B"/>
    <w:rsid w:val="00130035"/>
    <w:rsid w:val="00163319"/>
    <w:rsid w:val="001D4F7A"/>
    <w:rsid w:val="00250879"/>
    <w:rsid w:val="00282E3A"/>
    <w:rsid w:val="0029334A"/>
    <w:rsid w:val="002954E5"/>
    <w:rsid w:val="00295A61"/>
    <w:rsid w:val="002A01CF"/>
    <w:rsid w:val="002B323F"/>
    <w:rsid w:val="002C5DEA"/>
    <w:rsid w:val="002C6277"/>
    <w:rsid w:val="002F2580"/>
    <w:rsid w:val="00321B6E"/>
    <w:rsid w:val="0034343F"/>
    <w:rsid w:val="00345D2E"/>
    <w:rsid w:val="00362CA3"/>
    <w:rsid w:val="0037075A"/>
    <w:rsid w:val="00375556"/>
    <w:rsid w:val="003A24D6"/>
    <w:rsid w:val="003C5B28"/>
    <w:rsid w:val="00406EBD"/>
    <w:rsid w:val="00440CB6"/>
    <w:rsid w:val="0046548C"/>
    <w:rsid w:val="0047348C"/>
    <w:rsid w:val="004947BB"/>
    <w:rsid w:val="00497407"/>
    <w:rsid w:val="004A5EA9"/>
    <w:rsid w:val="004C2434"/>
    <w:rsid w:val="004D4326"/>
    <w:rsid w:val="004E1D72"/>
    <w:rsid w:val="004F0649"/>
    <w:rsid w:val="00510FA2"/>
    <w:rsid w:val="00553071"/>
    <w:rsid w:val="00556ECD"/>
    <w:rsid w:val="0058183B"/>
    <w:rsid w:val="0059215A"/>
    <w:rsid w:val="005B7301"/>
    <w:rsid w:val="005E1C6C"/>
    <w:rsid w:val="005E65DF"/>
    <w:rsid w:val="005F1A36"/>
    <w:rsid w:val="006026F0"/>
    <w:rsid w:val="00610DE6"/>
    <w:rsid w:val="00645F2B"/>
    <w:rsid w:val="00692B60"/>
    <w:rsid w:val="00696B04"/>
    <w:rsid w:val="006A71AD"/>
    <w:rsid w:val="006B047E"/>
    <w:rsid w:val="006B3337"/>
    <w:rsid w:val="006C2BFA"/>
    <w:rsid w:val="006F6849"/>
    <w:rsid w:val="0070054B"/>
    <w:rsid w:val="00761D2C"/>
    <w:rsid w:val="00773A66"/>
    <w:rsid w:val="00776AE2"/>
    <w:rsid w:val="00782DE8"/>
    <w:rsid w:val="007B3CB4"/>
    <w:rsid w:val="007C791C"/>
    <w:rsid w:val="007D0CEC"/>
    <w:rsid w:val="007D7DF4"/>
    <w:rsid w:val="007E0D23"/>
    <w:rsid w:val="007F16D6"/>
    <w:rsid w:val="00811771"/>
    <w:rsid w:val="00824DB6"/>
    <w:rsid w:val="00837F4F"/>
    <w:rsid w:val="008542DE"/>
    <w:rsid w:val="00877C8F"/>
    <w:rsid w:val="00877F92"/>
    <w:rsid w:val="008A28C8"/>
    <w:rsid w:val="008C318D"/>
    <w:rsid w:val="00907906"/>
    <w:rsid w:val="009143A4"/>
    <w:rsid w:val="009764E1"/>
    <w:rsid w:val="009840A7"/>
    <w:rsid w:val="009B775C"/>
    <w:rsid w:val="009C1F22"/>
    <w:rsid w:val="009E56D4"/>
    <w:rsid w:val="009F4443"/>
    <w:rsid w:val="00A12810"/>
    <w:rsid w:val="00A42E82"/>
    <w:rsid w:val="00A579BB"/>
    <w:rsid w:val="00A63D55"/>
    <w:rsid w:val="00A74F22"/>
    <w:rsid w:val="00A95D89"/>
    <w:rsid w:val="00AF2180"/>
    <w:rsid w:val="00B14076"/>
    <w:rsid w:val="00B35C91"/>
    <w:rsid w:val="00B5479B"/>
    <w:rsid w:val="00B93EB5"/>
    <w:rsid w:val="00BB5D15"/>
    <w:rsid w:val="00BD3F03"/>
    <w:rsid w:val="00C0704D"/>
    <w:rsid w:val="00C12D83"/>
    <w:rsid w:val="00C23016"/>
    <w:rsid w:val="00C25722"/>
    <w:rsid w:val="00C42F04"/>
    <w:rsid w:val="00C618DB"/>
    <w:rsid w:val="00C967F6"/>
    <w:rsid w:val="00CB4A1B"/>
    <w:rsid w:val="00D11007"/>
    <w:rsid w:val="00D15FF3"/>
    <w:rsid w:val="00D17EB1"/>
    <w:rsid w:val="00D2449B"/>
    <w:rsid w:val="00D54E67"/>
    <w:rsid w:val="00DB1FA4"/>
    <w:rsid w:val="00DD3288"/>
    <w:rsid w:val="00DD62F6"/>
    <w:rsid w:val="00E42599"/>
    <w:rsid w:val="00E46243"/>
    <w:rsid w:val="00E66534"/>
    <w:rsid w:val="00E70027"/>
    <w:rsid w:val="00E72F6C"/>
    <w:rsid w:val="00EA09F9"/>
    <w:rsid w:val="00EC23C7"/>
    <w:rsid w:val="00ED00B7"/>
    <w:rsid w:val="00EF44E6"/>
    <w:rsid w:val="00F056A7"/>
    <w:rsid w:val="00F157AD"/>
    <w:rsid w:val="00F205A2"/>
    <w:rsid w:val="00FC5EF8"/>
    <w:rsid w:val="00FD6AE3"/>
    <w:rsid w:val="00FE7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2461">
      <w:bodyDiv w:val="1"/>
      <w:marLeft w:val="0"/>
      <w:marRight w:val="0"/>
      <w:marTop w:val="0"/>
      <w:marBottom w:val="0"/>
      <w:divBdr>
        <w:top w:val="none" w:sz="0" w:space="0" w:color="auto"/>
        <w:left w:val="none" w:sz="0" w:space="0" w:color="auto"/>
        <w:bottom w:val="none" w:sz="0" w:space="0" w:color="auto"/>
        <w:right w:val="none" w:sz="0" w:space="0" w:color="auto"/>
      </w:divBdr>
    </w:div>
    <w:div w:id="152919719">
      <w:bodyDiv w:val="1"/>
      <w:marLeft w:val="0"/>
      <w:marRight w:val="0"/>
      <w:marTop w:val="0"/>
      <w:marBottom w:val="0"/>
      <w:divBdr>
        <w:top w:val="none" w:sz="0" w:space="0" w:color="auto"/>
        <w:left w:val="none" w:sz="0" w:space="0" w:color="auto"/>
        <w:bottom w:val="none" w:sz="0" w:space="0" w:color="auto"/>
        <w:right w:val="none" w:sz="0" w:space="0" w:color="auto"/>
      </w:divBdr>
    </w:div>
    <w:div w:id="458569784">
      <w:bodyDiv w:val="1"/>
      <w:marLeft w:val="0"/>
      <w:marRight w:val="0"/>
      <w:marTop w:val="0"/>
      <w:marBottom w:val="0"/>
      <w:divBdr>
        <w:top w:val="none" w:sz="0" w:space="0" w:color="auto"/>
        <w:left w:val="none" w:sz="0" w:space="0" w:color="auto"/>
        <w:bottom w:val="none" w:sz="0" w:space="0" w:color="auto"/>
        <w:right w:val="none" w:sz="0" w:space="0" w:color="auto"/>
      </w:divBdr>
    </w:div>
    <w:div w:id="726228186">
      <w:bodyDiv w:val="1"/>
      <w:marLeft w:val="0"/>
      <w:marRight w:val="0"/>
      <w:marTop w:val="0"/>
      <w:marBottom w:val="0"/>
      <w:divBdr>
        <w:top w:val="none" w:sz="0" w:space="0" w:color="auto"/>
        <w:left w:val="none" w:sz="0" w:space="0" w:color="auto"/>
        <w:bottom w:val="none" w:sz="0" w:space="0" w:color="auto"/>
        <w:right w:val="none" w:sz="0" w:space="0" w:color="auto"/>
      </w:divBdr>
    </w:div>
    <w:div w:id="879052098">
      <w:bodyDiv w:val="1"/>
      <w:marLeft w:val="0"/>
      <w:marRight w:val="0"/>
      <w:marTop w:val="0"/>
      <w:marBottom w:val="0"/>
      <w:divBdr>
        <w:top w:val="none" w:sz="0" w:space="0" w:color="auto"/>
        <w:left w:val="none" w:sz="0" w:space="0" w:color="auto"/>
        <w:bottom w:val="none" w:sz="0" w:space="0" w:color="auto"/>
        <w:right w:val="none" w:sz="0" w:space="0" w:color="auto"/>
      </w:divBdr>
    </w:div>
    <w:div w:id="1783651781">
      <w:bodyDiv w:val="1"/>
      <w:marLeft w:val="0"/>
      <w:marRight w:val="0"/>
      <w:marTop w:val="0"/>
      <w:marBottom w:val="0"/>
      <w:divBdr>
        <w:top w:val="none" w:sz="0" w:space="0" w:color="auto"/>
        <w:left w:val="none" w:sz="0" w:space="0" w:color="auto"/>
        <w:bottom w:val="none" w:sz="0" w:space="0" w:color="auto"/>
        <w:right w:val="none" w:sz="0" w:space="0" w:color="auto"/>
      </w:divBdr>
    </w:div>
    <w:div w:id="193189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2024-06-27T08:14:00Z</cp:lastPrinted>
  <dcterms:created xsi:type="dcterms:W3CDTF">2024-06-27T08:34:00Z</dcterms:created>
  <dcterms:modified xsi:type="dcterms:W3CDTF">2024-06-27T08:34:00Z</dcterms:modified>
</cp:coreProperties>
</file>