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
        <w:gridCol w:w="450"/>
        <w:gridCol w:w="900"/>
        <w:gridCol w:w="198"/>
        <w:gridCol w:w="443"/>
        <w:gridCol w:w="439"/>
        <w:gridCol w:w="263"/>
        <w:gridCol w:w="767"/>
        <w:gridCol w:w="1278"/>
        <w:gridCol w:w="519"/>
        <w:gridCol w:w="579"/>
        <w:gridCol w:w="428"/>
        <w:gridCol w:w="602"/>
        <w:gridCol w:w="1030"/>
        <w:gridCol w:w="1061"/>
      </w:tblGrid>
      <w:tr w:rsidR="008C75E4" w:rsidRPr="008C75E4" w14:paraId="6AABF38D" w14:textId="77777777" w:rsidTr="00ED077E">
        <w:trPr>
          <w:jc w:val="center"/>
        </w:trPr>
        <w:tc>
          <w:tcPr>
            <w:tcW w:w="9803" w:type="dxa"/>
            <w:gridSpan w:val="15"/>
            <w:tcMar>
              <w:top w:w="57" w:type="dxa"/>
              <w:bottom w:w="57" w:type="dxa"/>
            </w:tcMar>
          </w:tcPr>
          <w:p w14:paraId="6626698B"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1FC07735" w14:textId="77777777" w:rsidTr="00ED077E">
        <w:trPr>
          <w:trHeight w:val="535"/>
          <w:jc w:val="center"/>
        </w:trPr>
        <w:tc>
          <w:tcPr>
            <w:tcW w:w="1296" w:type="dxa"/>
            <w:gridSpan w:val="2"/>
            <w:tcMar>
              <w:top w:w="57" w:type="dxa"/>
              <w:bottom w:w="57" w:type="dxa"/>
            </w:tcMar>
          </w:tcPr>
          <w:p w14:paraId="61AB644D" w14:textId="77777777" w:rsidR="004936A6" w:rsidRDefault="004936A6" w:rsidP="00D2449B">
            <w:pPr>
              <w:jc w:val="center"/>
              <w:rPr>
                <w:rFonts w:ascii="Calibri" w:hAnsi="Calibri"/>
                <w:b/>
                <w:szCs w:val="22"/>
              </w:rPr>
            </w:pPr>
            <w:r w:rsidRPr="008C75E4">
              <w:rPr>
                <w:rFonts w:ascii="Calibri" w:hAnsi="Calibri"/>
                <w:b/>
                <w:szCs w:val="22"/>
              </w:rPr>
              <w:t>Signed:</w:t>
            </w:r>
          </w:p>
          <w:p w14:paraId="0733D663" w14:textId="77777777" w:rsidR="00454754" w:rsidRPr="008C75E4" w:rsidRDefault="00454754" w:rsidP="00D2449B">
            <w:pPr>
              <w:jc w:val="center"/>
              <w:rPr>
                <w:rFonts w:ascii="Calibri" w:hAnsi="Calibri"/>
                <w:b/>
                <w:szCs w:val="22"/>
              </w:rPr>
            </w:pPr>
          </w:p>
        </w:tc>
        <w:tc>
          <w:tcPr>
            <w:tcW w:w="900" w:type="dxa"/>
          </w:tcPr>
          <w:p w14:paraId="6AB44378"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3"/>
          </w:tcPr>
          <w:p w14:paraId="208D3294"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gridSpan w:val="2"/>
          </w:tcPr>
          <w:p w14:paraId="63DA256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2D94E10" w14:textId="5AD4B26C" w:rsidR="004936A6" w:rsidRPr="004D33C8" w:rsidRDefault="00D43724" w:rsidP="004452BE">
            <w:pPr>
              <w:jc w:val="center"/>
              <w:rPr>
                <w:rFonts w:ascii="Calibri" w:hAnsi="Calibri"/>
                <w:szCs w:val="22"/>
              </w:rPr>
            </w:pPr>
            <w:r>
              <w:rPr>
                <w:rFonts w:ascii="Calibri" w:hAnsi="Calibri"/>
                <w:szCs w:val="22"/>
              </w:rPr>
              <w:t>6</w:t>
            </w:r>
            <w:r w:rsidR="004452BE">
              <w:rPr>
                <w:rFonts w:ascii="Calibri" w:hAnsi="Calibri"/>
                <w:szCs w:val="22"/>
              </w:rPr>
              <w:t>/8/24</w:t>
            </w:r>
          </w:p>
        </w:tc>
        <w:tc>
          <w:tcPr>
            <w:tcW w:w="1098" w:type="dxa"/>
            <w:gridSpan w:val="2"/>
          </w:tcPr>
          <w:p w14:paraId="2594826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4D5B3A93" w14:textId="5FC98BB9" w:rsidR="004936A6" w:rsidRPr="008C75E4" w:rsidRDefault="005E5F21" w:rsidP="00D2449B">
            <w:pPr>
              <w:jc w:val="center"/>
              <w:rPr>
                <w:rFonts w:ascii="Calibri" w:hAnsi="Calibri"/>
                <w:b/>
                <w:szCs w:val="22"/>
              </w:rPr>
            </w:pPr>
            <w:r>
              <w:rPr>
                <w:rFonts w:ascii="Calibri" w:hAnsi="Calibri"/>
                <w:b/>
                <w:szCs w:val="22"/>
              </w:rPr>
              <w:t>LH</w:t>
            </w:r>
          </w:p>
        </w:tc>
        <w:tc>
          <w:tcPr>
            <w:tcW w:w="1030" w:type="dxa"/>
          </w:tcPr>
          <w:p w14:paraId="3FE30A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04071BC1" w14:textId="56DB9BB9" w:rsidR="004936A6" w:rsidRPr="008C75E4" w:rsidRDefault="005E5F21" w:rsidP="00D2449B">
            <w:pPr>
              <w:jc w:val="center"/>
              <w:rPr>
                <w:rFonts w:ascii="Calibri" w:hAnsi="Calibri"/>
                <w:b/>
                <w:szCs w:val="22"/>
              </w:rPr>
            </w:pPr>
            <w:r>
              <w:rPr>
                <w:rFonts w:ascii="Calibri" w:hAnsi="Calibri"/>
                <w:b/>
                <w:szCs w:val="22"/>
              </w:rPr>
              <w:t>7/8/24</w:t>
            </w:r>
          </w:p>
        </w:tc>
      </w:tr>
      <w:tr w:rsidR="008C75E4" w:rsidRPr="008C75E4" w14:paraId="58AF3D69" w14:textId="77777777" w:rsidTr="00ED077E">
        <w:trPr>
          <w:jc w:val="center"/>
        </w:trPr>
        <w:tc>
          <w:tcPr>
            <w:tcW w:w="9803" w:type="dxa"/>
            <w:gridSpan w:val="15"/>
            <w:tcBorders>
              <w:left w:val="nil"/>
              <w:right w:val="nil"/>
            </w:tcBorders>
            <w:tcMar>
              <w:top w:w="57" w:type="dxa"/>
              <w:bottom w:w="57" w:type="dxa"/>
            </w:tcMar>
          </w:tcPr>
          <w:p w14:paraId="0B1C532B" w14:textId="77777777" w:rsidR="004A5EA9" w:rsidRPr="008C75E4" w:rsidRDefault="004A5EA9" w:rsidP="004A5EA9">
            <w:pPr>
              <w:jc w:val="center"/>
              <w:rPr>
                <w:rFonts w:ascii="Calibri" w:hAnsi="Calibri"/>
                <w:b/>
                <w:szCs w:val="22"/>
              </w:rPr>
            </w:pPr>
          </w:p>
        </w:tc>
      </w:tr>
      <w:tr w:rsidR="008C75E4" w:rsidRPr="008C75E4" w14:paraId="638A99C8" w14:textId="77777777" w:rsidTr="00ED077E">
        <w:trPr>
          <w:jc w:val="center"/>
        </w:trPr>
        <w:tc>
          <w:tcPr>
            <w:tcW w:w="2394" w:type="dxa"/>
            <w:gridSpan w:val="4"/>
            <w:tcMar>
              <w:top w:w="57" w:type="dxa"/>
              <w:bottom w:w="57" w:type="dxa"/>
            </w:tcMar>
          </w:tcPr>
          <w:p w14:paraId="55D3C61A"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63AEEF" w14:textId="0CC6D0FB" w:rsidR="004A5EA9" w:rsidRPr="008C75E4" w:rsidRDefault="005A087C" w:rsidP="008F6B58">
            <w:pPr>
              <w:rPr>
                <w:rFonts w:ascii="Calibri" w:hAnsi="Calibri"/>
                <w:szCs w:val="22"/>
              </w:rPr>
            </w:pPr>
            <w:r>
              <w:rPr>
                <w:rFonts w:ascii="Calibri" w:hAnsi="Calibri"/>
                <w:szCs w:val="22"/>
              </w:rPr>
              <w:t>3/</w:t>
            </w:r>
            <w:r w:rsidR="004452BE">
              <w:rPr>
                <w:rFonts w:ascii="Calibri" w:hAnsi="Calibri"/>
                <w:szCs w:val="22"/>
              </w:rPr>
              <w:t>2024/0321</w:t>
            </w:r>
          </w:p>
        </w:tc>
        <w:tc>
          <w:tcPr>
            <w:tcW w:w="3700" w:type="dxa"/>
            <w:gridSpan w:val="5"/>
            <w:vMerge w:val="restart"/>
            <w:tcMar>
              <w:top w:w="57" w:type="dxa"/>
              <w:bottom w:w="57" w:type="dxa"/>
            </w:tcMar>
          </w:tcPr>
          <w:p w14:paraId="633AD858"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D2D11E3" wp14:editId="35140F6D">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710FC7C5" w14:textId="77777777" w:rsidTr="00ED077E">
        <w:trPr>
          <w:jc w:val="center"/>
        </w:trPr>
        <w:tc>
          <w:tcPr>
            <w:tcW w:w="2394" w:type="dxa"/>
            <w:gridSpan w:val="4"/>
            <w:tcMar>
              <w:top w:w="57" w:type="dxa"/>
              <w:bottom w:w="57" w:type="dxa"/>
            </w:tcMar>
          </w:tcPr>
          <w:p w14:paraId="573A8A7C"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7BDFA869" w14:textId="38BB306E" w:rsidR="004A5EA9" w:rsidRPr="008C75E4" w:rsidRDefault="004452BE" w:rsidP="002C6277">
            <w:pPr>
              <w:rPr>
                <w:rFonts w:ascii="Calibri" w:hAnsi="Calibri"/>
                <w:szCs w:val="22"/>
              </w:rPr>
            </w:pPr>
            <w:r>
              <w:rPr>
                <w:rFonts w:ascii="Calibri" w:hAnsi="Calibri"/>
                <w:szCs w:val="22"/>
              </w:rPr>
              <w:t>15/7/24</w:t>
            </w:r>
            <w:r w:rsidR="00D43724">
              <w:rPr>
                <w:rFonts w:ascii="Calibri" w:hAnsi="Calibri"/>
                <w:szCs w:val="22"/>
              </w:rPr>
              <w:t xml:space="preserve"> (AM) &amp; 5/8/24 (EVE)</w:t>
            </w:r>
          </w:p>
        </w:tc>
        <w:tc>
          <w:tcPr>
            <w:tcW w:w="3700" w:type="dxa"/>
            <w:gridSpan w:val="5"/>
            <w:vMerge/>
            <w:tcMar>
              <w:top w:w="57" w:type="dxa"/>
              <w:bottom w:w="57" w:type="dxa"/>
            </w:tcMar>
          </w:tcPr>
          <w:p w14:paraId="4E4CBD87" w14:textId="77777777" w:rsidR="004A5EA9" w:rsidRPr="008C75E4" w:rsidRDefault="004A5EA9">
            <w:pPr>
              <w:rPr>
                <w:rFonts w:ascii="Calibri" w:hAnsi="Calibri"/>
                <w:szCs w:val="22"/>
              </w:rPr>
            </w:pPr>
          </w:p>
        </w:tc>
      </w:tr>
      <w:tr w:rsidR="008C75E4" w:rsidRPr="008C75E4" w14:paraId="685022B1" w14:textId="77777777" w:rsidTr="00ED077E">
        <w:trPr>
          <w:jc w:val="center"/>
        </w:trPr>
        <w:tc>
          <w:tcPr>
            <w:tcW w:w="2394" w:type="dxa"/>
            <w:gridSpan w:val="4"/>
            <w:tcMar>
              <w:top w:w="57" w:type="dxa"/>
              <w:bottom w:w="57" w:type="dxa"/>
            </w:tcMar>
          </w:tcPr>
          <w:p w14:paraId="056FC7B5"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2C4D170A"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24799B86" w14:textId="77777777" w:rsidR="004A5EA9" w:rsidRPr="008C75E4" w:rsidRDefault="004A5EA9">
            <w:pPr>
              <w:rPr>
                <w:rFonts w:ascii="Calibri" w:hAnsi="Calibri"/>
                <w:szCs w:val="22"/>
              </w:rPr>
            </w:pPr>
          </w:p>
        </w:tc>
      </w:tr>
      <w:tr w:rsidR="00FD334A" w:rsidRPr="008C75E4" w14:paraId="38C9DD2E" w14:textId="77777777" w:rsidTr="00ED077E">
        <w:trPr>
          <w:jc w:val="center"/>
        </w:trPr>
        <w:tc>
          <w:tcPr>
            <w:tcW w:w="6103" w:type="dxa"/>
            <w:gridSpan w:val="10"/>
            <w:tcBorders>
              <w:bottom w:val="single" w:sz="4" w:space="0" w:color="BFBFBF" w:themeColor="background1" w:themeShade="BF"/>
            </w:tcBorders>
            <w:tcMar>
              <w:top w:w="57" w:type="dxa"/>
              <w:bottom w:w="57" w:type="dxa"/>
            </w:tcMar>
          </w:tcPr>
          <w:p w14:paraId="654FD749"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302F67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3B52E9B" w14:textId="0A87876E" w:rsidR="00FD334A" w:rsidRPr="00ED04E0" w:rsidRDefault="00ED04E0" w:rsidP="00ED04E0">
            <w:pPr>
              <w:jc w:val="center"/>
              <w:rPr>
                <w:rFonts w:ascii="Calibri" w:hAnsi="Calibri"/>
                <w:b/>
                <w:bCs/>
                <w:szCs w:val="22"/>
              </w:rPr>
            </w:pPr>
            <w:r>
              <w:rPr>
                <w:rFonts w:ascii="Calibri" w:hAnsi="Calibri"/>
                <w:b/>
                <w:bCs/>
                <w:szCs w:val="22"/>
              </w:rPr>
              <w:t>REFUSAL</w:t>
            </w:r>
          </w:p>
        </w:tc>
      </w:tr>
      <w:tr w:rsidR="008C75E4" w:rsidRPr="008C75E4" w14:paraId="60B962F0" w14:textId="77777777" w:rsidTr="00ED077E">
        <w:trPr>
          <w:trHeight w:hRule="exact" w:val="144"/>
          <w:jc w:val="center"/>
        </w:trPr>
        <w:tc>
          <w:tcPr>
            <w:tcW w:w="9803" w:type="dxa"/>
            <w:gridSpan w:val="15"/>
            <w:tcBorders>
              <w:left w:val="nil"/>
              <w:right w:val="nil"/>
            </w:tcBorders>
            <w:tcMar>
              <w:top w:w="57" w:type="dxa"/>
              <w:bottom w:w="57" w:type="dxa"/>
            </w:tcMar>
          </w:tcPr>
          <w:p w14:paraId="333704A1" w14:textId="77777777" w:rsidR="004A5EA9" w:rsidRPr="00504440" w:rsidRDefault="004A5EA9" w:rsidP="007E0D23">
            <w:pPr>
              <w:tabs>
                <w:tab w:val="left" w:pos="4007"/>
              </w:tabs>
              <w:rPr>
                <w:rFonts w:ascii="Calibri" w:hAnsi="Calibri"/>
                <w:b/>
                <w:sz w:val="4"/>
                <w:szCs w:val="4"/>
              </w:rPr>
            </w:pPr>
          </w:p>
        </w:tc>
      </w:tr>
      <w:tr w:rsidR="008C75E4" w:rsidRPr="008C75E4" w14:paraId="01EA646D" w14:textId="77777777" w:rsidTr="00ED04E0">
        <w:trPr>
          <w:jc w:val="center"/>
        </w:trPr>
        <w:tc>
          <w:tcPr>
            <w:tcW w:w="3539" w:type="dxa"/>
            <w:gridSpan w:val="7"/>
            <w:tcMar>
              <w:top w:w="57" w:type="dxa"/>
              <w:bottom w:w="57" w:type="dxa"/>
            </w:tcMar>
          </w:tcPr>
          <w:p w14:paraId="431571D8"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264" w:type="dxa"/>
            <w:gridSpan w:val="8"/>
          </w:tcPr>
          <w:p w14:paraId="28BD5173" w14:textId="79448065" w:rsidR="006E64C9" w:rsidRPr="008C75E4" w:rsidRDefault="004452BE">
            <w:pPr>
              <w:rPr>
                <w:rFonts w:ascii="Calibri" w:hAnsi="Calibri"/>
                <w:szCs w:val="22"/>
              </w:rPr>
            </w:pPr>
            <w:r w:rsidRPr="004452BE">
              <w:rPr>
                <w:rFonts w:ascii="Calibri" w:hAnsi="Calibri"/>
                <w:szCs w:val="22"/>
              </w:rPr>
              <w:t>Advertisement consent for regularisation of five unauthorised, illuminated steel directional signs with vinyl banners and wooden posts 1m high 1.4m wide x 2.1m long.</w:t>
            </w:r>
          </w:p>
        </w:tc>
      </w:tr>
      <w:tr w:rsidR="008C75E4" w:rsidRPr="008C75E4" w14:paraId="74E50DF9" w14:textId="77777777" w:rsidTr="00ED04E0">
        <w:trPr>
          <w:jc w:val="center"/>
        </w:trPr>
        <w:tc>
          <w:tcPr>
            <w:tcW w:w="3539" w:type="dxa"/>
            <w:gridSpan w:val="7"/>
            <w:tcBorders>
              <w:bottom w:val="single" w:sz="4" w:space="0" w:color="BFBFBF" w:themeColor="background1" w:themeShade="BF"/>
            </w:tcBorders>
            <w:tcMar>
              <w:top w:w="57" w:type="dxa"/>
              <w:bottom w:w="57" w:type="dxa"/>
            </w:tcMar>
          </w:tcPr>
          <w:p w14:paraId="181B4D31"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264" w:type="dxa"/>
            <w:gridSpan w:val="8"/>
            <w:tcBorders>
              <w:bottom w:val="single" w:sz="4" w:space="0" w:color="BFBFBF" w:themeColor="background1" w:themeShade="BF"/>
            </w:tcBorders>
          </w:tcPr>
          <w:p w14:paraId="6A6D0EFE" w14:textId="482D171F" w:rsidR="002A01CF" w:rsidRPr="004452BE" w:rsidRDefault="004452BE" w:rsidP="00A42E82">
            <w:pPr>
              <w:rPr>
                <w:rFonts w:ascii="Calibri" w:hAnsi="Calibri"/>
                <w:szCs w:val="22"/>
              </w:rPr>
            </w:pPr>
            <w:r w:rsidRPr="004452BE">
              <w:rPr>
                <w:rFonts w:ascii="Calibri" w:hAnsi="Calibri"/>
                <w:szCs w:val="22"/>
              </w:rPr>
              <w:t>1) (Grid ref 371114 442087) at Bashall Barn adjacent the car park on Twitter Lane 2) (Grid ref 371119 441845) in the grass verge on the junction of Back Lane and Twitter Lane 3) (Grid ref 370916 441908) in a field at the junction of Twitter Lane and Birdy Brow 4) (Grid ref 370200 441413) in a field at the junction of Clitheroe Lane, Birdy Brow and Chipping Road 5) (Grid ref 370931 440283) on a grass verge at the junction of Clitheroe Lane and New Lane.</w:t>
            </w:r>
          </w:p>
        </w:tc>
      </w:tr>
      <w:tr w:rsidR="008C75E4" w:rsidRPr="008C75E4" w14:paraId="063C927F" w14:textId="77777777" w:rsidTr="00ED077E">
        <w:trPr>
          <w:trHeight w:hRule="exact" w:val="144"/>
          <w:jc w:val="center"/>
        </w:trPr>
        <w:tc>
          <w:tcPr>
            <w:tcW w:w="9803" w:type="dxa"/>
            <w:gridSpan w:val="15"/>
            <w:tcBorders>
              <w:left w:val="nil"/>
              <w:right w:val="nil"/>
            </w:tcBorders>
            <w:tcMar>
              <w:top w:w="57" w:type="dxa"/>
              <w:bottom w:w="57" w:type="dxa"/>
            </w:tcMar>
          </w:tcPr>
          <w:p w14:paraId="1255F249" w14:textId="77777777" w:rsidR="00A95D89" w:rsidRPr="00504440" w:rsidRDefault="00A95D89" w:rsidP="007E0D23">
            <w:pPr>
              <w:tabs>
                <w:tab w:val="left" w:pos="2667"/>
              </w:tabs>
              <w:rPr>
                <w:rFonts w:ascii="Calibri" w:hAnsi="Calibri"/>
                <w:b/>
                <w:sz w:val="4"/>
                <w:szCs w:val="4"/>
              </w:rPr>
            </w:pPr>
          </w:p>
        </w:tc>
      </w:tr>
      <w:tr w:rsidR="008C75E4" w:rsidRPr="008C75E4" w14:paraId="075B05C0" w14:textId="77777777" w:rsidTr="00ED04E0">
        <w:trPr>
          <w:jc w:val="center"/>
        </w:trPr>
        <w:tc>
          <w:tcPr>
            <w:tcW w:w="3539" w:type="dxa"/>
            <w:gridSpan w:val="7"/>
            <w:tcMar>
              <w:top w:w="57" w:type="dxa"/>
              <w:bottom w:w="57" w:type="dxa"/>
            </w:tcMar>
          </w:tcPr>
          <w:p w14:paraId="5CCCB98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264" w:type="dxa"/>
            <w:gridSpan w:val="8"/>
          </w:tcPr>
          <w:p w14:paraId="34F71E88" w14:textId="77777777" w:rsidR="00C618DB" w:rsidRPr="008C75E4" w:rsidRDefault="00C618DB">
            <w:pPr>
              <w:rPr>
                <w:rFonts w:ascii="Calibri" w:hAnsi="Calibri"/>
                <w:b/>
                <w:szCs w:val="22"/>
              </w:rPr>
            </w:pPr>
            <w:r w:rsidRPr="008C75E4">
              <w:rPr>
                <w:rFonts w:ascii="Calibri" w:hAnsi="Calibri"/>
                <w:b/>
                <w:szCs w:val="22"/>
              </w:rPr>
              <w:t>Parish/Town Council</w:t>
            </w:r>
          </w:p>
        </w:tc>
      </w:tr>
      <w:tr w:rsidR="00ED04E0" w:rsidRPr="008C75E4" w14:paraId="39CE77D5" w14:textId="77777777" w:rsidTr="00ED04E0">
        <w:trPr>
          <w:jc w:val="center"/>
        </w:trPr>
        <w:tc>
          <w:tcPr>
            <w:tcW w:w="3539" w:type="dxa"/>
            <w:gridSpan w:val="7"/>
            <w:tcMar>
              <w:top w:w="57" w:type="dxa"/>
              <w:bottom w:w="57" w:type="dxa"/>
            </w:tcMar>
          </w:tcPr>
          <w:p w14:paraId="130E13C3" w14:textId="148F0F59" w:rsidR="00ED04E0" w:rsidRPr="00ED04E0" w:rsidRDefault="00A10B01">
            <w:pPr>
              <w:rPr>
                <w:rFonts w:ascii="Calibri" w:hAnsi="Calibri"/>
                <w:bCs/>
                <w:szCs w:val="22"/>
              </w:rPr>
            </w:pPr>
            <w:r>
              <w:rPr>
                <w:rFonts w:ascii="Calibri" w:hAnsi="Calibri"/>
                <w:bCs/>
                <w:szCs w:val="22"/>
              </w:rPr>
              <w:t>Bashall Eaves &amp; Mitton</w:t>
            </w:r>
            <w:r w:rsidR="00ED04E0" w:rsidRPr="00ED04E0">
              <w:rPr>
                <w:rFonts w:ascii="Calibri" w:hAnsi="Calibri"/>
                <w:bCs/>
                <w:szCs w:val="22"/>
              </w:rPr>
              <w:t xml:space="preserve"> Parish Council:</w:t>
            </w:r>
          </w:p>
        </w:tc>
        <w:tc>
          <w:tcPr>
            <w:tcW w:w="6264" w:type="dxa"/>
            <w:gridSpan w:val="8"/>
          </w:tcPr>
          <w:p w14:paraId="1E18D5CA" w14:textId="5E8AF3E2" w:rsidR="00ED04E0" w:rsidRPr="00ED04E0" w:rsidRDefault="00A10B01">
            <w:pPr>
              <w:rPr>
                <w:rFonts w:ascii="Calibri" w:hAnsi="Calibri"/>
                <w:bCs/>
                <w:szCs w:val="22"/>
              </w:rPr>
            </w:pPr>
            <w:r>
              <w:rPr>
                <w:rFonts w:ascii="Calibri" w:hAnsi="Calibri"/>
                <w:bCs/>
                <w:szCs w:val="22"/>
              </w:rPr>
              <w:t>Consulted 18/6/24 – no response received.</w:t>
            </w:r>
          </w:p>
        </w:tc>
      </w:tr>
      <w:tr w:rsidR="008C75E4" w:rsidRPr="008C75E4" w14:paraId="7AE60BB5" w14:textId="77777777" w:rsidTr="00ED077E">
        <w:trPr>
          <w:trHeight w:hRule="exact" w:val="144"/>
          <w:jc w:val="center"/>
        </w:trPr>
        <w:tc>
          <w:tcPr>
            <w:tcW w:w="9803" w:type="dxa"/>
            <w:gridSpan w:val="15"/>
            <w:tcBorders>
              <w:left w:val="nil"/>
              <w:right w:val="nil"/>
            </w:tcBorders>
            <w:tcMar>
              <w:top w:w="57" w:type="dxa"/>
              <w:bottom w:w="57" w:type="dxa"/>
            </w:tcMar>
          </w:tcPr>
          <w:p w14:paraId="4D741F6A" w14:textId="77777777" w:rsidR="00C618DB" w:rsidRPr="00504440" w:rsidRDefault="00C618DB" w:rsidP="006126D1">
            <w:pPr>
              <w:jc w:val="both"/>
              <w:rPr>
                <w:rFonts w:ascii="Calibri" w:hAnsi="Calibri"/>
                <w:bCs/>
                <w:sz w:val="4"/>
                <w:szCs w:val="4"/>
              </w:rPr>
            </w:pPr>
          </w:p>
        </w:tc>
      </w:tr>
      <w:tr w:rsidR="008C75E4" w:rsidRPr="008C75E4" w14:paraId="2EB651AB" w14:textId="77777777" w:rsidTr="00ED04E0">
        <w:trPr>
          <w:jc w:val="center"/>
        </w:trPr>
        <w:tc>
          <w:tcPr>
            <w:tcW w:w="3539" w:type="dxa"/>
            <w:gridSpan w:val="7"/>
            <w:tcMar>
              <w:top w:w="57" w:type="dxa"/>
              <w:bottom w:w="57" w:type="dxa"/>
            </w:tcMar>
          </w:tcPr>
          <w:p w14:paraId="665C15A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264" w:type="dxa"/>
            <w:gridSpan w:val="8"/>
          </w:tcPr>
          <w:p w14:paraId="75B7FEC9"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ED04E0" w:rsidRPr="008C75E4" w14:paraId="48000086" w14:textId="77777777" w:rsidTr="00ED04E0">
        <w:trPr>
          <w:jc w:val="center"/>
        </w:trPr>
        <w:tc>
          <w:tcPr>
            <w:tcW w:w="3539" w:type="dxa"/>
            <w:gridSpan w:val="7"/>
            <w:tcMar>
              <w:top w:w="57" w:type="dxa"/>
              <w:bottom w:w="57" w:type="dxa"/>
            </w:tcMar>
          </w:tcPr>
          <w:p w14:paraId="2BD72068" w14:textId="4057DA5B" w:rsidR="00ED04E0" w:rsidRPr="00ED04E0" w:rsidRDefault="00ED04E0" w:rsidP="006126D1">
            <w:pPr>
              <w:jc w:val="both"/>
              <w:rPr>
                <w:rFonts w:ascii="Calibri" w:hAnsi="Calibri"/>
                <w:bCs/>
                <w:szCs w:val="22"/>
              </w:rPr>
            </w:pPr>
            <w:r w:rsidRPr="00ED04E0">
              <w:rPr>
                <w:rFonts w:ascii="Calibri" w:hAnsi="Calibri"/>
                <w:bCs/>
                <w:szCs w:val="22"/>
              </w:rPr>
              <w:t>LCC Highways:</w:t>
            </w:r>
          </w:p>
        </w:tc>
        <w:tc>
          <w:tcPr>
            <w:tcW w:w="6264" w:type="dxa"/>
            <w:gridSpan w:val="8"/>
          </w:tcPr>
          <w:p w14:paraId="7702F864" w14:textId="6303D696" w:rsidR="00ED04E0" w:rsidRPr="009B14D5" w:rsidRDefault="004452BE" w:rsidP="006126D1">
            <w:pPr>
              <w:jc w:val="both"/>
              <w:rPr>
                <w:rFonts w:ascii="Calibri" w:hAnsi="Calibri"/>
                <w:bCs/>
                <w:szCs w:val="22"/>
              </w:rPr>
            </w:pPr>
            <w:r>
              <w:rPr>
                <w:rFonts w:ascii="Calibri" w:hAnsi="Calibri"/>
                <w:bCs/>
                <w:szCs w:val="22"/>
              </w:rPr>
              <w:t>Object to the proposal on the basis of the location of signs 2 – 5.</w:t>
            </w:r>
          </w:p>
        </w:tc>
      </w:tr>
      <w:tr w:rsidR="00030719" w:rsidRPr="008C75E4" w14:paraId="79494B2A" w14:textId="77777777" w:rsidTr="00030719">
        <w:trPr>
          <w:jc w:val="center"/>
        </w:trPr>
        <w:tc>
          <w:tcPr>
            <w:tcW w:w="9803" w:type="dxa"/>
            <w:gridSpan w:val="15"/>
            <w:tcBorders>
              <w:left w:val="nil"/>
              <w:right w:val="nil"/>
            </w:tcBorders>
            <w:tcMar>
              <w:top w:w="57" w:type="dxa"/>
              <w:bottom w:w="57" w:type="dxa"/>
            </w:tcMar>
          </w:tcPr>
          <w:p w14:paraId="29067F2B" w14:textId="77777777" w:rsidR="00030719" w:rsidRDefault="00030719" w:rsidP="00FC046F">
            <w:pPr>
              <w:jc w:val="both"/>
              <w:rPr>
                <w:rFonts w:ascii="Calibri" w:hAnsi="Calibri"/>
                <w:szCs w:val="22"/>
              </w:rPr>
            </w:pPr>
          </w:p>
        </w:tc>
      </w:tr>
      <w:tr w:rsidR="008C75E4" w:rsidRPr="008C75E4" w14:paraId="114AFEEF" w14:textId="77777777" w:rsidTr="00ED04E0">
        <w:trPr>
          <w:jc w:val="center"/>
        </w:trPr>
        <w:tc>
          <w:tcPr>
            <w:tcW w:w="3539" w:type="dxa"/>
            <w:gridSpan w:val="7"/>
            <w:tcMar>
              <w:top w:w="57" w:type="dxa"/>
              <w:bottom w:w="57" w:type="dxa"/>
            </w:tcMar>
          </w:tcPr>
          <w:p w14:paraId="588BCC92"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264" w:type="dxa"/>
            <w:gridSpan w:val="8"/>
          </w:tcPr>
          <w:p w14:paraId="0633EE56"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24D14576" w14:textId="77777777" w:rsidTr="00ED077E">
        <w:trPr>
          <w:jc w:val="center"/>
        </w:trPr>
        <w:tc>
          <w:tcPr>
            <w:tcW w:w="9803" w:type="dxa"/>
            <w:gridSpan w:val="15"/>
            <w:tcBorders>
              <w:bottom w:val="single" w:sz="4" w:space="0" w:color="BFBFBF" w:themeColor="background1" w:themeShade="BF"/>
            </w:tcBorders>
            <w:tcMar>
              <w:top w:w="57" w:type="dxa"/>
              <w:bottom w:w="57" w:type="dxa"/>
            </w:tcMar>
          </w:tcPr>
          <w:p w14:paraId="0522D851" w14:textId="14A5E5AD" w:rsidR="00052662" w:rsidRPr="00ED04E0" w:rsidRDefault="009B14D5" w:rsidP="00ED04E0">
            <w:pPr>
              <w:rPr>
                <w:rFonts w:ascii="Calibri" w:hAnsi="Calibri"/>
                <w:szCs w:val="22"/>
              </w:rPr>
            </w:pPr>
            <w:r>
              <w:rPr>
                <w:rFonts w:ascii="Calibri" w:hAnsi="Calibri"/>
                <w:szCs w:val="22"/>
              </w:rPr>
              <w:t>None.</w:t>
            </w:r>
          </w:p>
        </w:tc>
      </w:tr>
      <w:tr w:rsidR="008C75E4" w:rsidRPr="008C75E4" w14:paraId="601CED05" w14:textId="77777777" w:rsidTr="00ED077E">
        <w:trPr>
          <w:trHeight w:hRule="exact" w:val="144"/>
          <w:jc w:val="center"/>
        </w:trPr>
        <w:tc>
          <w:tcPr>
            <w:tcW w:w="9803" w:type="dxa"/>
            <w:gridSpan w:val="15"/>
            <w:tcBorders>
              <w:left w:val="nil"/>
              <w:right w:val="nil"/>
            </w:tcBorders>
            <w:tcMar>
              <w:top w:w="57" w:type="dxa"/>
              <w:bottom w:w="57" w:type="dxa"/>
            </w:tcMar>
          </w:tcPr>
          <w:p w14:paraId="0B6295E3" w14:textId="77777777" w:rsidR="00C0704D" w:rsidRPr="00504440" w:rsidRDefault="00C0704D" w:rsidP="006126D1">
            <w:pPr>
              <w:jc w:val="both"/>
              <w:rPr>
                <w:rFonts w:ascii="Calibri" w:hAnsi="Calibri"/>
                <w:sz w:val="4"/>
                <w:szCs w:val="4"/>
              </w:rPr>
            </w:pPr>
          </w:p>
        </w:tc>
      </w:tr>
      <w:tr w:rsidR="008C75E4" w:rsidRPr="008C75E4" w14:paraId="1B2AA9CC" w14:textId="77777777" w:rsidTr="00ED077E">
        <w:trPr>
          <w:jc w:val="center"/>
        </w:trPr>
        <w:tc>
          <w:tcPr>
            <w:tcW w:w="9803" w:type="dxa"/>
            <w:gridSpan w:val="15"/>
            <w:tcMar>
              <w:top w:w="57" w:type="dxa"/>
              <w:bottom w:w="57" w:type="dxa"/>
            </w:tcMar>
          </w:tcPr>
          <w:p w14:paraId="50BDC49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80E8B5F" w14:textId="77777777" w:rsidTr="006E2413">
        <w:trPr>
          <w:trHeight w:val="501"/>
          <w:jc w:val="center"/>
        </w:trPr>
        <w:tc>
          <w:tcPr>
            <w:tcW w:w="9803" w:type="dxa"/>
            <w:gridSpan w:val="15"/>
            <w:tcMar>
              <w:top w:w="57" w:type="dxa"/>
              <w:bottom w:w="57" w:type="dxa"/>
            </w:tcMar>
          </w:tcPr>
          <w:p w14:paraId="4EC0B6A6" w14:textId="77777777" w:rsidR="00ED077E" w:rsidRPr="00BB54F7" w:rsidRDefault="00ED077E" w:rsidP="00ED077E">
            <w:pPr>
              <w:pStyle w:val="Default"/>
              <w:rPr>
                <w:b/>
                <w:bCs/>
                <w:i/>
                <w:sz w:val="22"/>
                <w:szCs w:val="22"/>
              </w:rPr>
            </w:pPr>
            <w:r w:rsidRPr="00BB54F7">
              <w:rPr>
                <w:b/>
                <w:bCs/>
                <w:iCs/>
                <w:sz w:val="22"/>
                <w:szCs w:val="22"/>
              </w:rPr>
              <w:t>Ribble Valley Core Strategy:</w:t>
            </w:r>
          </w:p>
          <w:p w14:paraId="522BD957" w14:textId="77777777" w:rsidR="00ED077E" w:rsidRDefault="00ED077E" w:rsidP="00ED077E">
            <w:pPr>
              <w:pStyle w:val="Default"/>
              <w:rPr>
                <w:sz w:val="22"/>
                <w:szCs w:val="22"/>
              </w:rPr>
            </w:pPr>
          </w:p>
          <w:p w14:paraId="52BA3571" w14:textId="36526455" w:rsidR="006E64C9" w:rsidRDefault="006E64C9" w:rsidP="006E64C9">
            <w:pPr>
              <w:jc w:val="both"/>
              <w:rPr>
                <w:rFonts w:asciiTheme="minorHAnsi" w:hAnsiTheme="minorHAnsi" w:cstheme="minorHAnsi"/>
                <w:szCs w:val="22"/>
              </w:rPr>
            </w:pPr>
            <w:r>
              <w:rPr>
                <w:rFonts w:asciiTheme="minorHAnsi" w:hAnsiTheme="minorHAnsi" w:cstheme="minorHAnsi"/>
                <w:szCs w:val="22"/>
              </w:rPr>
              <w:t>Key Statement DS1</w:t>
            </w:r>
            <w:r w:rsidR="004452BE">
              <w:rPr>
                <w:rFonts w:asciiTheme="minorHAnsi" w:hAnsiTheme="minorHAnsi" w:cstheme="minorHAnsi"/>
                <w:szCs w:val="22"/>
              </w:rPr>
              <w:t xml:space="preserve">: </w:t>
            </w:r>
            <w:r>
              <w:rPr>
                <w:rFonts w:asciiTheme="minorHAnsi" w:hAnsiTheme="minorHAnsi" w:cstheme="minorHAnsi"/>
                <w:szCs w:val="22"/>
              </w:rPr>
              <w:t>Development Strategy</w:t>
            </w:r>
          </w:p>
          <w:p w14:paraId="4CA10492" w14:textId="6EC4E190" w:rsidR="006E64C9" w:rsidRDefault="006E64C9" w:rsidP="006E64C9">
            <w:pPr>
              <w:jc w:val="both"/>
              <w:rPr>
                <w:rFonts w:asciiTheme="minorHAnsi" w:hAnsiTheme="minorHAnsi" w:cstheme="minorHAnsi"/>
                <w:szCs w:val="22"/>
              </w:rPr>
            </w:pPr>
            <w:r>
              <w:rPr>
                <w:rFonts w:asciiTheme="minorHAnsi" w:hAnsiTheme="minorHAnsi" w:cstheme="minorHAnsi"/>
                <w:szCs w:val="22"/>
              </w:rPr>
              <w:t>Key statement DS2</w:t>
            </w:r>
            <w:r w:rsidR="004452BE">
              <w:rPr>
                <w:rFonts w:asciiTheme="minorHAnsi" w:hAnsiTheme="minorHAnsi" w:cstheme="minorHAnsi"/>
                <w:szCs w:val="22"/>
              </w:rPr>
              <w:t xml:space="preserve">: </w:t>
            </w:r>
            <w:r>
              <w:rPr>
                <w:rFonts w:asciiTheme="minorHAnsi" w:hAnsiTheme="minorHAnsi" w:cstheme="minorHAnsi"/>
                <w:szCs w:val="22"/>
              </w:rPr>
              <w:t>Presumption in Favour of Sustainable Development</w:t>
            </w:r>
          </w:p>
          <w:p w14:paraId="242746A8" w14:textId="182468E3" w:rsidR="006E64C9" w:rsidRDefault="006E64C9" w:rsidP="006E64C9">
            <w:pPr>
              <w:jc w:val="both"/>
              <w:rPr>
                <w:rFonts w:asciiTheme="minorHAnsi" w:hAnsiTheme="minorHAnsi" w:cstheme="minorHAnsi"/>
                <w:szCs w:val="22"/>
              </w:rPr>
            </w:pPr>
            <w:r>
              <w:rPr>
                <w:rFonts w:asciiTheme="minorHAnsi" w:hAnsiTheme="minorHAnsi" w:cstheme="minorHAnsi"/>
                <w:szCs w:val="22"/>
              </w:rPr>
              <w:t>Policy DMG1</w:t>
            </w:r>
            <w:r w:rsidR="004452BE">
              <w:rPr>
                <w:rFonts w:asciiTheme="minorHAnsi" w:hAnsiTheme="minorHAnsi" w:cstheme="minorHAnsi"/>
                <w:szCs w:val="22"/>
              </w:rPr>
              <w:t xml:space="preserve">: </w:t>
            </w:r>
            <w:r>
              <w:rPr>
                <w:rFonts w:asciiTheme="minorHAnsi" w:hAnsiTheme="minorHAnsi" w:cstheme="minorHAnsi"/>
                <w:szCs w:val="22"/>
              </w:rPr>
              <w:t>General Considerations</w:t>
            </w:r>
          </w:p>
          <w:p w14:paraId="11CE4EA9" w14:textId="480CD2DE" w:rsidR="006E64C9" w:rsidRDefault="006E64C9" w:rsidP="006E64C9">
            <w:pPr>
              <w:jc w:val="both"/>
              <w:rPr>
                <w:rFonts w:asciiTheme="minorHAnsi" w:hAnsiTheme="minorHAnsi" w:cstheme="minorHAnsi"/>
                <w:szCs w:val="22"/>
              </w:rPr>
            </w:pPr>
            <w:r>
              <w:rPr>
                <w:rFonts w:asciiTheme="minorHAnsi" w:hAnsiTheme="minorHAnsi" w:cstheme="minorHAnsi"/>
                <w:szCs w:val="22"/>
              </w:rPr>
              <w:t>Policy DMG2</w:t>
            </w:r>
            <w:r w:rsidR="004452BE">
              <w:rPr>
                <w:rFonts w:asciiTheme="minorHAnsi" w:hAnsiTheme="minorHAnsi" w:cstheme="minorHAnsi"/>
                <w:szCs w:val="22"/>
              </w:rPr>
              <w:t xml:space="preserve">: </w:t>
            </w:r>
            <w:r>
              <w:rPr>
                <w:rFonts w:asciiTheme="minorHAnsi" w:hAnsiTheme="minorHAnsi" w:cstheme="minorHAnsi"/>
                <w:szCs w:val="22"/>
              </w:rPr>
              <w:t>Strategic Development</w:t>
            </w:r>
          </w:p>
          <w:p w14:paraId="1A50FEBA" w14:textId="6691C2DC" w:rsidR="006E64C9" w:rsidRDefault="006E64C9" w:rsidP="006E64C9">
            <w:pPr>
              <w:jc w:val="both"/>
              <w:rPr>
                <w:rFonts w:asciiTheme="minorHAnsi" w:hAnsiTheme="minorHAnsi" w:cstheme="minorHAnsi"/>
                <w:szCs w:val="22"/>
              </w:rPr>
            </w:pPr>
            <w:r>
              <w:rPr>
                <w:rFonts w:asciiTheme="minorHAnsi" w:hAnsiTheme="minorHAnsi" w:cstheme="minorHAnsi"/>
                <w:szCs w:val="22"/>
              </w:rPr>
              <w:t>Policy DMG3</w:t>
            </w:r>
            <w:r w:rsidR="004452BE">
              <w:rPr>
                <w:rFonts w:asciiTheme="minorHAnsi" w:hAnsiTheme="minorHAnsi" w:cstheme="minorHAnsi"/>
                <w:szCs w:val="22"/>
              </w:rPr>
              <w:t xml:space="preserve">: </w:t>
            </w:r>
            <w:r>
              <w:rPr>
                <w:rFonts w:asciiTheme="minorHAnsi" w:hAnsiTheme="minorHAnsi" w:cstheme="minorHAnsi"/>
                <w:szCs w:val="22"/>
              </w:rPr>
              <w:t>Transport and Mobility</w:t>
            </w:r>
          </w:p>
          <w:p w14:paraId="79DA6391" w14:textId="77777777" w:rsidR="006E64C9" w:rsidRDefault="006E64C9" w:rsidP="006E64C9">
            <w:pPr>
              <w:jc w:val="both"/>
              <w:rPr>
                <w:rFonts w:asciiTheme="minorHAnsi" w:hAnsiTheme="minorHAnsi" w:cstheme="minorHAnsi"/>
                <w:szCs w:val="22"/>
              </w:rPr>
            </w:pPr>
          </w:p>
          <w:p w14:paraId="75EE5109" w14:textId="77777777" w:rsidR="006E64C9" w:rsidRDefault="006E64C9" w:rsidP="006E64C9">
            <w:pPr>
              <w:overflowPunct/>
              <w:textAlignment w:val="auto"/>
              <w:rPr>
                <w:rFonts w:ascii="Calibri" w:hAnsi="Calibri" w:cs="Calibri"/>
                <w:b/>
                <w:bCs/>
                <w:szCs w:val="22"/>
              </w:rPr>
            </w:pPr>
            <w:r w:rsidRPr="00BB54F7">
              <w:rPr>
                <w:rFonts w:ascii="Calibri" w:hAnsi="Calibri" w:cs="Calibri"/>
                <w:b/>
                <w:bCs/>
                <w:szCs w:val="22"/>
              </w:rPr>
              <w:t>National Planning Policy Framework (NPPF)</w:t>
            </w:r>
          </w:p>
          <w:p w14:paraId="1EA5D4B6" w14:textId="77777777" w:rsidR="00A81AD5" w:rsidRDefault="00A81AD5" w:rsidP="00D347AC">
            <w:pPr>
              <w:jc w:val="both"/>
              <w:rPr>
                <w:rFonts w:asciiTheme="minorHAnsi" w:hAnsiTheme="minorHAnsi" w:cstheme="minorHAnsi"/>
                <w:szCs w:val="22"/>
              </w:rPr>
            </w:pPr>
          </w:p>
          <w:p w14:paraId="2CFBFFF8" w14:textId="77777777" w:rsidR="006E2413" w:rsidRDefault="006E2413" w:rsidP="006E2413">
            <w:pPr>
              <w:jc w:val="both"/>
              <w:rPr>
                <w:rFonts w:asciiTheme="minorHAnsi" w:hAnsiTheme="minorHAnsi" w:cstheme="minorHAnsi"/>
                <w:szCs w:val="22"/>
              </w:rPr>
            </w:pPr>
            <w:r w:rsidRPr="006E2413">
              <w:rPr>
                <w:rFonts w:asciiTheme="minorHAnsi" w:hAnsiTheme="minorHAnsi" w:cstheme="minorHAnsi"/>
                <w:szCs w:val="22"/>
              </w:rPr>
              <w:t>Key Statement EN2: Landscape</w:t>
            </w:r>
          </w:p>
          <w:p w14:paraId="24F03DAE" w14:textId="634FC512" w:rsidR="006E2413" w:rsidRDefault="006E2413" w:rsidP="006E2413">
            <w:pPr>
              <w:jc w:val="both"/>
              <w:rPr>
                <w:rFonts w:asciiTheme="minorHAnsi" w:hAnsiTheme="minorHAnsi" w:cstheme="minorHAnsi"/>
                <w:szCs w:val="22"/>
              </w:rPr>
            </w:pPr>
            <w:r w:rsidRPr="006E2413">
              <w:rPr>
                <w:rFonts w:asciiTheme="minorHAnsi" w:hAnsiTheme="minorHAnsi" w:cstheme="minorHAnsi"/>
                <w:szCs w:val="22"/>
              </w:rPr>
              <w:t>Key Statement DMI2: Transport Considerations</w:t>
            </w:r>
          </w:p>
          <w:p w14:paraId="464ECDD6" w14:textId="77777777" w:rsidR="006E2413" w:rsidRPr="006E2413" w:rsidRDefault="006E2413" w:rsidP="006E2413">
            <w:pPr>
              <w:jc w:val="both"/>
              <w:rPr>
                <w:rFonts w:asciiTheme="minorHAnsi" w:hAnsiTheme="minorHAnsi" w:cstheme="minorHAnsi"/>
                <w:szCs w:val="22"/>
              </w:rPr>
            </w:pPr>
            <w:r w:rsidRPr="006E2413">
              <w:rPr>
                <w:rFonts w:asciiTheme="minorHAnsi" w:hAnsiTheme="minorHAnsi" w:cstheme="minorHAnsi"/>
                <w:szCs w:val="22"/>
              </w:rPr>
              <w:t>Policy DMG1: General Considerations</w:t>
            </w:r>
          </w:p>
          <w:p w14:paraId="0ED4B4C8" w14:textId="77777777" w:rsidR="006E2413" w:rsidRDefault="006E2413" w:rsidP="006E2413">
            <w:pPr>
              <w:jc w:val="both"/>
              <w:rPr>
                <w:rFonts w:asciiTheme="minorHAnsi" w:hAnsiTheme="minorHAnsi" w:cstheme="minorHAnsi"/>
                <w:szCs w:val="22"/>
              </w:rPr>
            </w:pPr>
            <w:r w:rsidRPr="006E2413">
              <w:rPr>
                <w:rFonts w:asciiTheme="minorHAnsi" w:hAnsiTheme="minorHAnsi" w:cstheme="minorHAnsi"/>
                <w:szCs w:val="22"/>
              </w:rPr>
              <w:t>Policy DMG3: Transport &amp; Mobility</w:t>
            </w:r>
          </w:p>
          <w:p w14:paraId="1A4AE501" w14:textId="77777777" w:rsidR="006E2413" w:rsidRDefault="006E2413" w:rsidP="006E2413">
            <w:pPr>
              <w:jc w:val="both"/>
              <w:rPr>
                <w:rFonts w:asciiTheme="minorHAnsi" w:hAnsiTheme="minorHAnsi" w:cstheme="minorHAnsi"/>
                <w:szCs w:val="22"/>
              </w:rPr>
            </w:pPr>
          </w:p>
          <w:p w14:paraId="5418DA72" w14:textId="77777777" w:rsidR="006E2413" w:rsidRPr="006E2413" w:rsidRDefault="006E2413" w:rsidP="006E2413">
            <w:pPr>
              <w:jc w:val="both"/>
              <w:rPr>
                <w:rFonts w:asciiTheme="minorHAnsi" w:hAnsiTheme="minorHAnsi" w:cstheme="minorHAnsi"/>
                <w:szCs w:val="22"/>
              </w:rPr>
            </w:pPr>
            <w:r w:rsidRPr="006E2413">
              <w:rPr>
                <w:rFonts w:asciiTheme="minorHAnsi" w:hAnsiTheme="minorHAnsi" w:cstheme="minorHAnsi"/>
                <w:szCs w:val="22"/>
              </w:rPr>
              <w:t>National Planning Policy Framework (NPPF)</w:t>
            </w:r>
          </w:p>
          <w:p w14:paraId="23BB76F5" w14:textId="77777777" w:rsidR="006E2413" w:rsidRPr="006E2413" w:rsidRDefault="006E2413" w:rsidP="006E2413">
            <w:pPr>
              <w:jc w:val="both"/>
              <w:rPr>
                <w:rFonts w:asciiTheme="minorHAnsi" w:hAnsiTheme="minorHAnsi" w:cstheme="minorHAnsi"/>
                <w:szCs w:val="22"/>
              </w:rPr>
            </w:pPr>
          </w:p>
          <w:p w14:paraId="5657F994" w14:textId="3807F7F2" w:rsidR="00ED04E0" w:rsidRPr="00D347AC" w:rsidRDefault="006E2413" w:rsidP="00D347AC">
            <w:pPr>
              <w:jc w:val="both"/>
              <w:rPr>
                <w:rFonts w:asciiTheme="minorHAnsi" w:hAnsiTheme="minorHAnsi" w:cstheme="minorHAnsi"/>
                <w:szCs w:val="22"/>
              </w:rPr>
            </w:pPr>
            <w:r w:rsidRPr="006E2413">
              <w:rPr>
                <w:rFonts w:asciiTheme="minorHAnsi" w:hAnsiTheme="minorHAnsi" w:cstheme="minorHAnsi"/>
                <w:szCs w:val="22"/>
              </w:rPr>
              <w:lastRenderedPageBreak/>
              <w:t>Outdoor advertisements and signs: a guide for advertisers (2007)</w:t>
            </w:r>
            <w:r>
              <w:rPr>
                <w:rFonts w:asciiTheme="minorHAnsi" w:hAnsiTheme="minorHAnsi" w:cstheme="minorHAnsi"/>
                <w:szCs w:val="22"/>
              </w:rPr>
              <w:t>.</w:t>
            </w:r>
          </w:p>
        </w:tc>
      </w:tr>
      <w:tr w:rsidR="008C75E4" w:rsidRPr="008C75E4" w14:paraId="31FA01D0" w14:textId="77777777" w:rsidTr="00ED077E">
        <w:trPr>
          <w:trHeight w:val="864"/>
          <w:jc w:val="center"/>
        </w:trPr>
        <w:tc>
          <w:tcPr>
            <w:tcW w:w="9803" w:type="dxa"/>
            <w:gridSpan w:val="15"/>
            <w:tcBorders>
              <w:bottom w:val="single" w:sz="4" w:space="0" w:color="BFBFBF" w:themeColor="background1" w:themeShade="BF"/>
            </w:tcBorders>
            <w:tcMar>
              <w:top w:w="57" w:type="dxa"/>
              <w:bottom w:w="57" w:type="dxa"/>
            </w:tcMar>
          </w:tcPr>
          <w:p w14:paraId="31055E81"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36074E09" w14:textId="63459CD6" w:rsidR="00101855" w:rsidRDefault="00101855" w:rsidP="00454754">
            <w:pPr>
              <w:pStyle w:val="PLANNING"/>
              <w:rPr>
                <w:rFonts w:ascii="Calibri" w:hAnsi="Calibri"/>
                <w:bCs/>
                <w:szCs w:val="22"/>
              </w:rPr>
            </w:pPr>
          </w:p>
          <w:p w14:paraId="50D8FC21" w14:textId="4505211F" w:rsidR="00F30375" w:rsidRPr="00E87097" w:rsidRDefault="00E87097" w:rsidP="00E87097">
            <w:pPr>
              <w:pStyle w:val="PLANNING"/>
              <w:rPr>
                <w:rFonts w:ascii="Calibri" w:hAnsi="Calibri" w:cs="Calibri"/>
                <w:b/>
                <w:szCs w:val="22"/>
              </w:rPr>
            </w:pPr>
            <w:r w:rsidRPr="00E87097">
              <w:rPr>
                <w:rFonts w:ascii="Calibri" w:hAnsi="Calibri" w:cs="Calibri"/>
                <w:b/>
                <w:szCs w:val="22"/>
              </w:rPr>
              <w:t>3/202</w:t>
            </w:r>
            <w:r>
              <w:rPr>
                <w:rFonts w:ascii="Calibri" w:hAnsi="Calibri" w:cs="Calibri"/>
                <w:b/>
                <w:szCs w:val="22"/>
              </w:rPr>
              <w:t>0</w:t>
            </w:r>
            <w:r w:rsidRPr="00E87097">
              <w:rPr>
                <w:rFonts w:ascii="Calibri" w:hAnsi="Calibri" w:cs="Calibri"/>
                <w:b/>
                <w:szCs w:val="22"/>
              </w:rPr>
              <w:t>/0567:</w:t>
            </w:r>
          </w:p>
          <w:p w14:paraId="4E3A23E7" w14:textId="1E2F7A8C" w:rsidR="00E87097" w:rsidRDefault="00E87097" w:rsidP="00E87097">
            <w:pPr>
              <w:pStyle w:val="PLANNING"/>
              <w:rPr>
                <w:rFonts w:ascii="Calibri" w:hAnsi="Calibri" w:cs="Calibri"/>
                <w:bCs/>
                <w:szCs w:val="22"/>
              </w:rPr>
            </w:pPr>
            <w:r w:rsidRPr="00E87097">
              <w:rPr>
                <w:rFonts w:ascii="Calibri" w:hAnsi="Calibri" w:cs="Calibri"/>
                <w:bCs/>
                <w:szCs w:val="22"/>
              </w:rPr>
              <w:t>Change of use from A1 Shop and A3 Restaurant/cafe to C1 Hotels to create new overnight accommodation including staff accommodation</w:t>
            </w:r>
            <w:r>
              <w:rPr>
                <w:rFonts w:ascii="Calibri" w:hAnsi="Calibri" w:cs="Calibri"/>
                <w:bCs/>
                <w:szCs w:val="22"/>
              </w:rPr>
              <w:t xml:space="preserve"> (Approved)</w:t>
            </w:r>
          </w:p>
          <w:p w14:paraId="4056E8D0" w14:textId="77777777" w:rsidR="00E87097" w:rsidRDefault="00E87097" w:rsidP="00E87097">
            <w:pPr>
              <w:pStyle w:val="PLANNING"/>
              <w:rPr>
                <w:rFonts w:ascii="Calibri" w:hAnsi="Calibri" w:cs="Calibri"/>
                <w:bCs/>
                <w:szCs w:val="22"/>
              </w:rPr>
            </w:pPr>
          </w:p>
          <w:p w14:paraId="4A6A426C" w14:textId="59301B74" w:rsidR="00E87097" w:rsidRPr="00E87097" w:rsidRDefault="00E87097" w:rsidP="00E87097">
            <w:pPr>
              <w:pStyle w:val="PLANNING"/>
              <w:rPr>
                <w:rFonts w:ascii="Calibri" w:hAnsi="Calibri" w:cs="Calibri"/>
                <w:b/>
                <w:szCs w:val="22"/>
              </w:rPr>
            </w:pPr>
            <w:r w:rsidRPr="00E87097">
              <w:rPr>
                <w:rFonts w:ascii="Calibri" w:hAnsi="Calibri" w:cs="Calibri"/>
                <w:b/>
                <w:szCs w:val="22"/>
              </w:rPr>
              <w:t>3/2018/0504:</w:t>
            </w:r>
          </w:p>
          <w:p w14:paraId="21A130FD" w14:textId="21C15536" w:rsidR="00E87097" w:rsidRDefault="00E87097" w:rsidP="00E87097">
            <w:pPr>
              <w:pStyle w:val="PLANNING"/>
              <w:rPr>
                <w:rFonts w:ascii="Calibri" w:hAnsi="Calibri" w:cs="Calibri"/>
                <w:bCs/>
                <w:szCs w:val="22"/>
              </w:rPr>
            </w:pPr>
            <w:r w:rsidRPr="00E87097">
              <w:rPr>
                <w:rFonts w:ascii="Calibri" w:hAnsi="Calibri" w:cs="Calibri"/>
                <w:bCs/>
                <w:szCs w:val="22"/>
              </w:rPr>
              <w:t>Proposed conversion of former brewery building to wedding accommodation (2 x bedrooms) including new permanent timber canopy over existing timber decking with new associated access path and timber seating.</w:t>
            </w:r>
            <w:r>
              <w:rPr>
                <w:rFonts w:ascii="Calibri" w:hAnsi="Calibri" w:cs="Calibri"/>
                <w:bCs/>
                <w:szCs w:val="22"/>
              </w:rPr>
              <w:t xml:space="preserve"> (Approved)</w:t>
            </w:r>
          </w:p>
          <w:p w14:paraId="34A248F6" w14:textId="77777777" w:rsidR="00E87097" w:rsidRDefault="00E87097" w:rsidP="00E87097">
            <w:pPr>
              <w:pStyle w:val="PLANNING"/>
              <w:rPr>
                <w:rFonts w:ascii="Calibri" w:hAnsi="Calibri" w:cs="Calibri"/>
                <w:bCs/>
                <w:szCs w:val="22"/>
              </w:rPr>
            </w:pPr>
          </w:p>
          <w:p w14:paraId="37AA2862" w14:textId="533FBEDF" w:rsidR="00E87097" w:rsidRPr="00E87097" w:rsidRDefault="00E87097" w:rsidP="00E87097">
            <w:pPr>
              <w:pStyle w:val="PLANNING"/>
              <w:rPr>
                <w:rFonts w:ascii="Calibri" w:hAnsi="Calibri" w:cs="Calibri"/>
                <w:b/>
                <w:szCs w:val="22"/>
              </w:rPr>
            </w:pPr>
            <w:r w:rsidRPr="00E87097">
              <w:rPr>
                <w:rFonts w:ascii="Calibri" w:hAnsi="Calibri" w:cs="Calibri"/>
                <w:b/>
                <w:szCs w:val="22"/>
              </w:rPr>
              <w:t>3/2018/0068:</w:t>
            </w:r>
          </w:p>
          <w:p w14:paraId="0697682F" w14:textId="470EA95A" w:rsidR="00E87097" w:rsidRDefault="00E87097" w:rsidP="00E87097">
            <w:pPr>
              <w:pStyle w:val="PLANNING"/>
              <w:rPr>
                <w:rFonts w:ascii="Calibri" w:hAnsi="Calibri" w:cs="Calibri"/>
                <w:bCs/>
                <w:szCs w:val="22"/>
              </w:rPr>
            </w:pPr>
            <w:r w:rsidRPr="00E87097">
              <w:rPr>
                <w:rFonts w:ascii="Calibri" w:hAnsi="Calibri" w:cs="Calibri"/>
                <w:bCs/>
                <w:szCs w:val="22"/>
              </w:rPr>
              <w:t>Proposed conversion of former brewery building to five-bedroom Bed and Breakfast accommodation including replacement and extension of roof including five multi-fuel stove flues. New permanent timber canopy over existing timber decking with new associated access path and timber seating</w:t>
            </w:r>
            <w:r>
              <w:rPr>
                <w:rFonts w:ascii="Calibri" w:hAnsi="Calibri" w:cs="Calibri"/>
                <w:bCs/>
                <w:szCs w:val="22"/>
              </w:rPr>
              <w:t xml:space="preserve"> (Withdrawn)</w:t>
            </w:r>
          </w:p>
          <w:p w14:paraId="1BCC4DC0" w14:textId="77777777" w:rsidR="00E87097" w:rsidRDefault="00E87097" w:rsidP="00E87097">
            <w:pPr>
              <w:pStyle w:val="PLANNING"/>
              <w:rPr>
                <w:rFonts w:ascii="Calibri" w:hAnsi="Calibri" w:cs="Calibri"/>
                <w:bCs/>
                <w:szCs w:val="22"/>
              </w:rPr>
            </w:pPr>
          </w:p>
          <w:p w14:paraId="3C6F2BF7" w14:textId="73805D64" w:rsidR="00E87097" w:rsidRPr="00E87097" w:rsidRDefault="00E87097" w:rsidP="00E87097">
            <w:pPr>
              <w:pStyle w:val="PLANNING"/>
              <w:rPr>
                <w:rFonts w:ascii="Calibri" w:hAnsi="Calibri" w:cs="Calibri"/>
                <w:b/>
                <w:szCs w:val="22"/>
              </w:rPr>
            </w:pPr>
            <w:r w:rsidRPr="00E87097">
              <w:rPr>
                <w:rFonts w:ascii="Calibri" w:hAnsi="Calibri" w:cs="Calibri"/>
                <w:b/>
                <w:szCs w:val="22"/>
              </w:rPr>
              <w:t>3/2016/0874:</w:t>
            </w:r>
          </w:p>
          <w:p w14:paraId="6FCD2AB1" w14:textId="74342F08" w:rsidR="00E87097" w:rsidRDefault="00E87097" w:rsidP="00E87097">
            <w:pPr>
              <w:pStyle w:val="PLANNING"/>
              <w:rPr>
                <w:rFonts w:ascii="Calibri" w:hAnsi="Calibri" w:cs="Calibri"/>
                <w:bCs/>
                <w:szCs w:val="22"/>
              </w:rPr>
            </w:pPr>
            <w:r w:rsidRPr="00E87097">
              <w:rPr>
                <w:rFonts w:ascii="Calibri" w:hAnsi="Calibri" w:cs="Calibri"/>
                <w:bCs/>
                <w:szCs w:val="22"/>
              </w:rPr>
              <w:t>Proposed extension to Bashall Barn farm shop and restaurant to provide a function room and associated external works, including extension of existing car park</w:t>
            </w:r>
            <w:r>
              <w:rPr>
                <w:rFonts w:ascii="Calibri" w:hAnsi="Calibri" w:cs="Calibri"/>
                <w:bCs/>
                <w:szCs w:val="22"/>
              </w:rPr>
              <w:t xml:space="preserve"> (Approved)</w:t>
            </w:r>
          </w:p>
          <w:p w14:paraId="3952A112" w14:textId="606AC2EC" w:rsidR="00E87097" w:rsidRPr="00EF160A" w:rsidRDefault="00E87097" w:rsidP="00E87097">
            <w:pPr>
              <w:pStyle w:val="PLANNING"/>
              <w:rPr>
                <w:rFonts w:ascii="Calibri" w:hAnsi="Calibri" w:cs="Calibri"/>
                <w:bCs/>
                <w:szCs w:val="22"/>
              </w:rPr>
            </w:pPr>
          </w:p>
        </w:tc>
      </w:tr>
      <w:tr w:rsidR="008C75E4" w:rsidRPr="008C75E4" w14:paraId="0EA9C015" w14:textId="77777777" w:rsidTr="00ED077E">
        <w:trPr>
          <w:trHeight w:hRule="exact" w:val="144"/>
          <w:jc w:val="center"/>
        </w:trPr>
        <w:tc>
          <w:tcPr>
            <w:tcW w:w="9803" w:type="dxa"/>
            <w:gridSpan w:val="15"/>
            <w:tcBorders>
              <w:left w:val="nil"/>
              <w:right w:val="nil"/>
            </w:tcBorders>
            <w:tcMar>
              <w:top w:w="57" w:type="dxa"/>
              <w:bottom w:w="57" w:type="dxa"/>
            </w:tcMar>
          </w:tcPr>
          <w:p w14:paraId="5F244CF8" w14:textId="77777777" w:rsidR="003F16AA" w:rsidRPr="00504440" w:rsidRDefault="003F16AA" w:rsidP="00504440">
            <w:pPr>
              <w:rPr>
                <w:sz w:val="4"/>
                <w:szCs w:val="4"/>
              </w:rPr>
            </w:pPr>
          </w:p>
        </w:tc>
      </w:tr>
      <w:tr w:rsidR="008C75E4" w:rsidRPr="008C75E4" w14:paraId="5E67059E" w14:textId="77777777" w:rsidTr="00ED077E">
        <w:trPr>
          <w:jc w:val="center"/>
        </w:trPr>
        <w:tc>
          <w:tcPr>
            <w:tcW w:w="9803" w:type="dxa"/>
            <w:gridSpan w:val="15"/>
            <w:tcMar>
              <w:top w:w="57" w:type="dxa"/>
              <w:bottom w:w="57" w:type="dxa"/>
            </w:tcMar>
          </w:tcPr>
          <w:p w14:paraId="213A8E04"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946D8D9" w14:textId="77777777" w:rsidTr="009B14D5">
        <w:trPr>
          <w:trHeight w:val="784"/>
          <w:jc w:val="center"/>
        </w:trPr>
        <w:tc>
          <w:tcPr>
            <w:tcW w:w="9803" w:type="dxa"/>
            <w:gridSpan w:val="15"/>
            <w:tcMar>
              <w:top w:w="57" w:type="dxa"/>
              <w:bottom w:w="57" w:type="dxa"/>
            </w:tcMar>
          </w:tcPr>
          <w:p w14:paraId="314F7A42" w14:textId="5F800D9E"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2D62ED00" w14:textId="77777777" w:rsidR="00DF0AE0" w:rsidRDefault="00DF0AE0" w:rsidP="00DF0AE0">
            <w:pPr>
              <w:rPr>
                <w:rFonts w:asciiTheme="minorHAnsi" w:hAnsiTheme="minorHAnsi" w:cstheme="minorHAnsi"/>
                <w:szCs w:val="22"/>
              </w:rPr>
            </w:pPr>
          </w:p>
          <w:p w14:paraId="4BD70044" w14:textId="1837F679" w:rsidR="000C70B9" w:rsidRDefault="009B14D5" w:rsidP="000C70B9">
            <w:pPr>
              <w:rPr>
                <w:rFonts w:asciiTheme="minorHAnsi" w:hAnsiTheme="minorHAnsi" w:cstheme="minorHAnsi"/>
                <w:bCs/>
                <w:szCs w:val="22"/>
              </w:rPr>
            </w:pPr>
            <w:r w:rsidRPr="009B14D5">
              <w:rPr>
                <w:rFonts w:asciiTheme="minorHAnsi" w:hAnsiTheme="minorHAnsi" w:cstheme="minorHAnsi"/>
                <w:bCs/>
                <w:szCs w:val="22"/>
              </w:rPr>
              <w:t xml:space="preserve">The proposal relates to </w:t>
            </w:r>
            <w:r w:rsidR="000C70B9">
              <w:rPr>
                <w:rFonts w:asciiTheme="minorHAnsi" w:hAnsiTheme="minorHAnsi" w:cstheme="minorHAnsi"/>
                <w:bCs/>
                <w:szCs w:val="22"/>
              </w:rPr>
              <w:t>signage situated within the vicinity of a</w:t>
            </w:r>
            <w:r w:rsidRPr="009B14D5">
              <w:rPr>
                <w:rFonts w:asciiTheme="minorHAnsi" w:hAnsiTheme="minorHAnsi" w:cstheme="minorHAnsi"/>
                <w:bCs/>
                <w:szCs w:val="22"/>
              </w:rPr>
              <w:t xml:space="preserve"> </w:t>
            </w:r>
            <w:r w:rsidR="000C70B9">
              <w:rPr>
                <w:rFonts w:asciiTheme="minorHAnsi" w:hAnsiTheme="minorHAnsi" w:cstheme="minorHAnsi"/>
                <w:bCs/>
                <w:szCs w:val="22"/>
              </w:rPr>
              <w:t>wedding venue in Bashall Eaves. The signage in question is</w:t>
            </w:r>
            <w:r w:rsidR="003C0DA3">
              <w:rPr>
                <w:rFonts w:asciiTheme="minorHAnsi" w:hAnsiTheme="minorHAnsi" w:cstheme="minorHAnsi"/>
                <w:bCs/>
                <w:szCs w:val="22"/>
              </w:rPr>
              <w:t xml:space="preserve"> currently in situ in multiple roadside locations on country roads within the </w:t>
            </w:r>
            <w:r w:rsidR="00774BB2">
              <w:rPr>
                <w:rFonts w:asciiTheme="minorHAnsi" w:hAnsiTheme="minorHAnsi" w:cstheme="minorHAnsi"/>
                <w:bCs/>
                <w:szCs w:val="22"/>
              </w:rPr>
              <w:t xml:space="preserve">nearby </w:t>
            </w:r>
            <w:r w:rsidR="003C0DA3">
              <w:rPr>
                <w:rFonts w:asciiTheme="minorHAnsi" w:hAnsiTheme="minorHAnsi" w:cstheme="minorHAnsi"/>
                <w:bCs/>
                <w:szCs w:val="22"/>
              </w:rPr>
              <w:t>vicinity of Bashall Barn. These locations are as follows:</w:t>
            </w:r>
          </w:p>
          <w:p w14:paraId="2FFBFC1B" w14:textId="77777777" w:rsidR="003C0DA3" w:rsidRDefault="003C0DA3" w:rsidP="000C70B9">
            <w:pPr>
              <w:rPr>
                <w:rFonts w:asciiTheme="minorHAnsi" w:hAnsiTheme="minorHAnsi" w:cstheme="minorHAnsi"/>
                <w:bCs/>
                <w:szCs w:val="22"/>
              </w:rPr>
            </w:pPr>
          </w:p>
          <w:p w14:paraId="2A1AD6C6" w14:textId="1BCBE1B9" w:rsidR="003C0DA3" w:rsidRDefault="003C0DA3" w:rsidP="003C0DA3">
            <w:pPr>
              <w:pStyle w:val="ListParagraph"/>
              <w:numPr>
                <w:ilvl w:val="0"/>
                <w:numId w:val="16"/>
              </w:numPr>
              <w:rPr>
                <w:rFonts w:asciiTheme="minorHAnsi" w:hAnsiTheme="minorHAnsi" w:cstheme="minorHAnsi"/>
                <w:bCs/>
                <w:szCs w:val="22"/>
              </w:rPr>
            </w:pPr>
            <w:r>
              <w:rPr>
                <w:rFonts w:asciiTheme="minorHAnsi" w:hAnsiTheme="minorHAnsi" w:cstheme="minorHAnsi"/>
                <w:bCs/>
                <w:szCs w:val="22"/>
              </w:rPr>
              <w:t xml:space="preserve">x 1 sign at the junction of Twitter Lane </w:t>
            </w:r>
            <w:r w:rsidR="0097168C">
              <w:rPr>
                <w:rFonts w:asciiTheme="minorHAnsi" w:hAnsiTheme="minorHAnsi" w:cstheme="minorHAnsi"/>
                <w:bCs/>
                <w:szCs w:val="22"/>
              </w:rPr>
              <w:t>and</w:t>
            </w:r>
            <w:r>
              <w:rPr>
                <w:rFonts w:asciiTheme="minorHAnsi" w:hAnsiTheme="minorHAnsi" w:cstheme="minorHAnsi"/>
                <w:bCs/>
                <w:szCs w:val="22"/>
              </w:rPr>
              <w:t xml:space="preserve"> Bashall Lane at the entrance to Bashall Barn car park</w:t>
            </w:r>
          </w:p>
          <w:p w14:paraId="24B047D9" w14:textId="62279DAA" w:rsidR="003C0DA3" w:rsidRDefault="003C0DA3" w:rsidP="003C0DA3">
            <w:pPr>
              <w:pStyle w:val="ListParagraph"/>
              <w:numPr>
                <w:ilvl w:val="0"/>
                <w:numId w:val="16"/>
              </w:numPr>
              <w:rPr>
                <w:rFonts w:asciiTheme="minorHAnsi" w:hAnsiTheme="minorHAnsi" w:cstheme="minorHAnsi"/>
                <w:bCs/>
                <w:szCs w:val="22"/>
              </w:rPr>
            </w:pPr>
            <w:r>
              <w:rPr>
                <w:rFonts w:asciiTheme="minorHAnsi" w:hAnsiTheme="minorHAnsi" w:cstheme="minorHAnsi"/>
                <w:bCs/>
                <w:szCs w:val="22"/>
              </w:rPr>
              <w:t>x 1 sign at the junction of Back Lane and Clitheroe Road</w:t>
            </w:r>
          </w:p>
          <w:p w14:paraId="1B6DCADE" w14:textId="0C6F6537" w:rsidR="003C0DA3" w:rsidRDefault="003C0DA3" w:rsidP="003C0DA3">
            <w:pPr>
              <w:pStyle w:val="ListParagraph"/>
              <w:numPr>
                <w:ilvl w:val="0"/>
                <w:numId w:val="16"/>
              </w:numPr>
              <w:rPr>
                <w:rFonts w:asciiTheme="minorHAnsi" w:hAnsiTheme="minorHAnsi" w:cstheme="minorHAnsi"/>
                <w:bCs/>
                <w:szCs w:val="22"/>
              </w:rPr>
            </w:pPr>
            <w:r>
              <w:rPr>
                <w:rFonts w:asciiTheme="minorHAnsi" w:hAnsiTheme="minorHAnsi" w:cstheme="minorHAnsi"/>
                <w:bCs/>
                <w:szCs w:val="22"/>
              </w:rPr>
              <w:t>x 1 sign at the junction of Clitheroe Road and Birdy Brow</w:t>
            </w:r>
          </w:p>
          <w:p w14:paraId="6BDA3967" w14:textId="5DBE82F5" w:rsidR="003C0DA3" w:rsidRDefault="003C0DA3" w:rsidP="003C0DA3">
            <w:pPr>
              <w:pStyle w:val="ListParagraph"/>
              <w:numPr>
                <w:ilvl w:val="0"/>
                <w:numId w:val="16"/>
              </w:numPr>
              <w:rPr>
                <w:rFonts w:asciiTheme="minorHAnsi" w:hAnsiTheme="minorHAnsi" w:cstheme="minorHAnsi"/>
                <w:bCs/>
                <w:szCs w:val="22"/>
              </w:rPr>
            </w:pPr>
            <w:r>
              <w:rPr>
                <w:rFonts w:asciiTheme="minorHAnsi" w:hAnsiTheme="minorHAnsi" w:cstheme="minorHAnsi"/>
                <w:bCs/>
                <w:szCs w:val="22"/>
              </w:rPr>
              <w:t xml:space="preserve">x 1 sign </w:t>
            </w:r>
            <w:r w:rsidR="00774BB2">
              <w:rPr>
                <w:rFonts w:asciiTheme="minorHAnsi" w:hAnsiTheme="minorHAnsi" w:cstheme="minorHAnsi"/>
                <w:bCs/>
                <w:szCs w:val="22"/>
              </w:rPr>
              <w:t>at the junction of Mitton Road and Birdy Brow</w:t>
            </w:r>
          </w:p>
          <w:p w14:paraId="166A2EA7" w14:textId="2931307C" w:rsidR="00774BB2" w:rsidRDefault="00774BB2" w:rsidP="003C0DA3">
            <w:pPr>
              <w:pStyle w:val="ListParagraph"/>
              <w:numPr>
                <w:ilvl w:val="0"/>
                <w:numId w:val="16"/>
              </w:numPr>
              <w:rPr>
                <w:rFonts w:asciiTheme="minorHAnsi" w:hAnsiTheme="minorHAnsi" w:cstheme="minorHAnsi"/>
                <w:bCs/>
                <w:szCs w:val="22"/>
              </w:rPr>
            </w:pPr>
            <w:r>
              <w:rPr>
                <w:rFonts w:asciiTheme="minorHAnsi" w:hAnsiTheme="minorHAnsi" w:cstheme="minorHAnsi"/>
                <w:bCs/>
                <w:szCs w:val="22"/>
              </w:rPr>
              <w:t>x 1 sign at the junction of New Lane, Clitheroe Road and Clitheroe Lane</w:t>
            </w:r>
          </w:p>
          <w:p w14:paraId="17054743" w14:textId="77777777" w:rsidR="00774BB2" w:rsidRDefault="00774BB2" w:rsidP="00774BB2">
            <w:pPr>
              <w:rPr>
                <w:rFonts w:asciiTheme="minorHAnsi" w:hAnsiTheme="minorHAnsi" w:cstheme="minorHAnsi"/>
                <w:bCs/>
                <w:szCs w:val="22"/>
              </w:rPr>
            </w:pPr>
          </w:p>
          <w:p w14:paraId="193540B5" w14:textId="5745C6A8" w:rsidR="00774BB2" w:rsidRPr="00774BB2" w:rsidRDefault="0097168C" w:rsidP="00774BB2">
            <w:pPr>
              <w:rPr>
                <w:rFonts w:asciiTheme="minorHAnsi" w:hAnsiTheme="minorHAnsi" w:cstheme="minorHAnsi"/>
                <w:bCs/>
                <w:szCs w:val="22"/>
              </w:rPr>
            </w:pPr>
            <w:r>
              <w:rPr>
                <w:rFonts w:asciiTheme="minorHAnsi" w:hAnsiTheme="minorHAnsi" w:cstheme="minorHAnsi"/>
                <w:bCs/>
                <w:szCs w:val="22"/>
              </w:rPr>
              <w:t>The signage subject to this application is sited within an open countryside area comprising a mixture of country roads, agricultural land and woodland.</w:t>
            </w:r>
            <w:r w:rsidR="0074679B">
              <w:rPr>
                <w:rFonts w:asciiTheme="minorHAnsi" w:hAnsiTheme="minorHAnsi" w:cstheme="minorHAnsi"/>
                <w:bCs/>
                <w:szCs w:val="22"/>
              </w:rPr>
              <w:t xml:space="preserve"> </w:t>
            </w:r>
            <w:r w:rsidR="00F17525">
              <w:rPr>
                <w:rFonts w:asciiTheme="minorHAnsi" w:hAnsiTheme="minorHAnsi" w:cstheme="minorHAnsi"/>
                <w:bCs/>
                <w:szCs w:val="22"/>
              </w:rPr>
              <w:t xml:space="preserve"> The sign at the junction of Mitton Road and Birdy Brow is sited within the National Landscape (formerly AONB), with the other signs being located immediately adjacent to this designation.</w:t>
            </w:r>
          </w:p>
          <w:p w14:paraId="38A8A821" w14:textId="69812DEA" w:rsidR="000C70B9" w:rsidRPr="003C0C2B" w:rsidRDefault="000C70B9" w:rsidP="000C70B9">
            <w:pPr>
              <w:rPr>
                <w:rFonts w:asciiTheme="minorHAnsi" w:hAnsiTheme="minorHAnsi" w:cstheme="minorHAnsi"/>
                <w:szCs w:val="22"/>
              </w:rPr>
            </w:pPr>
          </w:p>
        </w:tc>
      </w:tr>
      <w:tr w:rsidR="008C75E4" w:rsidRPr="008C75E4" w14:paraId="6B383BA4" w14:textId="77777777" w:rsidTr="00ED077E">
        <w:trPr>
          <w:trHeight w:val="1152"/>
          <w:jc w:val="center"/>
        </w:trPr>
        <w:tc>
          <w:tcPr>
            <w:tcW w:w="9803" w:type="dxa"/>
            <w:gridSpan w:val="15"/>
            <w:tcMar>
              <w:top w:w="57" w:type="dxa"/>
              <w:bottom w:w="57" w:type="dxa"/>
            </w:tcMar>
          </w:tcPr>
          <w:p w14:paraId="6DF9D505"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246E1901" w14:textId="77777777" w:rsidR="00454754" w:rsidRDefault="00454754" w:rsidP="00454754">
            <w:pPr>
              <w:pStyle w:val="Header"/>
              <w:tabs>
                <w:tab w:val="clear" w:pos="4153"/>
                <w:tab w:val="clear" w:pos="8306"/>
              </w:tabs>
              <w:jc w:val="both"/>
              <w:rPr>
                <w:rFonts w:ascii="Calibri" w:hAnsi="Calibri"/>
                <w:szCs w:val="22"/>
              </w:rPr>
            </w:pPr>
          </w:p>
          <w:p w14:paraId="59E40B55" w14:textId="75A7AC62" w:rsidR="00097705" w:rsidRDefault="00A10B01" w:rsidP="00B10C13">
            <w:pPr>
              <w:pStyle w:val="Header"/>
              <w:tabs>
                <w:tab w:val="clear" w:pos="4153"/>
                <w:tab w:val="clear" w:pos="8306"/>
              </w:tabs>
              <w:jc w:val="both"/>
              <w:rPr>
                <w:rFonts w:ascii="Calibri" w:hAnsi="Calibri"/>
                <w:szCs w:val="22"/>
              </w:rPr>
            </w:pPr>
            <w:r>
              <w:rPr>
                <w:rFonts w:ascii="Calibri" w:hAnsi="Calibri"/>
                <w:szCs w:val="22"/>
              </w:rPr>
              <w:t>Retrospective Advertisement Consent is sought for the retention of five illuminated directional signs.</w:t>
            </w:r>
            <w:r w:rsidR="00AB71C8">
              <w:rPr>
                <w:rFonts w:ascii="Calibri" w:hAnsi="Calibri"/>
                <w:szCs w:val="22"/>
              </w:rPr>
              <w:t xml:space="preserve"> It is stated that the signage has been erected for the purposes of directing wedding guests from outside of the local area to the wedding venue at Bashall Barn.</w:t>
            </w:r>
          </w:p>
          <w:p w14:paraId="036C424D" w14:textId="474C6C50" w:rsidR="009B14D5" w:rsidRPr="00F012FA" w:rsidRDefault="009B14D5" w:rsidP="00B10C13">
            <w:pPr>
              <w:pStyle w:val="Header"/>
              <w:tabs>
                <w:tab w:val="clear" w:pos="4153"/>
                <w:tab w:val="clear" w:pos="8306"/>
              </w:tabs>
              <w:jc w:val="both"/>
              <w:rPr>
                <w:rFonts w:ascii="Calibri" w:hAnsi="Calibri"/>
                <w:szCs w:val="22"/>
              </w:rPr>
            </w:pPr>
          </w:p>
        </w:tc>
      </w:tr>
      <w:tr w:rsidR="001C6F42" w:rsidRPr="008C75E4" w14:paraId="7E964B2B" w14:textId="77777777" w:rsidTr="00ED077E">
        <w:trPr>
          <w:trHeight w:val="1152"/>
          <w:jc w:val="center"/>
        </w:trPr>
        <w:tc>
          <w:tcPr>
            <w:tcW w:w="9803" w:type="dxa"/>
            <w:gridSpan w:val="15"/>
            <w:tcMar>
              <w:top w:w="57" w:type="dxa"/>
              <w:bottom w:w="57" w:type="dxa"/>
            </w:tcMar>
          </w:tcPr>
          <w:p w14:paraId="287F6B2E" w14:textId="77777777" w:rsidR="001C6F42" w:rsidRDefault="001C6F42" w:rsidP="00454754">
            <w:pPr>
              <w:pStyle w:val="Header"/>
              <w:tabs>
                <w:tab w:val="clear" w:pos="4153"/>
                <w:tab w:val="clear" w:pos="8306"/>
              </w:tabs>
              <w:jc w:val="both"/>
              <w:rPr>
                <w:rFonts w:ascii="Calibri" w:hAnsi="Calibri"/>
                <w:b/>
                <w:szCs w:val="22"/>
              </w:rPr>
            </w:pPr>
            <w:r>
              <w:rPr>
                <w:rFonts w:ascii="Calibri" w:hAnsi="Calibri"/>
                <w:b/>
                <w:szCs w:val="22"/>
              </w:rPr>
              <w:t>Principle of development:</w:t>
            </w:r>
          </w:p>
          <w:p w14:paraId="11C884B1" w14:textId="77777777" w:rsidR="001A512E" w:rsidRDefault="001A512E" w:rsidP="00454754">
            <w:pPr>
              <w:pStyle w:val="Header"/>
              <w:tabs>
                <w:tab w:val="clear" w:pos="4153"/>
                <w:tab w:val="clear" w:pos="8306"/>
              </w:tabs>
              <w:jc w:val="both"/>
              <w:rPr>
                <w:rFonts w:ascii="Calibri" w:hAnsi="Calibri"/>
                <w:b/>
                <w:szCs w:val="22"/>
              </w:rPr>
            </w:pPr>
          </w:p>
          <w:p w14:paraId="2B5E925A" w14:textId="77777777" w:rsidR="00662327" w:rsidRDefault="001A512E" w:rsidP="00472D00">
            <w:pPr>
              <w:pStyle w:val="Header"/>
              <w:tabs>
                <w:tab w:val="clear" w:pos="4153"/>
                <w:tab w:val="clear" w:pos="8306"/>
              </w:tabs>
              <w:jc w:val="both"/>
              <w:rPr>
                <w:rFonts w:ascii="Calibri" w:hAnsi="Calibri"/>
                <w:szCs w:val="22"/>
              </w:rPr>
            </w:pPr>
            <w:r w:rsidRPr="001A512E">
              <w:rPr>
                <w:rFonts w:ascii="Calibri" w:hAnsi="Calibri"/>
                <w:szCs w:val="22"/>
              </w:rPr>
              <w:t xml:space="preserve">The principle of the </w:t>
            </w:r>
            <w:r w:rsidR="00ED04E0">
              <w:rPr>
                <w:rFonts w:ascii="Calibri" w:hAnsi="Calibri"/>
                <w:szCs w:val="22"/>
              </w:rPr>
              <w:t xml:space="preserve">commercial </w:t>
            </w:r>
            <w:r w:rsidRPr="001A512E">
              <w:rPr>
                <w:rFonts w:ascii="Calibri" w:hAnsi="Calibri"/>
                <w:szCs w:val="22"/>
              </w:rPr>
              <w:t xml:space="preserve">advertising is not unacceptable subject to it being appropriate in terms of the material considerations, namely public amenity and highway safety. </w:t>
            </w:r>
          </w:p>
          <w:p w14:paraId="6DEED60B" w14:textId="1B7452A6" w:rsidR="00472D00" w:rsidRPr="008C75E4" w:rsidRDefault="00472D00" w:rsidP="00472D00">
            <w:pPr>
              <w:pStyle w:val="Header"/>
              <w:tabs>
                <w:tab w:val="clear" w:pos="4153"/>
                <w:tab w:val="clear" w:pos="8306"/>
              </w:tabs>
              <w:jc w:val="both"/>
              <w:rPr>
                <w:rFonts w:ascii="Calibri" w:hAnsi="Calibri"/>
                <w:b/>
                <w:szCs w:val="22"/>
              </w:rPr>
            </w:pPr>
          </w:p>
        </w:tc>
      </w:tr>
      <w:tr w:rsidR="008C75E4" w:rsidRPr="008C75E4" w14:paraId="1F6692C4" w14:textId="77777777" w:rsidTr="00ED077E">
        <w:trPr>
          <w:trHeight w:val="864"/>
          <w:jc w:val="center"/>
        </w:trPr>
        <w:tc>
          <w:tcPr>
            <w:tcW w:w="9803" w:type="dxa"/>
            <w:gridSpan w:val="15"/>
            <w:tcMar>
              <w:top w:w="57" w:type="dxa"/>
              <w:bottom w:w="57" w:type="dxa"/>
            </w:tcMar>
          </w:tcPr>
          <w:p w14:paraId="67550134" w14:textId="77D1091B" w:rsidR="00ED00B7" w:rsidRDefault="007F1331" w:rsidP="006126D1">
            <w:pPr>
              <w:contextualSpacing/>
              <w:jc w:val="both"/>
              <w:rPr>
                <w:rFonts w:ascii="Calibri" w:hAnsi="Calibri"/>
                <w:b/>
                <w:szCs w:val="22"/>
              </w:rPr>
            </w:pPr>
            <w:r>
              <w:rPr>
                <w:rFonts w:ascii="Calibri" w:hAnsi="Calibri"/>
                <w:b/>
                <w:szCs w:val="22"/>
              </w:rPr>
              <w:lastRenderedPageBreak/>
              <w:t>Public</w:t>
            </w:r>
            <w:r w:rsidR="00F71D53" w:rsidRPr="00DF42DA">
              <w:rPr>
                <w:rFonts w:ascii="Calibri" w:hAnsi="Calibri"/>
                <w:b/>
                <w:szCs w:val="22"/>
              </w:rPr>
              <w:t xml:space="preserve"> Amenity</w:t>
            </w:r>
            <w:r w:rsidR="00DF42DA" w:rsidRPr="00DF42DA">
              <w:rPr>
                <w:rFonts w:ascii="Calibri" w:hAnsi="Calibri"/>
                <w:b/>
                <w:szCs w:val="22"/>
              </w:rPr>
              <w:t>:</w:t>
            </w:r>
          </w:p>
          <w:p w14:paraId="788D33E2" w14:textId="77777777" w:rsidR="004B0EB7" w:rsidRDefault="004B0EB7" w:rsidP="004B0EB7">
            <w:pPr>
              <w:contextualSpacing/>
              <w:jc w:val="both"/>
              <w:rPr>
                <w:rFonts w:ascii="Calibri" w:hAnsi="Calibri"/>
                <w:bCs/>
                <w:szCs w:val="22"/>
              </w:rPr>
            </w:pPr>
          </w:p>
          <w:p w14:paraId="7BB57499" w14:textId="3B9C5C49" w:rsidR="004B0EB7" w:rsidRDefault="004B0EB7" w:rsidP="004B0EB7">
            <w:pPr>
              <w:contextualSpacing/>
              <w:jc w:val="both"/>
              <w:rPr>
                <w:rFonts w:ascii="Calibri" w:hAnsi="Calibri"/>
                <w:bCs/>
                <w:szCs w:val="22"/>
              </w:rPr>
            </w:pPr>
            <w:r w:rsidRPr="004B0EB7">
              <w:rPr>
                <w:rFonts w:ascii="Calibri" w:hAnsi="Calibri"/>
                <w:bCs/>
                <w:szCs w:val="22"/>
              </w:rPr>
              <w:t xml:space="preserve">National guidance recommends that planning authorities should always consider the local characteristics of the neighbourhood when assessing applications to display adverts and signs. In essence, this involves an evaluation of whether the advertisement or sign is proportionate to and in keeping with an area’s surrounding features. </w:t>
            </w:r>
          </w:p>
          <w:p w14:paraId="7A2C413E" w14:textId="77777777" w:rsidR="004832F1" w:rsidRDefault="004832F1" w:rsidP="004B0EB7">
            <w:pPr>
              <w:contextualSpacing/>
              <w:jc w:val="both"/>
              <w:rPr>
                <w:rFonts w:ascii="Calibri" w:hAnsi="Calibri"/>
                <w:bCs/>
                <w:szCs w:val="22"/>
              </w:rPr>
            </w:pPr>
          </w:p>
          <w:p w14:paraId="7BF9560F" w14:textId="77777777" w:rsidR="004832F1" w:rsidRPr="004832F1" w:rsidRDefault="004832F1" w:rsidP="004832F1">
            <w:pPr>
              <w:rPr>
                <w:rFonts w:ascii="Calibri" w:hAnsi="Calibri"/>
                <w:bCs/>
                <w:iCs/>
                <w:szCs w:val="22"/>
              </w:rPr>
            </w:pPr>
            <w:r>
              <w:rPr>
                <w:rFonts w:ascii="Calibri" w:hAnsi="Calibri"/>
                <w:bCs/>
                <w:szCs w:val="22"/>
              </w:rPr>
              <w:t xml:space="preserve">In addition, </w:t>
            </w:r>
            <w:r w:rsidRPr="004832F1">
              <w:rPr>
                <w:rFonts w:ascii="Calibri" w:hAnsi="Calibri"/>
                <w:bCs/>
                <w:iCs/>
                <w:szCs w:val="22"/>
              </w:rPr>
              <w:t>Paragraph 135 (c) of the NPPF states:</w:t>
            </w:r>
          </w:p>
          <w:p w14:paraId="276775A3" w14:textId="77777777" w:rsidR="004832F1" w:rsidRPr="004832F1" w:rsidRDefault="004832F1" w:rsidP="004832F1">
            <w:pPr>
              <w:contextualSpacing/>
              <w:jc w:val="both"/>
              <w:rPr>
                <w:rFonts w:ascii="Calibri" w:hAnsi="Calibri"/>
                <w:bCs/>
                <w:iCs/>
                <w:szCs w:val="22"/>
              </w:rPr>
            </w:pPr>
          </w:p>
          <w:p w14:paraId="4718AF2D" w14:textId="77777777" w:rsidR="004832F1" w:rsidRPr="004832F1" w:rsidRDefault="004832F1" w:rsidP="004832F1">
            <w:pPr>
              <w:contextualSpacing/>
              <w:jc w:val="both"/>
              <w:rPr>
                <w:rFonts w:ascii="Calibri" w:hAnsi="Calibri"/>
                <w:bCs/>
                <w:i/>
                <w:iCs/>
                <w:szCs w:val="22"/>
              </w:rPr>
            </w:pPr>
            <w:r w:rsidRPr="004832F1">
              <w:rPr>
                <w:rFonts w:ascii="Calibri" w:hAnsi="Calibri"/>
                <w:bCs/>
                <w:i/>
                <w:iCs/>
                <w:szCs w:val="22"/>
              </w:rPr>
              <w:t>‘Planning policies and decisions should ensure that developments are sympathetic to local character and history, including the surrounding built environment and landscape setting’.</w:t>
            </w:r>
          </w:p>
          <w:p w14:paraId="055FA81D" w14:textId="77777777" w:rsidR="004832F1" w:rsidRDefault="004832F1" w:rsidP="004B0EB7">
            <w:pPr>
              <w:contextualSpacing/>
              <w:jc w:val="both"/>
              <w:rPr>
                <w:rFonts w:ascii="Calibri" w:hAnsi="Calibri"/>
                <w:bCs/>
                <w:szCs w:val="22"/>
              </w:rPr>
            </w:pPr>
          </w:p>
          <w:p w14:paraId="29431094" w14:textId="466ED7F1" w:rsidR="004832F1" w:rsidRDefault="004832F1" w:rsidP="004B0EB7">
            <w:pPr>
              <w:contextualSpacing/>
              <w:jc w:val="both"/>
              <w:rPr>
                <w:rFonts w:ascii="Calibri" w:hAnsi="Calibri"/>
                <w:bCs/>
                <w:szCs w:val="22"/>
              </w:rPr>
            </w:pPr>
            <w:r>
              <w:rPr>
                <w:rFonts w:ascii="Calibri" w:hAnsi="Calibri"/>
                <w:bCs/>
                <w:szCs w:val="22"/>
              </w:rPr>
              <w:t>In a similar vein, Policy DMG1 of the Core Strategy states:</w:t>
            </w:r>
          </w:p>
          <w:p w14:paraId="1CD1AD81" w14:textId="77777777" w:rsidR="004832F1" w:rsidRDefault="004832F1" w:rsidP="004B0EB7">
            <w:pPr>
              <w:contextualSpacing/>
              <w:jc w:val="both"/>
              <w:rPr>
                <w:rFonts w:ascii="Calibri" w:hAnsi="Calibri"/>
                <w:bCs/>
                <w:szCs w:val="22"/>
              </w:rPr>
            </w:pPr>
          </w:p>
          <w:p w14:paraId="2454DEA9" w14:textId="77777777" w:rsidR="004832F1" w:rsidRDefault="004832F1" w:rsidP="004832F1">
            <w:pPr>
              <w:contextualSpacing/>
              <w:jc w:val="both"/>
              <w:rPr>
                <w:rFonts w:ascii="Calibri" w:hAnsi="Calibri"/>
                <w:bCs/>
                <w:i/>
                <w:iCs/>
                <w:szCs w:val="22"/>
              </w:rPr>
            </w:pPr>
            <w:r w:rsidRPr="004832F1">
              <w:rPr>
                <w:rFonts w:ascii="Calibri" w:hAnsi="Calibri"/>
                <w:bCs/>
                <w:i/>
                <w:iCs/>
                <w:szCs w:val="22"/>
              </w:rPr>
              <w:t>‘All</w:t>
            </w:r>
            <w:r w:rsidRPr="004832F1">
              <w:rPr>
                <w:rFonts w:ascii="Calibri" w:hAnsi="Calibri"/>
                <w:bCs/>
                <w:iCs/>
                <w:szCs w:val="22"/>
              </w:rPr>
              <w:t xml:space="preserve"> </w:t>
            </w:r>
            <w:r w:rsidRPr="004832F1">
              <w:rPr>
                <w:rFonts w:ascii="Calibri" w:hAnsi="Calibri"/>
                <w:bCs/>
                <w:i/>
                <w:iCs/>
                <w:szCs w:val="22"/>
              </w:rPr>
              <w:t>development must</w:t>
            </w:r>
            <w:r w:rsidRPr="004832F1">
              <w:rPr>
                <w:rFonts w:ascii="Calibri" w:hAnsi="Calibri"/>
                <w:bCs/>
                <w:iCs/>
                <w:szCs w:val="22"/>
              </w:rPr>
              <w:t xml:space="preserve"> </w:t>
            </w:r>
            <w:r w:rsidRPr="004832F1">
              <w:rPr>
                <w:rFonts w:ascii="Calibri" w:hAnsi="Calibri"/>
                <w:bCs/>
                <w:i/>
                <w:iCs/>
                <w:szCs w:val="22"/>
              </w:rPr>
              <w:t>be sympathetic to existing and proposed land uses in terms of its size, intensity and nature as well as scale, massing and style…particular emphasis will be placed on visual appearance and the relationship to surroundings, including impact on landscape character.’</w:t>
            </w:r>
          </w:p>
          <w:p w14:paraId="7CE3D325" w14:textId="77777777" w:rsidR="004832F1" w:rsidRDefault="004832F1" w:rsidP="004832F1">
            <w:pPr>
              <w:contextualSpacing/>
              <w:jc w:val="both"/>
              <w:rPr>
                <w:rFonts w:ascii="Calibri" w:hAnsi="Calibri"/>
                <w:bCs/>
                <w:i/>
                <w:iCs/>
                <w:szCs w:val="22"/>
              </w:rPr>
            </w:pPr>
          </w:p>
          <w:p w14:paraId="6A7ECDB4" w14:textId="48D58B5A" w:rsidR="004832F1" w:rsidRPr="004832F1" w:rsidRDefault="004832F1" w:rsidP="004832F1">
            <w:pPr>
              <w:contextualSpacing/>
              <w:jc w:val="both"/>
              <w:rPr>
                <w:rFonts w:ascii="Calibri" w:hAnsi="Calibri"/>
                <w:bCs/>
                <w:szCs w:val="22"/>
              </w:rPr>
            </w:pPr>
            <w:r w:rsidRPr="004832F1">
              <w:rPr>
                <w:rFonts w:ascii="Calibri" w:hAnsi="Calibri"/>
                <w:bCs/>
                <w:iCs/>
                <w:szCs w:val="22"/>
              </w:rPr>
              <w:t xml:space="preserve">With respect to development within </w:t>
            </w:r>
            <w:r>
              <w:rPr>
                <w:rFonts w:ascii="Calibri" w:hAnsi="Calibri"/>
                <w:bCs/>
                <w:iCs/>
                <w:szCs w:val="22"/>
              </w:rPr>
              <w:t xml:space="preserve">the setting of </w:t>
            </w:r>
            <w:r w:rsidRPr="004832F1">
              <w:rPr>
                <w:rFonts w:ascii="Calibri" w:hAnsi="Calibri"/>
                <w:bCs/>
                <w:iCs/>
                <w:szCs w:val="22"/>
              </w:rPr>
              <w:t xml:space="preserve">National Landscapes, </w:t>
            </w:r>
            <w:r w:rsidRPr="004832F1">
              <w:rPr>
                <w:rFonts w:ascii="Calibri" w:hAnsi="Calibri"/>
                <w:bCs/>
                <w:szCs w:val="22"/>
              </w:rPr>
              <w:t>Paragraph 182 of the NPPF states:</w:t>
            </w:r>
          </w:p>
          <w:p w14:paraId="1DA6718C" w14:textId="77777777" w:rsidR="004832F1" w:rsidRPr="004832F1" w:rsidRDefault="004832F1" w:rsidP="004832F1">
            <w:pPr>
              <w:contextualSpacing/>
              <w:jc w:val="both"/>
              <w:rPr>
                <w:rFonts w:ascii="Calibri" w:hAnsi="Calibri"/>
                <w:bCs/>
                <w:i/>
                <w:iCs/>
                <w:szCs w:val="22"/>
              </w:rPr>
            </w:pPr>
          </w:p>
          <w:p w14:paraId="155EC4B4" w14:textId="77777777" w:rsidR="004832F1" w:rsidRPr="004832F1" w:rsidRDefault="004832F1" w:rsidP="004832F1">
            <w:pPr>
              <w:contextualSpacing/>
              <w:jc w:val="both"/>
              <w:rPr>
                <w:rFonts w:ascii="Calibri" w:hAnsi="Calibri"/>
                <w:bCs/>
                <w:i/>
                <w:iCs/>
                <w:szCs w:val="22"/>
              </w:rPr>
            </w:pPr>
            <w:r w:rsidRPr="004832F1">
              <w:rPr>
                <w:rFonts w:ascii="Calibri" w:hAnsi="Calibri"/>
                <w:bCs/>
                <w:i/>
                <w:iCs/>
                <w:szCs w:val="22"/>
              </w:rPr>
              <w:t>‘Great weight should be given to conserving and enhancing landscape and scenic beauty in National Parks, the Broads and Areas of Outstanding Natural Beauty…development within their setting should be sensitively located and designed to avoid or minimise adverse impacts on the designated areas.’</w:t>
            </w:r>
          </w:p>
          <w:p w14:paraId="6FACF3BF" w14:textId="77777777" w:rsidR="004832F1" w:rsidRPr="004832F1" w:rsidRDefault="004832F1" w:rsidP="004832F1">
            <w:pPr>
              <w:contextualSpacing/>
              <w:jc w:val="both"/>
              <w:rPr>
                <w:rFonts w:ascii="Calibri" w:hAnsi="Calibri"/>
                <w:b/>
                <w:bCs/>
                <w:szCs w:val="22"/>
              </w:rPr>
            </w:pPr>
          </w:p>
          <w:p w14:paraId="4F873DC6" w14:textId="7EAFD3B7" w:rsidR="004832F1" w:rsidRDefault="004832F1" w:rsidP="004832F1">
            <w:pPr>
              <w:contextualSpacing/>
              <w:jc w:val="both"/>
              <w:rPr>
                <w:rFonts w:ascii="Calibri" w:hAnsi="Calibri"/>
                <w:bCs/>
                <w:szCs w:val="22"/>
              </w:rPr>
            </w:pPr>
            <w:r w:rsidRPr="004832F1">
              <w:rPr>
                <w:rFonts w:ascii="Calibri" w:hAnsi="Calibri"/>
                <w:bCs/>
                <w:szCs w:val="22"/>
              </w:rPr>
              <w:t xml:space="preserve">Key Statement EN2 of the Core Strategy provides similar guidance: </w:t>
            </w:r>
          </w:p>
          <w:p w14:paraId="535964F7" w14:textId="77777777" w:rsidR="006E2413" w:rsidRPr="004832F1" w:rsidRDefault="006E2413" w:rsidP="004832F1">
            <w:pPr>
              <w:contextualSpacing/>
              <w:jc w:val="both"/>
              <w:rPr>
                <w:rFonts w:ascii="Calibri" w:hAnsi="Calibri"/>
                <w:bCs/>
                <w:szCs w:val="22"/>
              </w:rPr>
            </w:pPr>
          </w:p>
          <w:p w14:paraId="1259C2C7" w14:textId="77777777" w:rsidR="004832F1" w:rsidRPr="004832F1" w:rsidRDefault="004832F1" w:rsidP="004832F1">
            <w:pPr>
              <w:contextualSpacing/>
              <w:jc w:val="both"/>
              <w:rPr>
                <w:rFonts w:ascii="Calibri" w:hAnsi="Calibri"/>
                <w:bCs/>
                <w:i/>
                <w:iCs/>
                <w:szCs w:val="22"/>
              </w:rPr>
            </w:pPr>
            <w:r w:rsidRPr="004832F1">
              <w:rPr>
                <w:rFonts w:ascii="Calibri" w:hAnsi="Calibri"/>
                <w:bCs/>
                <w:i/>
                <w:iCs/>
                <w:szCs w:val="22"/>
              </w:rPr>
              <w:t>‘The landscape and character of those areas that contribute to the setting and character of the Forest of Bowland Areas of Outstanding Natural Beauty will be protected and conserved and wherever possible enhanced. As a principle the Council will expect development to be in keeping with the character of the landscape, reflecting local distinctiveness, vernacular style, scale, style, features and building materials.’</w:t>
            </w:r>
          </w:p>
          <w:p w14:paraId="40FFD2C4" w14:textId="7FEDCAF6" w:rsidR="004873AF" w:rsidRDefault="004873AF" w:rsidP="008E21A6">
            <w:pPr>
              <w:contextualSpacing/>
              <w:jc w:val="both"/>
              <w:rPr>
                <w:rFonts w:ascii="Calibri" w:hAnsi="Calibri"/>
                <w:bCs/>
                <w:szCs w:val="22"/>
              </w:rPr>
            </w:pPr>
          </w:p>
          <w:p w14:paraId="744E8B93" w14:textId="6692A8DB" w:rsidR="00307CB9" w:rsidRDefault="001A2D19" w:rsidP="00AB71C8">
            <w:pPr>
              <w:rPr>
                <w:rFonts w:ascii="Calibri" w:hAnsi="Calibri"/>
                <w:bCs/>
                <w:szCs w:val="22"/>
              </w:rPr>
            </w:pPr>
            <w:r>
              <w:rPr>
                <w:rFonts w:ascii="Calibri" w:hAnsi="Calibri"/>
                <w:bCs/>
                <w:szCs w:val="22"/>
              </w:rPr>
              <w:t>T</w:t>
            </w:r>
            <w:r w:rsidR="00AB71C8">
              <w:rPr>
                <w:rFonts w:ascii="Calibri" w:hAnsi="Calibri"/>
                <w:bCs/>
                <w:szCs w:val="22"/>
              </w:rPr>
              <w:t>he signs in question are sited within an area of open countryside</w:t>
            </w:r>
            <w:r w:rsidR="00F17525">
              <w:rPr>
                <w:rFonts w:ascii="Calibri" w:hAnsi="Calibri"/>
                <w:bCs/>
                <w:szCs w:val="22"/>
              </w:rPr>
              <w:t xml:space="preserve"> and also within or immediately adjacent to the National Landscape designation,</w:t>
            </w:r>
            <w:r w:rsidR="00AB71C8">
              <w:rPr>
                <w:rFonts w:ascii="Calibri" w:hAnsi="Calibri"/>
                <w:bCs/>
                <w:szCs w:val="22"/>
              </w:rPr>
              <w:t xml:space="preserve"> to the South of Bashall Barn </w:t>
            </w:r>
            <w:r w:rsidR="00307CB9">
              <w:rPr>
                <w:rFonts w:ascii="Calibri" w:hAnsi="Calibri"/>
                <w:bCs/>
                <w:szCs w:val="22"/>
              </w:rPr>
              <w:t xml:space="preserve">which is predominantly characterised by narrow country roads, hedgerows, woodland and open fields. Signage within this area is largely limited to </w:t>
            </w:r>
            <w:r>
              <w:rPr>
                <w:rFonts w:ascii="Calibri" w:hAnsi="Calibri"/>
                <w:bCs/>
                <w:szCs w:val="22"/>
              </w:rPr>
              <w:t xml:space="preserve">small scale </w:t>
            </w:r>
            <w:r w:rsidR="00307CB9">
              <w:rPr>
                <w:rFonts w:ascii="Calibri" w:hAnsi="Calibri"/>
                <w:bCs/>
                <w:szCs w:val="22"/>
              </w:rPr>
              <w:t>directional road signage of modest proportions</w:t>
            </w:r>
            <w:r>
              <w:rPr>
                <w:rFonts w:ascii="Calibri" w:hAnsi="Calibri"/>
                <w:bCs/>
                <w:szCs w:val="22"/>
              </w:rPr>
              <w:t xml:space="preserve">. </w:t>
            </w:r>
            <w:r w:rsidR="00C82793">
              <w:rPr>
                <w:rFonts w:ascii="Calibri" w:hAnsi="Calibri"/>
                <w:bCs/>
                <w:szCs w:val="22"/>
              </w:rPr>
              <w:t>Small scale brown tourist signage for Bashall Barn is also prevalent within the locality.</w:t>
            </w:r>
          </w:p>
          <w:p w14:paraId="2B5A4F44" w14:textId="77777777" w:rsidR="00307CB9" w:rsidRDefault="00307CB9" w:rsidP="00AB71C8">
            <w:pPr>
              <w:rPr>
                <w:rFonts w:ascii="Calibri" w:hAnsi="Calibri"/>
                <w:bCs/>
                <w:szCs w:val="22"/>
              </w:rPr>
            </w:pPr>
          </w:p>
          <w:p w14:paraId="318DD882" w14:textId="4EB37706" w:rsidR="009A23E0" w:rsidRDefault="001A2D19" w:rsidP="0009675E">
            <w:pPr>
              <w:rPr>
                <w:rFonts w:ascii="Calibri" w:hAnsi="Calibri"/>
                <w:bCs/>
                <w:szCs w:val="22"/>
              </w:rPr>
            </w:pPr>
            <w:r>
              <w:rPr>
                <w:rFonts w:ascii="Calibri" w:hAnsi="Calibri"/>
                <w:bCs/>
                <w:szCs w:val="22"/>
              </w:rPr>
              <w:t xml:space="preserve">In contrast, the signage proposed for retention comprises five </w:t>
            </w:r>
            <w:r w:rsidR="0009675E">
              <w:rPr>
                <w:rFonts w:ascii="Calibri" w:hAnsi="Calibri"/>
                <w:bCs/>
                <w:szCs w:val="22"/>
              </w:rPr>
              <w:t xml:space="preserve">rectangular </w:t>
            </w:r>
            <w:r w:rsidR="00C34B2B">
              <w:rPr>
                <w:rFonts w:ascii="Calibri" w:hAnsi="Calibri"/>
                <w:bCs/>
                <w:szCs w:val="22"/>
              </w:rPr>
              <w:t xml:space="preserve">steel </w:t>
            </w:r>
            <w:r w:rsidR="0009675E">
              <w:rPr>
                <w:rFonts w:ascii="Calibri" w:hAnsi="Calibri"/>
                <w:bCs/>
                <w:szCs w:val="22"/>
              </w:rPr>
              <w:t xml:space="preserve">advertisement boards </w:t>
            </w:r>
            <w:r>
              <w:rPr>
                <w:rFonts w:ascii="Calibri" w:hAnsi="Calibri"/>
                <w:bCs/>
                <w:szCs w:val="22"/>
              </w:rPr>
              <w:t xml:space="preserve">of </w:t>
            </w:r>
            <w:r w:rsidR="00C82793">
              <w:rPr>
                <w:rFonts w:ascii="Calibri" w:hAnsi="Calibri"/>
                <w:bCs/>
                <w:szCs w:val="22"/>
              </w:rPr>
              <w:t>significantly larger</w:t>
            </w:r>
            <w:r>
              <w:rPr>
                <w:rFonts w:ascii="Calibri" w:hAnsi="Calibri"/>
                <w:bCs/>
                <w:szCs w:val="22"/>
              </w:rPr>
              <w:t xml:space="preserve"> proportions</w:t>
            </w:r>
            <w:r w:rsidR="0009675E">
              <w:rPr>
                <w:rFonts w:ascii="Calibri" w:hAnsi="Calibri"/>
                <w:bCs/>
                <w:szCs w:val="22"/>
              </w:rPr>
              <w:t>, with each of the</w:t>
            </w:r>
            <w:r w:rsidR="004D5C70">
              <w:rPr>
                <w:rFonts w:ascii="Calibri" w:hAnsi="Calibri"/>
                <w:bCs/>
                <w:szCs w:val="22"/>
              </w:rPr>
              <w:t xml:space="preserve"> sizeable</w:t>
            </w:r>
            <w:r w:rsidR="0009675E">
              <w:rPr>
                <w:rFonts w:ascii="Calibri" w:hAnsi="Calibri"/>
                <w:bCs/>
                <w:szCs w:val="22"/>
              </w:rPr>
              <w:t xml:space="preserve"> boards displaying conspicuous etched lettering and a logo associated with the wedding venue. </w:t>
            </w:r>
            <w:r w:rsidR="00A60ABC">
              <w:rPr>
                <w:rFonts w:ascii="Calibri" w:hAnsi="Calibri"/>
                <w:bCs/>
                <w:szCs w:val="22"/>
              </w:rPr>
              <w:t>E</w:t>
            </w:r>
            <w:r w:rsidR="0009675E">
              <w:rPr>
                <w:rFonts w:ascii="Calibri" w:hAnsi="Calibri"/>
                <w:bCs/>
                <w:szCs w:val="22"/>
              </w:rPr>
              <w:t>ach of the advertisement boards are</w:t>
            </w:r>
            <w:r w:rsidR="0009675E" w:rsidRPr="0009675E">
              <w:rPr>
                <w:rFonts w:ascii="Calibri" w:hAnsi="Calibri"/>
                <w:bCs/>
                <w:szCs w:val="22"/>
              </w:rPr>
              <w:t xml:space="preserve"> mounted within timber frames </w:t>
            </w:r>
            <w:r w:rsidR="0009675E">
              <w:rPr>
                <w:rFonts w:ascii="Calibri" w:hAnsi="Calibri"/>
                <w:bCs/>
                <w:szCs w:val="22"/>
              </w:rPr>
              <w:t>which stand at</w:t>
            </w:r>
            <w:r w:rsidR="0009675E" w:rsidRPr="0009675E">
              <w:rPr>
                <w:rFonts w:ascii="Calibri" w:hAnsi="Calibri"/>
                <w:bCs/>
                <w:szCs w:val="22"/>
              </w:rPr>
              <w:t xml:space="preserve"> heights of 2 – 3 metres above </w:t>
            </w:r>
            <w:r w:rsidR="0009675E">
              <w:rPr>
                <w:rFonts w:ascii="Calibri" w:hAnsi="Calibri"/>
                <w:bCs/>
                <w:szCs w:val="22"/>
              </w:rPr>
              <w:t>the roadside</w:t>
            </w:r>
            <w:r w:rsidR="0009675E" w:rsidRPr="0009675E">
              <w:rPr>
                <w:rFonts w:ascii="Calibri" w:hAnsi="Calibri"/>
                <w:bCs/>
                <w:szCs w:val="22"/>
              </w:rPr>
              <w:t xml:space="preserve"> lev</w:t>
            </w:r>
            <w:r w:rsidR="00C34B2B">
              <w:rPr>
                <w:rFonts w:ascii="Calibri" w:hAnsi="Calibri"/>
                <w:bCs/>
                <w:szCs w:val="22"/>
              </w:rPr>
              <w:t>el</w:t>
            </w:r>
            <w:r w:rsidR="00A60ABC">
              <w:rPr>
                <w:rFonts w:ascii="Calibri" w:hAnsi="Calibri"/>
                <w:bCs/>
                <w:szCs w:val="22"/>
              </w:rPr>
              <w:t xml:space="preserve">, with the </w:t>
            </w:r>
            <w:r w:rsidR="00A60ABC" w:rsidRPr="0009675E">
              <w:rPr>
                <w:rFonts w:ascii="Calibri" w:hAnsi="Calibri"/>
                <w:bCs/>
                <w:szCs w:val="22"/>
              </w:rPr>
              <w:t>lower sections of the timber frames</w:t>
            </w:r>
            <w:r w:rsidR="00A60ABC">
              <w:rPr>
                <w:rFonts w:ascii="Calibri" w:hAnsi="Calibri"/>
                <w:bCs/>
                <w:szCs w:val="22"/>
              </w:rPr>
              <w:t xml:space="preserve"> also</w:t>
            </w:r>
            <w:r w:rsidR="00A60ABC" w:rsidRPr="0009675E">
              <w:rPr>
                <w:rFonts w:ascii="Calibri" w:hAnsi="Calibri"/>
                <w:bCs/>
                <w:szCs w:val="22"/>
              </w:rPr>
              <w:t xml:space="preserve"> incorporat</w:t>
            </w:r>
            <w:r w:rsidR="00A60ABC">
              <w:rPr>
                <w:rFonts w:ascii="Calibri" w:hAnsi="Calibri"/>
                <w:bCs/>
                <w:szCs w:val="22"/>
              </w:rPr>
              <w:t>ing</w:t>
            </w:r>
            <w:r w:rsidR="00A60ABC" w:rsidRPr="0009675E">
              <w:rPr>
                <w:rFonts w:ascii="Calibri" w:hAnsi="Calibri"/>
                <w:bCs/>
                <w:szCs w:val="22"/>
              </w:rPr>
              <w:t xml:space="preserve"> </w:t>
            </w:r>
            <w:r w:rsidR="00A60ABC">
              <w:rPr>
                <w:rFonts w:ascii="Calibri" w:hAnsi="Calibri"/>
                <w:bCs/>
                <w:szCs w:val="22"/>
              </w:rPr>
              <w:t xml:space="preserve">multicoloured </w:t>
            </w:r>
            <w:r w:rsidR="00A60ABC" w:rsidRPr="0009675E">
              <w:rPr>
                <w:rFonts w:ascii="Calibri" w:hAnsi="Calibri"/>
                <w:bCs/>
                <w:szCs w:val="22"/>
              </w:rPr>
              <w:t xml:space="preserve">banner advertisements </w:t>
            </w:r>
            <w:r w:rsidR="00A60ABC">
              <w:rPr>
                <w:rFonts w:ascii="Calibri" w:hAnsi="Calibri"/>
                <w:bCs/>
                <w:szCs w:val="22"/>
              </w:rPr>
              <w:t xml:space="preserve">(save for the sign located at Bashall Barn car park). </w:t>
            </w:r>
            <w:r w:rsidR="00F17525">
              <w:rPr>
                <w:rFonts w:ascii="Calibri" w:hAnsi="Calibri"/>
                <w:bCs/>
                <w:szCs w:val="22"/>
              </w:rPr>
              <w:t>T</w:t>
            </w:r>
            <w:r w:rsidR="00A60ABC">
              <w:rPr>
                <w:rFonts w:ascii="Calibri" w:hAnsi="Calibri"/>
                <w:bCs/>
                <w:szCs w:val="22"/>
              </w:rPr>
              <w:t xml:space="preserve">he </w:t>
            </w:r>
            <w:r w:rsidR="004D5C70">
              <w:rPr>
                <w:rFonts w:ascii="Calibri" w:hAnsi="Calibri"/>
                <w:bCs/>
                <w:szCs w:val="22"/>
              </w:rPr>
              <w:t xml:space="preserve">existing </w:t>
            </w:r>
            <w:r w:rsidR="00A60ABC">
              <w:rPr>
                <w:rFonts w:ascii="Calibri" w:hAnsi="Calibri"/>
                <w:bCs/>
                <w:szCs w:val="22"/>
              </w:rPr>
              <w:t xml:space="preserve">signs are read in concert against a backdrop of open fields </w:t>
            </w:r>
            <w:r w:rsidR="0084784F">
              <w:rPr>
                <w:rFonts w:ascii="Calibri" w:hAnsi="Calibri"/>
                <w:bCs/>
                <w:szCs w:val="22"/>
              </w:rPr>
              <w:t xml:space="preserve">and the wider Forest Of Bowland National Landscape which encompasses the </w:t>
            </w:r>
            <w:r w:rsidR="00BD677F">
              <w:rPr>
                <w:rFonts w:ascii="Calibri" w:hAnsi="Calibri"/>
                <w:bCs/>
                <w:szCs w:val="22"/>
              </w:rPr>
              <w:t xml:space="preserve">North-eastern and South-eastern extents of the signage </w:t>
            </w:r>
            <w:r w:rsidR="00A60ABC">
              <w:rPr>
                <w:rFonts w:ascii="Calibri" w:hAnsi="Calibri"/>
                <w:bCs/>
                <w:szCs w:val="22"/>
              </w:rPr>
              <w:t xml:space="preserve">(save for the sign located at the car park serving Bashall Barn). </w:t>
            </w:r>
            <w:r w:rsidR="0009675E">
              <w:rPr>
                <w:rFonts w:ascii="Calibri" w:hAnsi="Calibri"/>
                <w:bCs/>
                <w:szCs w:val="22"/>
              </w:rPr>
              <w:t>As such, the unauthorised sig</w:t>
            </w:r>
            <w:r w:rsidR="00A60ABC">
              <w:rPr>
                <w:rFonts w:ascii="Calibri" w:hAnsi="Calibri"/>
                <w:bCs/>
                <w:szCs w:val="22"/>
              </w:rPr>
              <w:t>ns</w:t>
            </w:r>
            <w:r w:rsidR="004D5C70">
              <w:rPr>
                <w:rFonts w:ascii="Calibri" w:hAnsi="Calibri"/>
                <w:bCs/>
                <w:szCs w:val="22"/>
              </w:rPr>
              <w:t>, by virtue of their width, height, detailing and roadside location,</w:t>
            </w:r>
            <w:r w:rsidR="0009675E">
              <w:rPr>
                <w:rFonts w:ascii="Calibri" w:hAnsi="Calibri"/>
                <w:bCs/>
                <w:szCs w:val="22"/>
              </w:rPr>
              <w:t xml:space="preserve"> </w:t>
            </w:r>
            <w:r w:rsidR="00A60ABC">
              <w:rPr>
                <w:rFonts w:ascii="Calibri" w:hAnsi="Calibri"/>
                <w:bCs/>
                <w:szCs w:val="22"/>
              </w:rPr>
              <w:t xml:space="preserve">read as </w:t>
            </w:r>
            <w:r w:rsidR="004D5C70">
              <w:rPr>
                <w:rFonts w:ascii="Calibri" w:hAnsi="Calibri"/>
                <w:bCs/>
                <w:szCs w:val="22"/>
              </w:rPr>
              <w:t>conspicuous, over dominant,</w:t>
            </w:r>
            <w:r w:rsidR="00A60ABC">
              <w:rPr>
                <w:rFonts w:ascii="Calibri" w:hAnsi="Calibri"/>
                <w:bCs/>
                <w:szCs w:val="22"/>
              </w:rPr>
              <w:t xml:space="preserve"> anomalous</w:t>
            </w:r>
            <w:r w:rsidR="004D5C70">
              <w:rPr>
                <w:rFonts w:ascii="Calibri" w:hAnsi="Calibri"/>
                <w:bCs/>
                <w:szCs w:val="22"/>
              </w:rPr>
              <w:t xml:space="preserve"> and largely unsympathetic </w:t>
            </w:r>
            <w:r w:rsidR="00A60ABC">
              <w:rPr>
                <w:rFonts w:ascii="Calibri" w:hAnsi="Calibri"/>
                <w:bCs/>
                <w:szCs w:val="22"/>
              </w:rPr>
              <w:t xml:space="preserve">additions to the </w:t>
            </w:r>
            <w:r w:rsidR="004D5C70">
              <w:rPr>
                <w:rFonts w:ascii="Calibri" w:hAnsi="Calibri"/>
                <w:bCs/>
                <w:szCs w:val="22"/>
              </w:rPr>
              <w:t xml:space="preserve">surrounding open countryside which detract from the unspoilt character of the area. </w:t>
            </w:r>
          </w:p>
          <w:p w14:paraId="08ECF1C0" w14:textId="77777777" w:rsidR="009A23E0" w:rsidRDefault="009A23E0" w:rsidP="0009675E">
            <w:pPr>
              <w:rPr>
                <w:rFonts w:ascii="Calibri" w:hAnsi="Calibri"/>
                <w:bCs/>
                <w:szCs w:val="22"/>
              </w:rPr>
            </w:pPr>
          </w:p>
          <w:p w14:paraId="45FCAEF9" w14:textId="055FE4E6" w:rsidR="0009675E" w:rsidRDefault="00C34B2B" w:rsidP="0009675E">
            <w:pPr>
              <w:rPr>
                <w:rFonts w:ascii="Calibri" w:hAnsi="Calibri"/>
                <w:bCs/>
                <w:szCs w:val="22"/>
              </w:rPr>
            </w:pPr>
            <w:r>
              <w:rPr>
                <w:rFonts w:ascii="Calibri" w:hAnsi="Calibri"/>
                <w:bCs/>
                <w:szCs w:val="22"/>
              </w:rPr>
              <w:t>It is understood that each of the unauthorised signs comprise static illumination however</w:t>
            </w:r>
            <w:r w:rsidR="00DA36EF">
              <w:rPr>
                <w:rFonts w:ascii="Calibri" w:hAnsi="Calibri"/>
                <w:bCs/>
                <w:szCs w:val="22"/>
              </w:rPr>
              <w:t xml:space="preserve"> </w:t>
            </w:r>
            <w:r>
              <w:rPr>
                <w:rFonts w:ascii="Calibri" w:hAnsi="Calibri"/>
                <w:bCs/>
                <w:szCs w:val="22"/>
              </w:rPr>
              <w:t>none of the signs in question were observed as being illuminated during a recent evening site visit</w:t>
            </w:r>
            <w:r w:rsidR="00DA36EF">
              <w:rPr>
                <w:rFonts w:ascii="Calibri" w:hAnsi="Calibri"/>
                <w:bCs/>
                <w:szCs w:val="22"/>
              </w:rPr>
              <w:t xml:space="preserve">. As such, </w:t>
            </w:r>
            <w:r>
              <w:rPr>
                <w:rFonts w:ascii="Calibri" w:hAnsi="Calibri"/>
                <w:bCs/>
                <w:szCs w:val="22"/>
              </w:rPr>
              <w:t>it was not possible to ascertain the full extent of the sign’s illumination intensity</w:t>
            </w:r>
            <w:r w:rsidR="00DA36EF">
              <w:rPr>
                <w:rFonts w:ascii="Calibri" w:hAnsi="Calibri"/>
                <w:bCs/>
                <w:szCs w:val="22"/>
              </w:rPr>
              <w:t xml:space="preserve"> however given both the size and quantity of the advertisement boards</w:t>
            </w:r>
            <w:r w:rsidR="00C82793">
              <w:rPr>
                <w:rFonts w:ascii="Calibri" w:hAnsi="Calibri"/>
                <w:bCs/>
                <w:szCs w:val="22"/>
              </w:rPr>
              <w:t xml:space="preserve">, </w:t>
            </w:r>
            <w:r w:rsidR="00DA36EF">
              <w:rPr>
                <w:rFonts w:ascii="Calibri" w:hAnsi="Calibri"/>
                <w:bCs/>
                <w:szCs w:val="22"/>
              </w:rPr>
              <w:t>and their location within an area of open countryside void of any street lighting</w:t>
            </w:r>
            <w:r w:rsidR="009A23E0">
              <w:rPr>
                <w:rFonts w:ascii="Calibri" w:hAnsi="Calibri"/>
                <w:bCs/>
                <w:szCs w:val="22"/>
              </w:rPr>
              <w:t>,</w:t>
            </w:r>
            <w:r w:rsidR="00DA36EF">
              <w:rPr>
                <w:rFonts w:ascii="Calibri" w:hAnsi="Calibri"/>
                <w:bCs/>
                <w:szCs w:val="22"/>
              </w:rPr>
              <w:t xml:space="preserve"> it is considered that </w:t>
            </w:r>
            <w:r w:rsidR="009A23E0">
              <w:rPr>
                <w:rFonts w:ascii="Calibri" w:hAnsi="Calibri"/>
                <w:bCs/>
                <w:szCs w:val="22"/>
              </w:rPr>
              <w:t>retention of the signage would likely introduce an unacceptable level of light pollution to the area.</w:t>
            </w:r>
          </w:p>
          <w:p w14:paraId="6232B454" w14:textId="77777777" w:rsidR="00DA36EF" w:rsidRDefault="00DA36EF" w:rsidP="0009675E">
            <w:pPr>
              <w:rPr>
                <w:rFonts w:ascii="Calibri" w:hAnsi="Calibri"/>
                <w:bCs/>
                <w:szCs w:val="22"/>
              </w:rPr>
            </w:pPr>
          </w:p>
          <w:p w14:paraId="3E378E80" w14:textId="675AFC0B" w:rsidR="0009675E" w:rsidRDefault="00DA36EF" w:rsidP="0009675E">
            <w:pPr>
              <w:rPr>
                <w:rFonts w:ascii="Calibri" w:hAnsi="Calibri"/>
                <w:bCs/>
                <w:szCs w:val="22"/>
              </w:rPr>
            </w:pPr>
            <w:r>
              <w:rPr>
                <w:rFonts w:ascii="Calibri" w:hAnsi="Calibri"/>
                <w:bCs/>
                <w:szCs w:val="22"/>
              </w:rPr>
              <w:t>Taking account of all of the above</w:t>
            </w:r>
            <w:r w:rsidR="00C34B2B" w:rsidRPr="00C34B2B">
              <w:rPr>
                <w:rFonts w:ascii="Calibri" w:hAnsi="Calibri"/>
                <w:bCs/>
                <w:szCs w:val="22"/>
              </w:rPr>
              <w:t>, it is considered that retention of the unauthorised signage would be harmful to the visual amenities of the area and setting of the wider National Landscape.</w:t>
            </w:r>
            <w:r w:rsidR="004832F1">
              <w:rPr>
                <w:rFonts w:ascii="Calibri" w:hAnsi="Calibri"/>
                <w:bCs/>
                <w:szCs w:val="22"/>
              </w:rPr>
              <w:t xml:space="preserve"> Retention of the unauthorised development would therefore be in conflict the </w:t>
            </w:r>
            <w:r w:rsidR="00850747">
              <w:rPr>
                <w:rFonts w:ascii="Calibri" w:hAnsi="Calibri"/>
                <w:bCs/>
                <w:szCs w:val="22"/>
              </w:rPr>
              <w:t>aims and objectives</w:t>
            </w:r>
            <w:r w:rsidR="004832F1">
              <w:rPr>
                <w:rFonts w:ascii="Calibri" w:hAnsi="Calibri"/>
                <w:bCs/>
                <w:szCs w:val="22"/>
              </w:rPr>
              <w:t xml:space="preserve"> of Paragraph 135 (c) and 182 of the NPPF and Key Statement EN2 and Policy DMG1 of the Core Strategy. </w:t>
            </w:r>
          </w:p>
          <w:p w14:paraId="189175F2" w14:textId="529B30EA" w:rsidR="00AB71C8" w:rsidRPr="00D23470" w:rsidRDefault="00AB71C8" w:rsidP="00AB71C8">
            <w:pPr>
              <w:rPr>
                <w:rFonts w:ascii="Calibri" w:hAnsi="Calibri"/>
                <w:szCs w:val="22"/>
              </w:rPr>
            </w:pPr>
          </w:p>
        </w:tc>
      </w:tr>
      <w:tr w:rsidR="00231BFD" w:rsidRPr="008C75E4" w14:paraId="6857564D" w14:textId="77777777" w:rsidTr="00ED077E">
        <w:trPr>
          <w:trHeight w:val="864"/>
          <w:jc w:val="center"/>
        </w:trPr>
        <w:tc>
          <w:tcPr>
            <w:tcW w:w="9803" w:type="dxa"/>
            <w:gridSpan w:val="15"/>
            <w:tcMar>
              <w:top w:w="57" w:type="dxa"/>
              <w:bottom w:w="57" w:type="dxa"/>
            </w:tcMar>
          </w:tcPr>
          <w:p w14:paraId="1547D063" w14:textId="77777777" w:rsidR="00231BFD" w:rsidRDefault="00231BFD" w:rsidP="006126D1">
            <w:pPr>
              <w:contextualSpacing/>
              <w:jc w:val="both"/>
              <w:rPr>
                <w:rFonts w:ascii="Calibri" w:hAnsi="Calibri"/>
                <w:b/>
                <w:bCs/>
                <w:szCs w:val="22"/>
              </w:rPr>
            </w:pPr>
            <w:r>
              <w:rPr>
                <w:rFonts w:ascii="Calibri" w:hAnsi="Calibri"/>
                <w:b/>
                <w:bCs/>
                <w:szCs w:val="22"/>
              </w:rPr>
              <w:lastRenderedPageBreak/>
              <w:t>Highway</w:t>
            </w:r>
            <w:r w:rsidR="007F1331">
              <w:rPr>
                <w:rFonts w:ascii="Calibri" w:hAnsi="Calibri"/>
                <w:b/>
                <w:bCs/>
                <w:szCs w:val="22"/>
              </w:rPr>
              <w:t xml:space="preserve"> safety</w:t>
            </w:r>
            <w:r>
              <w:rPr>
                <w:rFonts w:ascii="Calibri" w:hAnsi="Calibri"/>
                <w:b/>
                <w:bCs/>
                <w:szCs w:val="22"/>
              </w:rPr>
              <w:t>:</w:t>
            </w:r>
          </w:p>
          <w:p w14:paraId="78240AA7" w14:textId="77777777" w:rsidR="0043349D" w:rsidRDefault="0043349D" w:rsidP="006126D1">
            <w:pPr>
              <w:contextualSpacing/>
              <w:jc w:val="both"/>
              <w:rPr>
                <w:rFonts w:ascii="Calibri" w:hAnsi="Calibri"/>
                <w:b/>
                <w:bCs/>
                <w:szCs w:val="22"/>
              </w:rPr>
            </w:pPr>
          </w:p>
          <w:p w14:paraId="7A3B38B5" w14:textId="77777777" w:rsidR="009D3ABC" w:rsidRPr="009D3ABC" w:rsidRDefault="009D3ABC" w:rsidP="009D3ABC">
            <w:pPr>
              <w:contextualSpacing/>
              <w:jc w:val="both"/>
              <w:rPr>
                <w:rFonts w:ascii="Calibri" w:hAnsi="Calibri"/>
                <w:bCs/>
                <w:szCs w:val="22"/>
              </w:rPr>
            </w:pPr>
            <w:r w:rsidRPr="009D3ABC">
              <w:rPr>
                <w:rFonts w:ascii="Calibri" w:hAnsi="Calibri"/>
                <w:bCs/>
                <w:szCs w:val="22"/>
              </w:rPr>
              <w:t>Paragraph 115 of the National Planning Policy Framework states:</w:t>
            </w:r>
          </w:p>
          <w:p w14:paraId="4CFB6200" w14:textId="77777777" w:rsidR="009D3ABC" w:rsidRPr="009D3ABC" w:rsidRDefault="009D3ABC" w:rsidP="009D3ABC">
            <w:pPr>
              <w:contextualSpacing/>
              <w:jc w:val="both"/>
              <w:rPr>
                <w:rFonts w:ascii="Calibri" w:hAnsi="Calibri"/>
                <w:bCs/>
                <w:szCs w:val="22"/>
              </w:rPr>
            </w:pPr>
          </w:p>
          <w:p w14:paraId="62EB89B7" w14:textId="77777777" w:rsidR="009D3ABC" w:rsidRPr="009D3ABC" w:rsidRDefault="009D3ABC" w:rsidP="009D3ABC">
            <w:pPr>
              <w:contextualSpacing/>
              <w:jc w:val="both"/>
              <w:rPr>
                <w:rFonts w:ascii="Calibri" w:hAnsi="Calibri"/>
                <w:bCs/>
                <w:i/>
                <w:iCs/>
                <w:szCs w:val="22"/>
              </w:rPr>
            </w:pPr>
            <w:r w:rsidRPr="009D3ABC">
              <w:rPr>
                <w:rFonts w:ascii="Calibri" w:hAnsi="Calibri"/>
                <w:bCs/>
                <w:i/>
                <w:iCs/>
                <w:szCs w:val="22"/>
              </w:rPr>
              <w:t>‘Development should only be prevented or refused on highways grounds if there would be an unacceptable impact on highway safety.’</w:t>
            </w:r>
          </w:p>
          <w:p w14:paraId="010F2B05" w14:textId="77777777" w:rsidR="009D3ABC" w:rsidRPr="009D3ABC" w:rsidRDefault="009D3ABC" w:rsidP="009D3ABC">
            <w:pPr>
              <w:contextualSpacing/>
              <w:jc w:val="both"/>
              <w:rPr>
                <w:rFonts w:ascii="Calibri" w:hAnsi="Calibri"/>
                <w:bCs/>
                <w:szCs w:val="22"/>
              </w:rPr>
            </w:pPr>
          </w:p>
          <w:p w14:paraId="37AF3CD3" w14:textId="77777777" w:rsidR="009D3ABC" w:rsidRDefault="009D3ABC" w:rsidP="009D3ABC">
            <w:pPr>
              <w:contextualSpacing/>
              <w:jc w:val="both"/>
              <w:rPr>
                <w:rFonts w:ascii="Calibri" w:hAnsi="Calibri"/>
                <w:bCs/>
                <w:szCs w:val="22"/>
              </w:rPr>
            </w:pPr>
            <w:r w:rsidRPr="009D3ABC">
              <w:rPr>
                <w:rFonts w:ascii="Calibri" w:hAnsi="Calibri"/>
                <w:bCs/>
                <w:szCs w:val="22"/>
              </w:rPr>
              <w:t xml:space="preserve">Paragraph 117 (c) of the NPPF further </w:t>
            </w:r>
            <w:r>
              <w:rPr>
                <w:rFonts w:ascii="Calibri" w:hAnsi="Calibri"/>
                <w:bCs/>
                <w:szCs w:val="22"/>
              </w:rPr>
              <w:t>states:</w:t>
            </w:r>
          </w:p>
          <w:p w14:paraId="710D5B07" w14:textId="77777777" w:rsidR="009D3ABC" w:rsidRDefault="009D3ABC" w:rsidP="009D3ABC">
            <w:pPr>
              <w:contextualSpacing/>
              <w:jc w:val="both"/>
              <w:rPr>
                <w:rFonts w:ascii="Calibri" w:hAnsi="Calibri"/>
                <w:bCs/>
                <w:szCs w:val="22"/>
              </w:rPr>
            </w:pPr>
          </w:p>
          <w:p w14:paraId="0B7F4814" w14:textId="2783432E" w:rsidR="009D3ABC" w:rsidRDefault="009D3ABC" w:rsidP="009D3ABC">
            <w:pPr>
              <w:contextualSpacing/>
              <w:jc w:val="both"/>
              <w:rPr>
                <w:rFonts w:ascii="Calibri" w:hAnsi="Calibri"/>
                <w:bCs/>
                <w:i/>
                <w:iCs/>
                <w:szCs w:val="22"/>
              </w:rPr>
            </w:pPr>
            <w:r w:rsidRPr="009D3ABC">
              <w:rPr>
                <w:rFonts w:ascii="Calibri" w:hAnsi="Calibri"/>
                <w:bCs/>
                <w:i/>
                <w:iCs/>
                <w:szCs w:val="22"/>
              </w:rPr>
              <w:t>‘Development should create places that are safe, secure and attractive – which minimise the scope for conflicts between pedestrians, cyclists and vehicles, avoid unnecessary street clutter, and respond to local character and design standards.’</w:t>
            </w:r>
          </w:p>
          <w:p w14:paraId="7AA884F8" w14:textId="4A4676EE" w:rsidR="009D3ABC" w:rsidRPr="009D3ABC" w:rsidRDefault="009D3ABC" w:rsidP="009D3ABC">
            <w:pPr>
              <w:contextualSpacing/>
              <w:jc w:val="both"/>
              <w:rPr>
                <w:rFonts w:ascii="Calibri" w:hAnsi="Calibri"/>
                <w:bCs/>
                <w:szCs w:val="22"/>
              </w:rPr>
            </w:pPr>
            <w:r>
              <w:rPr>
                <w:rFonts w:ascii="Calibri" w:hAnsi="Calibri"/>
                <w:bCs/>
                <w:szCs w:val="22"/>
              </w:rPr>
              <w:t xml:space="preserve">In a similar vein, </w:t>
            </w:r>
            <w:r w:rsidR="00FE603E">
              <w:rPr>
                <w:rFonts w:ascii="Calibri" w:hAnsi="Calibri"/>
                <w:bCs/>
                <w:szCs w:val="22"/>
              </w:rPr>
              <w:t xml:space="preserve">both </w:t>
            </w:r>
            <w:r>
              <w:rPr>
                <w:rFonts w:ascii="Calibri" w:hAnsi="Calibri"/>
                <w:bCs/>
                <w:szCs w:val="22"/>
              </w:rPr>
              <w:t>Policies DMG1 and DMG3 require</w:t>
            </w:r>
            <w:r w:rsidR="00A50733">
              <w:rPr>
                <w:rFonts w:ascii="Calibri" w:hAnsi="Calibri"/>
                <w:bCs/>
                <w:szCs w:val="22"/>
              </w:rPr>
              <w:t xml:space="preserve"> </w:t>
            </w:r>
            <w:r w:rsidR="00145AE6">
              <w:rPr>
                <w:rFonts w:ascii="Calibri" w:hAnsi="Calibri"/>
                <w:bCs/>
                <w:szCs w:val="22"/>
              </w:rPr>
              <w:t>developments to take account of highway safety implications with respect to access and public safety.</w:t>
            </w:r>
          </w:p>
          <w:p w14:paraId="082122A8" w14:textId="77777777" w:rsidR="009D3ABC" w:rsidRDefault="009D3ABC" w:rsidP="001C3E64">
            <w:pPr>
              <w:contextualSpacing/>
              <w:jc w:val="both"/>
              <w:rPr>
                <w:rFonts w:ascii="Calibri" w:hAnsi="Calibri"/>
                <w:bCs/>
                <w:szCs w:val="22"/>
              </w:rPr>
            </w:pPr>
          </w:p>
          <w:p w14:paraId="42B58A8F" w14:textId="7E3AD194" w:rsidR="00472D00" w:rsidRDefault="009D3ABC" w:rsidP="001C3E64">
            <w:pPr>
              <w:contextualSpacing/>
              <w:jc w:val="both"/>
              <w:rPr>
                <w:rFonts w:ascii="Calibri" w:hAnsi="Calibri"/>
                <w:bCs/>
                <w:szCs w:val="22"/>
              </w:rPr>
            </w:pPr>
            <w:r>
              <w:rPr>
                <w:rFonts w:ascii="Calibri" w:hAnsi="Calibri"/>
                <w:bCs/>
                <w:szCs w:val="22"/>
              </w:rPr>
              <w:t>In this instance, t</w:t>
            </w:r>
            <w:r w:rsidR="00C82793">
              <w:rPr>
                <w:rFonts w:ascii="Calibri" w:hAnsi="Calibri"/>
                <w:bCs/>
                <w:szCs w:val="22"/>
              </w:rPr>
              <w:t xml:space="preserve">he unauthorised development has been subject to review from Lancashire County Council Highways who have recommended for the removal of all of the </w:t>
            </w:r>
            <w:r w:rsidR="005441FD">
              <w:rPr>
                <w:rFonts w:ascii="Calibri" w:hAnsi="Calibri"/>
                <w:bCs/>
                <w:szCs w:val="22"/>
              </w:rPr>
              <w:t xml:space="preserve">unauthorised </w:t>
            </w:r>
            <w:r w:rsidR="00C82793">
              <w:rPr>
                <w:rFonts w:ascii="Calibri" w:hAnsi="Calibri"/>
                <w:bCs/>
                <w:szCs w:val="22"/>
              </w:rPr>
              <w:t>signage (</w:t>
            </w:r>
            <w:r w:rsidR="00C82793" w:rsidRPr="00C82793">
              <w:rPr>
                <w:rFonts w:ascii="Calibri" w:hAnsi="Calibri"/>
                <w:bCs/>
                <w:szCs w:val="22"/>
              </w:rPr>
              <w:t>save for the sign located at the car park serving Bashall Barn)</w:t>
            </w:r>
            <w:r w:rsidR="00C82793">
              <w:rPr>
                <w:rFonts w:ascii="Calibri" w:hAnsi="Calibri"/>
                <w:bCs/>
                <w:szCs w:val="22"/>
              </w:rPr>
              <w:t xml:space="preserve"> on the basis of </w:t>
            </w:r>
            <w:r w:rsidR="005441FD">
              <w:rPr>
                <w:rFonts w:ascii="Calibri" w:hAnsi="Calibri"/>
                <w:bCs/>
                <w:szCs w:val="22"/>
              </w:rPr>
              <w:t>four of the unauthorised signs</w:t>
            </w:r>
            <w:r w:rsidR="00C82793">
              <w:rPr>
                <w:rFonts w:ascii="Calibri" w:hAnsi="Calibri"/>
                <w:bCs/>
                <w:szCs w:val="22"/>
              </w:rPr>
              <w:t xml:space="preserve"> being sited on the roadside verge</w:t>
            </w:r>
            <w:r w:rsidR="005441FD">
              <w:rPr>
                <w:rFonts w:ascii="Calibri" w:hAnsi="Calibri"/>
                <w:bCs/>
                <w:szCs w:val="22"/>
              </w:rPr>
              <w:t xml:space="preserve"> </w:t>
            </w:r>
            <w:r w:rsidR="0039581E">
              <w:rPr>
                <w:rFonts w:ascii="Calibri" w:hAnsi="Calibri"/>
                <w:bCs/>
                <w:szCs w:val="22"/>
              </w:rPr>
              <w:t xml:space="preserve">(analysis actually shows that </w:t>
            </w:r>
            <w:r w:rsidR="00FE603E">
              <w:rPr>
                <w:rFonts w:ascii="Calibri" w:hAnsi="Calibri"/>
                <w:bCs/>
                <w:szCs w:val="22"/>
              </w:rPr>
              <w:t xml:space="preserve">only </w:t>
            </w:r>
            <w:r w:rsidR="0039581E">
              <w:rPr>
                <w:rFonts w:ascii="Calibri" w:hAnsi="Calibri"/>
                <w:bCs/>
                <w:szCs w:val="22"/>
              </w:rPr>
              <w:t xml:space="preserve">signs </w:t>
            </w:r>
            <w:r w:rsidR="00FE603E">
              <w:rPr>
                <w:rFonts w:ascii="Calibri" w:hAnsi="Calibri"/>
                <w:bCs/>
                <w:szCs w:val="22"/>
              </w:rPr>
              <w:t>2</w:t>
            </w:r>
            <w:r w:rsidR="0039581E">
              <w:rPr>
                <w:rFonts w:ascii="Calibri" w:hAnsi="Calibri"/>
                <w:bCs/>
                <w:szCs w:val="22"/>
              </w:rPr>
              <w:t xml:space="preserve"> and </w:t>
            </w:r>
            <w:r w:rsidR="00FE603E">
              <w:rPr>
                <w:rFonts w:ascii="Calibri" w:hAnsi="Calibri"/>
                <w:bCs/>
                <w:szCs w:val="22"/>
              </w:rPr>
              <w:t>5</w:t>
            </w:r>
            <w:r w:rsidR="0039581E">
              <w:rPr>
                <w:rFonts w:ascii="Calibri" w:hAnsi="Calibri"/>
                <w:bCs/>
                <w:szCs w:val="22"/>
              </w:rPr>
              <w:t xml:space="preserve"> are located </w:t>
            </w:r>
            <w:r w:rsidR="00FE603E">
              <w:rPr>
                <w:rFonts w:ascii="Calibri" w:hAnsi="Calibri"/>
                <w:bCs/>
                <w:szCs w:val="22"/>
              </w:rPr>
              <w:t>on the highway verge</w:t>
            </w:r>
            <w:r w:rsidR="0039581E">
              <w:rPr>
                <w:rFonts w:ascii="Calibri" w:hAnsi="Calibri"/>
                <w:bCs/>
                <w:szCs w:val="22"/>
              </w:rPr>
              <w:t xml:space="preserve">) </w:t>
            </w:r>
            <w:r w:rsidR="005441FD">
              <w:rPr>
                <w:rFonts w:ascii="Calibri" w:hAnsi="Calibri"/>
                <w:bCs/>
                <w:szCs w:val="22"/>
              </w:rPr>
              <w:t xml:space="preserve">which in turn would carry potential highway safety implications with respect to impacts upon visibility in the event of the signs being retained in their existing location. </w:t>
            </w:r>
            <w:r w:rsidR="001C3E64">
              <w:rPr>
                <w:rFonts w:ascii="Calibri" w:hAnsi="Calibri"/>
                <w:bCs/>
                <w:szCs w:val="22"/>
              </w:rPr>
              <w:t>The LHA have suggested that the applicant could relocate the signage</w:t>
            </w:r>
            <w:r w:rsidR="00383C6E">
              <w:rPr>
                <w:rFonts w:ascii="Calibri" w:hAnsi="Calibri"/>
                <w:bCs/>
                <w:szCs w:val="22"/>
              </w:rPr>
              <w:t xml:space="preserve"> sited on the highway verge</w:t>
            </w:r>
            <w:r w:rsidR="001C3E64">
              <w:rPr>
                <w:rFonts w:ascii="Calibri" w:hAnsi="Calibri"/>
                <w:bCs/>
                <w:szCs w:val="22"/>
              </w:rPr>
              <w:t xml:space="preserve"> into fields adjoining the highway however this is not considered to be an acceptable alternative due to the issues conveyed above with respect to the visual impact of the signage. </w:t>
            </w:r>
            <w:r w:rsidR="005E5F21">
              <w:rPr>
                <w:rFonts w:ascii="Calibri" w:hAnsi="Calibri"/>
                <w:bCs/>
                <w:szCs w:val="22"/>
              </w:rPr>
              <w:t>Nonetheless given the retrospective nature of the application the signs need to be assessed as per their current location.</w:t>
            </w:r>
          </w:p>
          <w:p w14:paraId="1038F199" w14:textId="77777777" w:rsidR="001C3E64" w:rsidRDefault="001C3E64" w:rsidP="001C3E64">
            <w:pPr>
              <w:contextualSpacing/>
              <w:jc w:val="both"/>
              <w:rPr>
                <w:rFonts w:ascii="Calibri" w:hAnsi="Calibri"/>
                <w:bCs/>
                <w:szCs w:val="22"/>
              </w:rPr>
            </w:pPr>
          </w:p>
          <w:p w14:paraId="6FE3DB7C" w14:textId="065FBDAE" w:rsidR="001C3E64" w:rsidRPr="001C3E64" w:rsidRDefault="009D3ABC" w:rsidP="001C3E64">
            <w:pPr>
              <w:contextualSpacing/>
              <w:jc w:val="both"/>
              <w:rPr>
                <w:rFonts w:ascii="Calibri" w:hAnsi="Calibri"/>
                <w:bCs/>
                <w:szCs w:val="22"/>
              </w:rPr>
            </w:pPr>
            <w:r>
              <w:rPr>
                <w:rFonts w:ascii="Calibri" w:hAnsi="Calibri"/>
                <w:bCs/>
                <w:szCs w:val="22"/>
              </w:rPr>
              <w:t>In light of the above highway safety implications</w:t>
            </w:r>
            <w:r w:rsidR="001C3E64" w:rsidRPr="001C3E64">
              <w:rPr>
                <w:rFonts w:ascii="Calibri" w:hAnsi="Calibri"/>
                <w:bCs/>
                <w:szCs w:val="22"/>
              </w:rPr>
              <w:t>,</w:t>
            </w:r>
            <w:r w:rsidR="00FE603E">
              <w:rPr>
                <w:rFonts w:ascii="Calibri" w:hAnsi="Calibri"/>
                <w:bCs/>
                <w:szCs w:val="22"/>
              </w:rPr>
              <w:t xml:space="preserve"> it is considered that</w:t>
            </w:r>
            <w:r w:rsidR="001C3E64" w:rsidRPr="001C3E64">
              <w:rPr>
                <w:rFonts w:ascii="Calibri" w:hAnsi="Calibri"/>
                <w:bCs/>
                <w:szCs w:val="22"/>
              </w:rPr>
              <w:t xml:space="preserve"> </w:t>
            </w:r>
            <w:r>
              <w:rPr>
                <w:rFonts w:ascii="Calibri" w:hAnsi="Calibri"/>
                <w:bCs/>
                <w:szCs w:val="22"/>
              </w:rPr>
              <w:t xml:space="preserve">retention of the unauthorised signage </w:t>
            </w:r>
            <w:r w:rsidR="00383C6E">
              <w:rPr>
                <w:rFonts w:ascii="Calibri" w:hAnsi="Calibri"/>
                <w:bCs/>
                <w:szCs w:val="22"/>
              </w:rPr>
              <w:t xml:space="preserve">in </w:t>
            </w:r>
            <w:r w:rsidR="005E5F21">
              <w:rPr>
                <w:rFonts w:ascii="Calibri" w:hAnsi="Calibri"/>
                <w:bCs/>
                <w:szCs w:val="22"/>
              </w:rPr>
              <w:t>their</w:t>
            </w:r>
            <w:r w:rsidR="00383C6E">
              <w:rPr>
                <w:rFonts w:ascii="Calibri" w:hAnsi="Calibri"/>
                <w:bCs/>
                <w:szCs w:val="22"/>
              </w:rPr>
              <w:t xml:space="preserve"> current location </w:t>
            </w:r>
            <w:r w:rsidR="00FE603E">
              <w:rPr>
                <w:rFonts w:ascii="Calibri" w:hAnsi="Calibri"/>
                <w:bCs/>
                <w:szCs w:val="22"/>
              </w:rPr>
              <w:t xml:space="preserve">would </w:t>
            </w:r>
            <w:r w:rsidR="001C3E64" w:rsidRPr="001C3E64">
              <w:rPr>
                <w:rFonts w:ascii="Calibri" w:hAnsi="Calibri"/>
                <w:bCs/>
                <w:szCs w:val="22"/>
              </w:rPr>
              <w:t xml:space="preserve">be in conflict with </w:t>
            </w:r>
            <w:r>
              <w:rPr>
                <w:rFonts w:ascii="Calibri" w:hAnsi="Calibri"/>
                <w:bCs/>
                <w:szCs w:val="22"/>
              </w:rPr>
              <w:t xml:space="preserve">Paragraphs 115 and 117 (c) </w:t>
            </w:r>
            <w:r w:rsidR="001C3E64">
              <w:rPr>
                <w:rFonts w:ascii="Calibri" w:hAnsi="Calibri"/>
                <w:bCs/>
                <w:szCs w:val="22"/>
              </w:rPr>
              <w:t xml:space="preserve">of the NPPF and </w:t>
            </w:r>
            <w:r w:rsidR="001C3E64" w:rsidRPr="001C3E64">
              <w:rPr>
                <w:rFonts w:ascii="Calibri" w:hAnsi="Calibri"/>
                <w:bCs/>
                <w:szCs w:val="22"/>
              </w:rPr>
              <w:t>Policies DMG1 and DMG3 of the Core Strategy.</w:t>
            </w:r>
          </w:p>
          <w:p w14:paraId="55EC6123" w14:textId="5E6CC16F" w:rsidR="001C3E64" w:rsidRPr="00B61BC0" w:rsidRDefault="001C3E64" w:rsidP="001C3E64">
            <w:pPr>
              <w:contextualSpacing/>
              <w:jc w:val="both"/>
              <w:rPr>
                <w:rFonts w:ascii="Calibri" w:hAnsi="Calibri"/>
                <w:bCs/>
                <w:szCs w:val="22"/>
              </w:rPr>
            </w:pPr>
          </w:p>
        </w:tc>
      </w:tr>
      <w:tr w:rsidR="008C75E4" w:rsidRPr="008C75E4" w14:paraId="680C5C98" w14:textId="77777777" w:rsidTr="00ED077E">
        <w:trPr>
          <w:trHeight w:val="864"/>
          <w:jc w:val="center"/>
        </w:trPr>
        <w:tc>
          <w:tcPr>
            <w:tcW w:w="9803" w:type="dxa"/>
            <w:gridSpan w:val="15"/>
            <w:tcMar>
              <w:top w:w="57" w:type="dxa"/>
              <w:bottom w:w="57" w:type="dxa"/>
            </w:tcMar>
          </w:tcPr>
          <w:p w14:paraId="0685F495"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5254FAFC" w14:textId="77777777" w:rsidR="00886EC6" w:rsidRDefault="00886EC6" w:rsidP="00060509">
            <w:pPr>
              <w:contextualSpacing/>
              <w:jc w:val="both"/>
              <w:rPr>
                <w:rFonts w:ascii="Calibri" w:hAnsi="Calibri"/>
                <w:szCs w:val="22"/>
              </w:rPr>
            </w:pPr>
          </w:p>
          <w:p w14:paraId="5D068A33" w14:textId="688BD7D5" w:rsidR="0055698B" w:rsidRDefault="0088766D" w:rsidP="00060509">
            <w:pPr>
              <w:contextualSpacing/>
              <w:jc w:val="both"/>
              <w:rPr>
                <w:rFonts w:ascii="Calibri" w:hAnsi="Calibri"/>
                <w:bCs/>
                <w:szCs w:val="22"/>
              </w:rPr>
            </w:pPr>
            <w:r w:rsidRPr="0088766D">
              <w:rPr>
                <w:rFonts w:ascii="Calibri" w:hAnsi="Calibri"/>
                <w:bCs/>
                <w:szCs w:val="22"/>
              </w:rPr>
              <w:t>T</w:t>
            </w:r>
            <w:r w:rsidRPr="00FA2198">
              <w:rPr>
                <w:rFonts w:ascii="Calibri" w:hAnsi="Calibri"/>
                <w:bCs/>
                <w:szCs w:val="22"/>
              </w:rPr>
              <w:t>he unauthorised signs, by virtue of their width, height, detailing</w:t>
            </w:r>
            <w:r w:rsidRPr="0088766D">
              <w:rPr>
                <w:rFonts w:ascii="Calibri" w:hAnsi="Calibri"/>
                <w:bCs/>
                <w:szCs w:val="22"/>
              </w:rPr>
              <w:t>, lighting</w:t>
            </w:r>
            <w:r w:rsidRPr="00FA2198">
              <w:rPr>
                <w:rFonts w:ascii="Calibri" w:hAnsi="Calibri"/>
                <w:bCs/>
                <w:szCs w:val="22"/>
              </w:rPr>
              <w:t xml:space="preserve"> and roadside location, read as conspicuous, over dominant, anomalous and largely unsympathetic additions to the surrounding open countryside </w:t>
            </w:r>
            <w:r w:rsidR="005E5F21">
              <w:rPr>
                <w:rFonts w:ascii="Calibri" w:hAnsi="Calibri"/>
                <w:bCs/>
                <w:szCs w:val="22"/>
              </w:rPr>
              <w:t xml:space="preserve">and adjoining National Landscape </w:t>
            </w:r>
            <w:r w:rsidRPr="00FA2198">
              <w:rPr>
                <w:rFonts w:ascii="Calibri" w:hAnsi="Calibri"/>
                <w:bCs/>
                <w:szCs w:val="22"/>
              </w:rPr>
              <w:t>which detract from the unspoilt character of the area</w:t>
            </w:r>
            <w:r>
              <w:rPr>
                <w:rFonts w:ascii="Calibri" w:hAnsi="Calibri"/>
                <w:bCs/>
                <w:szCs w:val="22"/>
              </w:rPr>
              <w:t xml:space="preserve"> therefore their retention is considered to be unacceptable. </w:t>
            </w:r>
          </w:p>
          <w:p w14:paraId="30765630" w14:textId="77777777" w:rsidR="0088766D" w:rsidRDefault="0088766D" w:rsidP="00060509">
            <w:pPr>
              <w:contextualSpacing/>
              <w:jc w:val="both"/>
              <w:rPr>
                <w:rFonts w:ascii="Calibri" w:hAnsi="Calibri"/>
                <w:szCs w:val="22"/>
              </w:rPr>
            </w:pPr>
          </w:p>
          <w:p w14:paraId="5B01D550" w14:textId="2BCCB88D" w:rsidR="0088766D" w:rsidRDefault="0088766D" w:rsidP="00060509">
            <w:pPr>
              <w:contextualSpacing/>
              <w:jc w:val="both"/>
              <w:rPr>
                <w:rFonts w:ascii="Calibri" w:hAnsi="Calibri"/>
                <w:szCs w:val="22"/>
              </w:rPr>
            </w:pPr>
            <w:r>
              <w:rPr>
                <w:rFonts w:ascii="Calibri" w:hAnsi="Calibri"/>
                <w:szCs w:val="22"/>
              </w:rPr>
              <w:t>Moreover, retention of the unauthorised signage carries potential highway safety implications with respect to impacts upon visibility and in turn, public safety.</w:t>
            </w:r>
          </w:p>
          <w:p w14:paraId="40FD182A" w14:textId="77777777" w:rsidR="00472D00" w:rsidRDefault="00472D00" w:rsidP="00060509">
            <w:pPr>
              <w:contextualSpacing/>
              <w:jc w:val="both"/>
              <w:rPr>
                <w:rFonts w:ascii="Calibri" w:hAnsi="Calibri"/>
                <w:szCs w:val="22"/>
              </w:rPr>
            </w:pPr>
          </w:p>
          <w:p w14:paraId="0CCC6AE7" w14:textId="77777777" w:rsidR="00082C6D" w:rsidRPr="00082C6D" w:rsidRDefault="00082C6D" w:rsidP="00082C6D">
            <w:pPr>
              <w:contextualSpacing/>
              <w:jc w:val="both"/>
              <w:rPr>
                <w:rFonts w:ascii="Calibri" w:hAnsi="Calibri"/>
                <w:szCs w:val="22"/>
              </w:rPr>
            </w:pPr>
            <w:r w:rsidRPr="00082C6D">
              <w:rPr>
                <w:rFonts w:ascii="Calibri" w:hAnsi="Calibri"/>
                <w:bCs/>
                <w:szCs w:val="22"/>
              </w:rPr>
              <w:t xml:space="preserve">It is for the above reasons and having regard to all material considerations and matters raised that advertisement consent be refused. </w:t>
            </w:r>
          </w:p>
          <w:p w14:paraId="68BAF9C1" w14:textId="675EA738" w:rsidR="00082C6D" w:rsidRPr="00BA2247" w:rsidRDefault="00082C6D" w:rsidP="00ED04E0">
            <w:pPr>
              <w:contextualSpacing/>
              <w:jc w:val="both"/>
              <w:rPr>
                <w:rFonts w:ascii="Calibri" w:hAnsi="Calibri"/>
                <w:szCs w:val="22"/>
              </w:rPr>
            </w:pPr>
          </w:p>
        </w:tc>
      </w:tr>
      <w:tr w:rsidR="00C0704D" w:rsidRPr="008C75E4" w14:paraId="3C6DAD69" w14:textId="77777777" w:rsidTr="00ED077E">
        <w:trPr>
          <w:jc w:val="center"/>
        </w:trPr>
        <w:tc>
          <w:tcPr>
            <w:tcW w:w="2837" w:type="dxa"/>
            <w:gridSpan w:val="5"/>
            <w:tcMar>
              <w:top w:w="57" w:type="dxa"/>
              <w:bottom w:w="57" w:type="dxa"/>
            </w:tcMar>
          </w:tcPr>
          <w:p w14:paraId="3D491A3F"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3880B35C" w14:textId="1F2BE530" w:rsidR="00C0704D" w:rsidRPr="008C75E4" w:rsidRDefault="00082C6D" w:rsidP="006126D1">
            <w:pPr>
              <w:jc w:val="both"/>
              <w:rPr>
                <w:rFonts w:ascii="Calibri" w:hAnsi="Calibri"/>
                <w:bCs/>
                <w:szCs w:val="22"/>
              </w:rPr>
            </w:pPr>
            <w:r>
              <w:rPr>
                <w:rFonts w:ascii="Calibri" w:hAnsi="Calibri"/>
                <w:bCs/>
                <w:szCs w:val="22"/>
              </w:rPr>
              <w:t>That advertisement consent be refused for the following reason</w:t>
            </w:r>
            <w:r w:rsidR="00460353">
              <w:rPr>
                <w:rFonts w:ascii="Calibri" w:hAnsi="Calibri"/>
                <w:bCs/>
                <w:szCs w:val="22"/>
              </w:rPr>
              <w:t>s</w:t>
            </w:r>
            <w:r>
              <w:rPr>
                <w:rFonts w:ascii="Calibri" w:hAnsi="Calibri"/>
                <w:bCs/>
                <w:szCs w:val="22"/>
              </w:rPr>
              <w:t>:</w:t>
            </w:r>
          </w:p>
        </w:tc>
      </w:tr>
      <w:tr w:rsidR="007F1331" w:rsidRPr="008C75E4" w14:paraId="018DC968" w14:textId="77777777" w:rsidTr="007F1331">
        <w:trPr>
          <w:jc w:val="center"/>
        </w:trPr>
        <w:tc>
          <w:tcPr>
            <w:tcW w:w="846" w:type="dxa"/>
            <w:tcMar>
              <w:top w:w="57" w:type="dxa"/>
              <w:bottom w:w="57" w:type="dxa"/>
            </w:tcMar>
          </w:tcPr>
          <w:p w14:paraId="0BB33221" w14:textId="25C7195E" w:rsidR="007F1331" w:rsidRPr="007F1331" w:rsidRDefault="007F1331" w:rsidP="007F1331">
            <w:pPr>
              <w:jc w:val="center"/>
              <w:rPr>
                <w:rFonts w:ascii="Calibri" w:hAnsi="Calibri"/>
                <w:b/>
                <w:bCs/>
                <w:szCs w:val="22"/>
              </w:rPr>
            </w:pPr>
            <w:r w:rsidRPr="007F1331">
              <w:rPr>
                <w:rFonts w:ascii="Calibri" w:hAnsi="Calibri"/>
                <w:b/>
                <w:bCs/>
                <w:szCs w:val="22"/>
              </w:rPr>
              <w:t>01</w:t>
            </w:r>
            <w:r w:rsidR="00FA2198">
              <w:rPr>
                <w:rFonts w:ascii="Calibri" w:hAnsi="Calibri"/>
                <w:b/>
                <w:bCs/>
                <w:szCs w:val="22"/>
              </w:rPr>
              <w:t>:</w:t>
            </w:r>
          </w:p>
        </w:tc>
        <w:tc>
          <w:tcPr>
            <w:tcW w:w="8957" w:type="dxa"/>
            <w:gridSpan w:val="14"/>
          </w:tcPr>
          <w:p w14:paraId="136AC17E" w14:textId="579C3862" w:rsidR="00460353" w:rsidRPr="00FA2198" w:rsidRDefault="00FA2198" w:rsidP="00FA2198">
            <w:pPr>
              <w:rPr>
                <w:rFonts w:ascii="Calibri" w:hAnsi="Calibri"/>
                <w:bCs/>
                <w:szCs w:val="22"/>
              </w:rPr>
            </w:pPr>
            <w:r>
              <w:rPr>
                <w:rFonts w:asciiTheme="minorHAnsi" w:hAnsiTheme="minorHAnsi"/>
                <w:bCs/>
                <w:szCs w:val="22"/>
              </w:rPr>
              <w:t>T</w:t>
            </w:r>
            <w:r w:rsidRPr="00FA2198">
              <w:rPr>
                <w:rFonts w:asciiTheme="minorHAnsi" w:hAnsiTheme="minorHAnsi"/>
                <w:bCs/>
                <w:szCs w:val="22"/>
              </w:rPr>
              <w:t>he unauthorised signs, by virtue of their width, height, detailing</w:t>
            </w:r>
            <w:r>
              <w:rPr>
                <w:rFonts w:asciiTheme="minorHAnsi" w:hAnsiTheme="minorHAnsi"/>
                <w:bCs/>
                <w:szCs w:val="22"/>
              </w:rPr>
              <w:t>, lighting</w:t>
            </w:r>
            <w:r w:rsidRPr="00FA2198">
              <w:rPr>
                <w:rFonts w:asciiTheme="minorHAnsi" w:hAnsiTheme="minorHAnsi"/>
                <w:bCs/>
                <w:szCs w:val="22"/>
              </w:rPr>
              <w:t xml:space="preserve"> and roadside location, read as conspicuous, over dominant, anomalous and largely unsympathetic additions to the surrounding open countryside which detract from the unspoilt character of the area. </w:t>
            </w:r>
            <w:r w:rsidR="00850747">
              <w:rPr>
                <w:rFonts w:asciiTheme="minorHAnsi" w:hAnsiTheme="minorHAnsi"/>
                <w:bCs/>
                <w:szCs w:val="22"/>
              </w:rPr>
              <w:t xml:space="preserve">Accordingly, </w:t>
            </w:r>
            <w:r w:rsidR="00850747" w:rsidRPr="00C34B2B">
              <w:rPr>
                <w:rFonts w:ascii="Calibri" w:hAnsi="Calibri"/>
                <w:bCs/>
                <w:szCs w:val="22"/>
              </w:rPr>
              <w:lastRenderedPageBreak/>
              <w:t>retention of the unauthorised signage would be harmful to the visual amenities of the area and setting of the wider National Landscape.</w:t>
            </w:r>
            <w:r w:rsidR="00850747">
              <w:rPr>
                <w:rFonts w:ascii="Calibri" w:hAnsi="Calibri"/>
                <w:bCs/>
                <w:szCs w:val="22"/>
              </w:rPr>
              <w:t xml:space="preserve"> Retention of the unauthorised development would therefore be in conflict with the aims and objectives of Paragraph 135 (c) and 182 of the NPPF and Key Statement EN2 and Policy DMG1 of the Core Strategy.</w:t>
            </w:r>
          </w:p>
        </w:tc>
      </w:tr>
      <w:tr w:rsidR="00FA2198" w:rsidRPr="008C75E4" w14:paraId="67E6602C" w14:textId="77777777" w:rsidTr="007F1331">
        <w:trPr>
          <w:jc w:val="center"/>
        </w:trPr>
        <w:tc>
          <w:tcPr>
            <w:tcW w:w="846" w:type="dxa"/>
            <w:tcMar>
              <w:top w:w="57" w:type="dxa"/>
              <w:bottom w:w="57" w:type="dxa"/>
            </w:tcMar>
          </w:tcPr>
          <w:p w14:paraId="4A347618" w14:textId="7506ED36" w:rsidR="00FA2198" w:rsidRPr="007F1331" w:rsidRDefault="00FA2198" w:rsidP="007F1331">
            <w:pPr>
              <w:jc w:val="center"/>
              <w:rPr>
                <w:rFonts w:ascii="Calibri" w:hAnsi="Calibri"/>
                <w:b/>
                <w:bCs/>
                <w:szCs w:val="22"/>
              </w:rPr>
            </w:pPr>
            <w:r>
              <w:rPr>
                <w:rFonts w:ascii="Calibri" w:hAnsi="Calibri"/>
                <w:b/>
                <w:bCs/>
                <w:szCs w:val="22"/>
              </w:rPr>
              <w:lastRenderedPageBreak/>
              <w:t>02:</w:t>
            </w:r>
          </w:p>
        </w:tc>
        <w:tc>
          <w:tcPr>
            <w:tcW w:w="8957" w:type="dxa"/>
            <w:gridSpan w:val="14"/>
          </w:tcPr>
          <w:p w14:paraId="59A346F7" w14:textId="41941EA3" w:rsidR="00FA2198" w:rsidRDefault="00460353" w:rsidP="00FA2198">
            <w:pPr>
              <w:rPr>
                <w:rFonts w:asciiTheme="minorHAnsi" w:hAnsiTheme="minorHAnsi"/>
                <w:bCs/>
                <w:szCs w:val="22"/>
              </w:rPr>
            </w:pPr>
            <w:r>
              <w:rPr>
                <w:rFonts w:asciiTheme="minorHAnsi" w:hAnsiTheme="minorHAnsi"/>
                <w:bCs/>
                <w:szCs w:val="22"/>
              </w:rPr>
              <w:t xml:space="preserve">The location of the unauthorised signage on the highway verge carries highway safety implications </w:t>
            </w:r>
            <w:r w:rsidRPr="00460353">
              <w:rPr>
                <w:rFonts w:asciiTheme="minorHAnsi" w:hAnsiTheme="minorHAnsi"/>
                <w:bCs/>
                <w:szCs w:val="22"/>
              </w:rPr>
              <w:t>with respect to impacts upon visibility and in turn, public safety.</w:t>
            </w:r>
            <w:r>
              <w:rPr>
                <w:rFonts w:asciiTheme="minorHAnsi" w:hAnsiTheme="minorHAnsi"/>
                <w:bCs/>
                <w:szCs w:val="22"/>
              </w:rPr>
              <w:t xml:space="preserve"> </w:t>
            </w:r>
            <w:r w:rsidRPr="00460353">
              <w:rPr>
                <w:rFonts w:asciiTheme="minorHAnsi" w:hAnsiTheme="minorHAnsi"/>
                <w:bCs/>
                <w:szCs w:val="22"/>
              </w:rPr>
              <w:t>Retention of the unauthorised development would therefore be in conflict with the aims and objectives of</w:t>
            </w:r>
            <w:r>
              <w:rPr>
                <w:rFonts w:asciiTheme="minorHAnsi" w:hAnsiTheme="minorHAnsi"/>
                <w:bCs/>
                <w:szCs w:val="22"/>
              </w:rPr>
              <w:t xml:space="preserve"> </w:t>
            </w:r>
            <w:r w:rsidRPr="00460353">
              <w:rPr>
                <w:rFonts w:asciiTheme="minorHAnsi" w:hAnsiTheme="minorHAnsi"/>
                <w:bCs/>
                <w:szCs w:val="22"/>
              </w:rPr>
              <w:t xml:space="preserve">Paragraphs 115 and 117 (c) of the NPPF and </w:t>
            </w:r>
            <w:r w:rsidRPr="001C3E64">
              <w:rPr>
                <w:rFonts w:asciiTheme="minorHAnsi" w:hAnsiTheme="minorHAnsi"/>
                <w:bCs/>
                <w:szCs w:val="22"/>
              </w:rPr>
              <w:t>Policies DMG1 and DMG3 of the Core Strategy.</w:t>
            </w:r>
          </w:p>
        </w:tc>
      </w:tr>
    </w:tbl>
    <w:p w14:paraId="56A25894" w14:textId="77777777" w:rsidR="00472D00" w:rsidRPr="008C75E4" w:rsidRDefault="00472D00" w:rsidP="006126D1">
      <w:pPr>
        <w:jc w:val="both"/>
        <w:rPr>
          <w:rFonts w:ascii="Calibri" w:hAnsi="Calibri"/>
          <w:szCs w:val="22"/>
        </w:rPr>
      </w:pPr>
    </w:p>
    <w:sectPr w:rsidR="00472D00"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C8587" w14:textId="77777777" w:rsidR="00B334B6" w:rsidRDefault="00B334B6" w:rsidP="006D0B5F">
      <w:r>
        <w:separator/>
      </w:r>
    </w:p>
  </w:endnote>
  <w:endnote w:type="continuationSeparator" w:id="0">
    <w:p w14:paraId="6927749E" w14:textId="77777777" w:rsidR="00B334B6" w:rsidRDefault="00B334B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D842E" w14:textId="77777777" w:rsidR="00B334B6" w:rsidRDefault="00B334B6" w:rsidP="006D0B5F">
      <w:r>
        <w:separator/>
      </w:r>
    </w:p>
  </w:footnote>
  <w:footnote w:type="continuationSeparator" w:id="0">
    <w:p w14:paraId="320A1D7B" w14:textId="77777777" w:rsidR="00B334B6" w:rsidRDefault="00B334B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B101E"/>
    <w:multiLevelType w:val="hybridMultilevel"/>
    <w:tmpl w:val="0332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C5190"/>
    <w:multiLevelType w:val="hybridMultilevel"/>
    <w:tmpl w:val="7936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17CDA"/>
    <w:multiLevelType w:val="hybridMultilevel"/>
    <w:tmpl w:val="3194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1558A"/>
    <w:multiLevelType w:val="hybridMultilevel"/>
    <w:tmpl w:val="9864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D191B"/>
    <w:multiLevelType w:val="hybridMultilevel"/>
    <w:tmpl w:val="D086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853542">
    <w:abstractNumId w:val="15"/>
  </w:num>
  <w:num w:numId="2" w16cid:durableId="877357536">
    <w:abstractNumId w:val="10"/>
  </w:num>
  <w:num w:numId="3" w16cid:durableId="85424860">
    <w:abstractNumId w:val="5"/>
  </w:num>
  <w:num w:numId="4" w16cid:durableId="345402807">
    <w:abstractNumId w:val="6"/>
  </w:num>
  <w:num w:numId="5" w16cid:durableId="840312947">
    <w:abstractNumId w:val="0"/>
  </w:num>
  <w:num w:numId="6" w16cid:durableId="1205024188">
    <w:abstractNumId w:val="2"/>
  </w:num>
  <w:num w:numId="7" w16cid:durableId="532038411">
    <w:abstractNumId w:val="7"/>
  </w:num>
  <w:num w:numId="8" w16cid:durableId="985431511">
    <w:abstractNumId w:val="14"/>
  </w:num>
  <w:num w:numId="9" w16cid:durableId="1826773186">
    <w:abstractNumId w:val="4"/>
  </w:num>
  <w:num w:numId="10" w16cid:durableId="54158630">
    <w:abstractNumId w:val="9"/>
  </w:num>
  <w:num w:numId="11" w16cid:durableId="1275601710">
    <w:abstractNumId w:val="11"/>
  </w:num>
  <w:num w:numId="12" w16cid:durableId="315189291">
    <w:abstractNumId w:val="13"/>
  </w:num>
  <w:num w:numId="13" w16cid:durableId="1630818063">
    <w:abstractNumId w:val="3"/>
  </w:num>
  <w:num w:numId="14" w16cid:durableId="518660839">
    <w:abstractNumId w:val="8"/>
  </w:num>
  <w:num w:numId="15" w16cid:durableId="2041275217">
    <w:abstractNumId w:val="12"/>
  </w:num>
  <w:num w:numId="16" w16cid:durableId="1432507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4DE8"/>
    <w:rsid w:val="000075DD"/>
    <w:rsid w:val="00010120"/>
    <w:rsid w:val="00011257"/>
    <w:rsid w:val="0001505D"/>
    <w:rsid w:val="00016A73"/>
    <w:rsid w:val="00025A9F"/>
    <w:rsid w:val="00026CB3"/>
    <w:rsid w:val="00030719"/>
    <w:rsid w:val="00041547"/>
    <w:rsid w:val="00041FBF"/>
    <w:rsid w:val="00043997"/>
    <w:rsid w:val="00052662"/>
    <w:rsid w:val="00054F39"/>
    <w:rsid w:val="00055B13"/>
    <w:rsid w:val="00056891"/>
    <w:rsid w:val="00060509"/>
    <w:rsid w:val="000616CB"/>
    <w:rsid w:val="00061E20"/>
    <w:rsid w:val="000671D8"/>
    <w:rsid w:val="000722C7"/>
    <w:rsid w:val="000748FE"/>
    <w:rsid w:val="00082C6D"/>
    <w:rsid w:val="00083A99"/>
    <w:rsid w:val="0008638E"/>
    <w:rsid w:val="00086A7B"/>
    <w:rsid w:val="000870B3"/>
    <w:rsid w:val="00087DA0"/>
    <w:rsid w:val="00096003"/>
    <w:rsid w:val="0009675E"/>
    <w:rsid w:val="000970EC"/>
    <w:rsid w:val="00097705"/>
    <w:rsid w:val="000B27C2"/>
    <w:rsid w:val="000B5CB5"/>
    <w:rsid w:val="000C005A"/>
    <w:rsid w:val="000C0EFC"/>
    <w:rsid w:val="000C3369"/>
    <w:rsid w:val="000C70B9"/>
    <w:rsid w:val="000C7A57"/>
    <w:rsid w:val="000D00E9"/>
    <w:rsid w:val="000D7F03"/>
    <w:rsid w:val="000D7FF8"/>
    <w:rsid w:val="00101855"/>
    <w:rsid w:val="0010371E"/>
    <w:rsid w:val="00106932"/>
    <w:rsid w:val="00111A67"/>
    <w:rsid w:val="00115868"/>
    <w:rsid w:val="00115F16"/>
    <w:rsid w:val="00121C30"/>
    <w:rsid w:val="0012346A"/>
    <w:rsid w:val="00130035"/>
    <w:rsid w:val="0014091C"/>
    <w:rsid w:val="00141512"/>
    <w:rsid w:val="00143683"/>
    <w:rsid w:val="00145AE6"/>
    <w:rsid w:val="0014716F"/>
    <w:rsid w:val="0016428F"/>
    <w:rsid w:val="00164632"/>
    <w:rsid w:val="0017103D"/>
    <w:rsid w:val="00174004"/>
    <w:rsid w:val="00181510"/>
    <w:rsid w:val="001946E0"/>
    <w:rsid w:val="00195404"/>
    <w:rsid w:val="00196722"/>
    <w:rsid w:val="001A2D19"/>
    <w:rsid w:val="001A36D1"/>
    <w:rsid w:val="001A512E"/>
    <w:rsid w:val="001A5C39"/>
    <w:rsid w:val="001B0896"/>
    <w:rsid w:val="001B769B"/>
    <w:rsid w:val="001C0A75"/>
    <w:rsid w:val="001C1453"/>
    <w:rsid w:val="001C3E64"/>
    <w:rsid w:val="001C4503"/>
    <w:rsid w:val="001C6F42"/>
    <w:rsid w:val="001D156E"/>
    <w:rsid w:val="001D33D0"/>
    <w:rsid w:val="001D353D"/>
    <w:rsid w:val="001D4F7A"/>
    <w:rsid w:val="001D5ADD"/>
    <w:rsid w:val="001E5597"/>
    <w:rsid w:val="001F1E5B"/>
    <w:rsid w:val="00202236"/>
    <w:rsid w:val="00203F50"/>
    <w:rsid w:val="00206E24"/>
    <w:rsid w:val="00215769"/>
    <w:rsid w:val="0021622D"/>
    <w:rsid w:val="0023143D"/>
    <w:rsid w:val="00231BFD"/>
    <w:rsid w:val="0023480A"/>
    <w:rsid w:val="00237DA1"/>
    <w:rsid w:val="00242D8C"/>
    <w:rsid w:val="00250879"/>
    <w:rsid w:val="00261DCF"/>
    <w:rsid w:val="00263B45"/>
    <w:rsid w:val="00266D0A"/>
    <w:rsid w:val="00284480"/>
    <w:rsid w:val="00286DCC"/>
    <w:rsid w:val="0028751A"/>
    <w:rsid w:val="002920A3"/>
    <w:rsid w:val="0029334A"/>
    <w:rsid w:val="002A01CF"/>
    <w:rsid w:val="002A131B"/>
    <w:rsid w:val="002A1C02"/>
    <w:rsid w:val="002A235B"/>
    <w:rsid w:val="002A7DF7"/>
    <w:rsid w:val="002B6F76"/>
    <w:rsid w:val="002B7854"/>
    <w:rsid w:val="002C0C6F"/>
    <w:rsid w:val="002C6277"/>
    <w:rsid w:val="002D03B7"/>
    <w:rsid w:val="002D4346"/>
    <w:rsid w:val="002D63B6"/>
    <w:rsid w:val="002E2952"/>
    <w:rsid w:val="002E797F"/>
    <w:rsid w:val="002E7CC1"/>
    <w:rsid w:val="002F041D"/>
    <w:rsid w:val="002F2580"/>
    <w:rsid w:val="002F4B0F"/>
    <w:rsid w:val="002F63B1"/>
    <w:rsid w:val="002F7502"/>
    <w:rsid w:val="003074B4"/>
    <w:rsid w:val="00307CB9"/>
    <w:rsid w:val="003137E0"/>
    <w:rsid w:val="00320A6F"/>
    <w:rsid w:val="00321B6E"/>
    <w:rsid w:val="003359D0"/>
    <w:rsid w:val="00335EE9"/>
    <w:rsid w:val="0034109D"/>
    <w:rsid w:val="00341E8D"/>
    <w:rsid w:val="003430A8"/>
    <w:rsid w:val="00345944"/>
    <w:rsid w:val="00347F5E"/>
    <w:rsid w:val="003562A3"/>
    <w:rsid w:val="003634D9"/>
    <w:rsid w:val="0036759A"/>
    <w:rsid w:val="003825D5"/>
    <w:rsid w:val="00383C6E"/>
    <w:rsid w:val="00383DFF"/>
    <w:rsid w:val="00385953"/>
    <w:rsid w:val="0039581E"/>
    <w:rsid w:val="003A2934"/>
    <w:rsid w:val="003A4376"/>
    <w:rsid w:val="003A5516"/>
    <w:rsid w:val="003C04C7"/>
    <w:rsid w:val="003C0C2B"/>
    <w:rsid w:val="003C0DA3"/>
    <w:rsid w:val="003C28E1"/>
    <w:rsid w:val="003C3AC1"/>
    <w:rsid w:val="003D0C10"/>
    <w:rsid w:val="003E185F"/>
    <w:rsid w:val="003E2151"/>
    <w:rsid w:val="003E5F45"/>
    <w:rsid w:val="003E7C3D"/>
    <w:rsid w:val="003F0EEE"/>
    <w:rsid w:val="003F16AA"/>
    <w:rsid w:val="003F16B4"/>
    <w:rsid w:val="003F2CA6"/>
    <w:rsid w:val="003F3DB5"/>
    <w:rsid w:val="003F481A"/>
    <w:rsid w:val="003F6138"/>
    <w:rsid w:val="00404C72"/>
    <w:rsid w:val="00432B12"/>
    <w:rsid w:val="00433448"/>
    <w:rsid w:val="0043349D"/>
    <w:rsid w:val="004335CE"/>
    <w:rsid w:val="00435FC9"/>
    <w:rsid w:val="0044039F"/>
    <w:rsid w:val="00440CB6"/>
    <w:rsid w:val="004414C2"/>
    <w:rsid w:val="004452BE"/>
    <w:rsid w:val="00454754"/>
    <w:rsid w:val="0045523E"/>
    <w:rsid w:val="00457CAA"/>
    <w:rsid w:val="00460353"/>
    <w:rsid w:val="004654DD"/>
    <w:rsid w:val="00472D00"/>
    <w:rsid w:val="00475D51"/>
    <w:rsid w:val="004832F1"/>
    <w:rsid w:val="004854EC"/>
    <w:rsid w:val="004873AF"/>
    <w:rsid w:val="00491034"/>
    <w:rsid w:val="004936A6"/>
    <w:rsid w:val="004947BB"/>
    <w:rsid w:val="004956D1"/>
    <w:rsid w:val="00497E7E"/>
    <w:rsid w:val="004A5EA9"/>
    <w:rsid w:val="004B0EB7"/>
    <w:rsid w:val="004B3A0F"/>
    <w:rsid w:val="004B48C5"/>
    <w:rsid w:val="004B5652"/>
    <w:rsid w:val="004C0ACF"/>
    <w:rsid w:val="004C2434"/>
    <w:rsid w:val="004C3487"/>
    <w:rsid w:val="004C5226"/>
    <w:rsid w:val="004D2720"/>
    <w:rsid w:val="004D33C8"/>
    <w:rsid w:val="004D45E7"/>
    <w:rsid w:val="004D5C70"/>
    <w:rsid w:val="004D6FC7"/>
    <w:rsid w:val="004E58E3"/>
    <w:rsid w:val="004F0649"/>
    <w:rsid w:val="004F1043"/>
    <w:rsid w:val="004F1E99"/>
    <w:rsid w:val="004F28FB"/>
    <w:rsid w:val="00502E62"/>
    <w:rsid w:val="0050432D"/>
    <w:rsid w:val="00504440"/>
    <w:rsid w:val="00510735"/>
    <w:rsid w:val="00510DBF"/>
    <w:rsid w:val="00510FA2"/>
    <w:rsid w:val="00510FE3"/>
    <w:rsid w:val="00521ABA"/>
    <w:rsid w:val="005241AF"/>
    <w:rsid w:val="00525341"/>
    <w:rsid w:val="00527A31"/>
    <w:rsid w:val="00527B08"/>
    <w:rsid w:val="005325CF"/>
    <w:rsid w:val="0053312D"/>
    <w:rsid w:val="00534611"/>
    <w:rsid w:val="00536760"/>
    <w:rsid w:val="005441FD"/>
    <w:rsid w:val="00545D8C"/>
    <w:rsid w:val="0055698B"/>
    <w:rsid w:val="00556ECD"/>
    <w:rsid w:val="005631B3"/>
    <w:rsid w:val="005633B0"/>
    <w:rsid w:val="005635FF"/>
    <w:rsid w:val="00573B90"/>
    <w:rsid w:val="00583ED0"/>
    <w:rsid w:val="00586ACE"/>
    <w:rsid w:val="005872E0"/>
    <w:rsid w:val="005878FE"/>
    <w:rsid w:val="00591D43"/>
    <w:rsid w:val="00593040"/>
    <w:rsid w:val="0059699B"/>
    <w:rsid w:val="005A087C"/>
    <w:rsid w:val="005A7617"/>
    <w:rsid w:val="005B0A0E"/>
    <w:rsid w:val="005B0DAA"/>
    <w:rsid w:val="005D3432"/>
    <w:rsid w:val="005D71E7"/>
    <w:rsid w:val="005E1C6C"/>
    <w:rsid w:val="005E2A0E"/>
    <w:rsid w:val="005E5F21"/>
    <w:rsid w:val="005E65DF"/>
    <w:rsid w:val="005F1593"/>
    <w:rsid w:val="005F2D67"/>
    <w:rsid w:val="005F339A"/>
    <w:rsid w:val="005F3E49"/>
    <w:rsid w:val="00602435"/>
    <w:rsid w:val="00604598"/>
    <w:rsid w:val="00604F22"/>
    <w:rsid w:val="00605BBB"/>
    <w:rsid w:val="00611F3D"/>
    <w:rsid w:val="006126D1"/>
    <w:rsid w:val="00630839"/>
    <w:rsid w:val="006326A2"/>
    <w:rsid w:val="00640A0D"/>
    <w:rsid w:val="00643929"/>
    <w:rsid w:val="00656D2F"/>
    <w:rsid w:val="00662327"/>
    <w:rsid w:val="00665C24"/>
    <w:rsid w:val="006677F4"/>
    <w:rsid w:val="00677BF0"/>
    <w:rsid w:val="00690EC3"/>
    <w:rsid w:val="00692B60"/>
    <w:rsid w:val="00695F88"/>
    <w:rsid w:val="006977AC"/>
    <w:rsid w:val="006A0120"/>
    <w:rsid w:val="006A4D63"/>
    <w:rsid w:val="006A71AD"/>
    <w:rsid w:val="006B6D49"/>
    <w:rsid w:val="006C126E"/>
    <w:rsid w:val="006C2BFA"/>
    <w:rsid w:val="006C2ED0"/>
    <w:rsid w:val="006D0B5F"/>
    <w:rsid w:val="006D4E58"/>
    <w:rsid w:val="006D5DFD"/>
    <w:rsid w:val="006D7624"/>
    <w:rsid w:val="006E1FC3"/>
    <w:rsid w:val="006E2413"/>
    <w:rsid w:val="006E64C9"/>
    <w:rsid w:val="006F137D"/>
    <w:rsid w:val="006F4D38"/>
    <w:rsid w:val="0070054B"/>
    <w:rsid w:val="00706480"/>
    <w:rsid w:val="00710DBB"/>
    <w:rsid w:val="007177FA"/>
    <w:rsid w:val="007205F7"/>
    <w:rsid w:val="00721559"/>
    <w:rsid w:val="00725F1C"/>
    <w:rsid w:val="00736ADE"/>
    <w:rsid w:val="007421C4"/>
    <w:rsid w:val="007430C8"/>
    <w:rsid w:val="00743F5A"/>
    <w:rsid w:val="0074679B"/>
    <w:rsid w:val="00747CBE"/>
    <w:rsid w:val="00755FCC"/>
    <w:rsid w:val="00761517"/>
    <w:rsid w:val="00762563"/>
    <w:rsid w:val="00774BB2"/>
    <w:rsid w:val="00776AE2"/>
    <w:rsid w:val="007921CD"/>
    <w:rsid w:val="00793023"/>
    <w:rsid w:val="007A3BFB"/>
    <w:rsid w:val="007A501D"/>
    <w:rsid w:val="007A759C"/>
    <w:rsid w:val="007B2531"/>
    <w:rsid w:val="007B3E52"/>
    <w:rsid w:val="007C20E2"/>
    <w:rsid w:val="007C5713"/>
    <w:rsid w:val="007C5CCF"/>
    <w:rsid w:val="007C791C"/>
    <w:rsid w:val="007D6D02"/>
    <w:rsid w:val="007D7DF4"/>
    <w:rsid w:val="007E0D23"/>
    <w:rsid w:val="007E5511"/>
    <w:rsid w:val="007F1331"/>
    <w:rsid w:val="007F196D"/>
    <w:rsid w:val="008021CA"/>
    <w:rsid w:val="00805895"/>
    <w:rsid w:val="008075CB"/>
    <w:rsid w:val="00811771"/>
    <w:rsid w:val="00814316"/>
    <w:rsid w:val="008154DD"/>
    <w:rsid w:val="00817C89"/>
    <w:rsid w:val="00823383"/>
    <w:rsid w:val="008367EE"/>
    <w:rsid w:val="008439DB"/>
    <w:rsid w:val="0084784F"/>
    <w:rsid w:val="00850235"/>
    <w:rsid w:val="00850747"/>
    <w:rsid w:val="00850AFC"/>
    <w:rsid w:val="0085413A"/>
    <w:rsid w:val="008542DE"/>
    <w:rsid w:val="008546E0"/>
    <w:rsid w:val="008609D1"/>
    <w:rsid w:val="008638DE"/>
    <w:rsid w:val="00872287"/>
    <w:rsid w:val="00884F8E"/>
    <w:rsid w:val="00886EC6"/>
    <w:rsid w:val="0088766D"/>
    <w:rsid w:val="00891182"/>
    <w:rsid w:val="008A28C8"/>
    <w:rsid w:val="008B63C4"/>
    <w:rsid w:val="008C07EF"/>
    <w:rsid w:val="008C75E4"/>
    <w:rsid w:val="008C78D3"/>
    <w:rsid w:val="008D0577"/>
    <w:rsid w:val="008E21A6"/>
    <w:rsid w:val="008E3CB5"/>
    <w:rsid w:val="008F5DD7"/>
    <w:rsid w:val="008F6B58"/>
    <w:rsid w:val="0090282C"/>
    <w:rsid w:val="00906D0C"/>
    <w:rsid w:val="00910E5E"/>
    <w:rsid w:val="00912445"/>
    <w:rsid w:val="00912614"/>
    <w:rsid w:val="00920546"/>
    <w:rsid w:val="0092420D"/>
    <w:rsid w:val="0092684A"/>
    <w:rsid w:val="00934B34"/>
    <w:rsid w:val="00951F95"/>
    <w:rsid w:val="00955938"/>
    <w:rsid w:val="009565F5"/>
    <w:rsid w:val="0096049C"/>
    <w:rsid w:val="00961B4B"/>
    <w:rsid w:val="00961F04"/>
    <w:rsid w:val="009715BA"/>
    <w:rsid w:val="0097168C"/>
    <w:rsid w:val="009825FF"/>
    <w:rsid w:val="00983CC1"/>
    <w:rsid w:val="00985097"/>
    <w:rsid w:val="00994EF1"/>
    <w:rsid w:val="009979BB"/>
    <w:rsid w:val="009A23D0"/>
    <w:rsid w:val="009A23E0"/>
    <w:rsid w:val="009B14D5"/>
    <w:rsid w:val="009C4BCF"/>
    <w:rsid w:val="009C4F4F"/>
    <w:rsid w:val="009C7F61"/>
    <w:rsid w:val="009D3ABC"/>
    <w:rsid w:val="009D708A"/>
    <w:rsid w:val="009E03DC"/>
    <w:rsid w:val="009E6A8B"/>
    <w:rsid w:val="009F2222"/>
    <w:rsid w:val="00A04A96"/>
    <w:rsid w:val="00A0714B"/>
    <w:rsid w:val="00A101A7"/>
    <w:rsid w:val="00A103B4"/>
    <w:rsid w:val="00A10B01"/>
    <w:rsid w:val="00A13E83"/>
    <w:rsid w:val="00A20C1B"/>
    <w:rsid w:val="00A234CF"/>
    <w:rsid w:val="00A36C97"/>
    <w:rsid w:val="00A40070"/>
    <w:rsid w:val="00A42E82"/>
    <w:rsid w:val="00A46EE9"/>
    <w:rsid w:val="00A50733"/>
    <w:rsid w:val="00A5146F"/>
    <w:rsid w:val="00A55E83"/>
    <w:rsid w:val="00A579BB"/>
    <w:rsid w:val="00A60ABC"/>
    <w:rsid w:val="00A6182E"/>
    <w:rsid w:val="00A63D55"/>
    <w:rsid w:val="00A714FF"/>
    <w:rsid w:val="00A726DE"/>
    <w:rsid w:val="00A73304"/>
    <w:rsid w:val="00A7336D"/>
    <w:rsid w:val="00A81AD5"/>
    <w:rsid w:val="00A8290F"/>
    <w:rsid w:val="00A82DA9"/>
    <w:rsid w:val="00A842A1"/>
    <w:rsid w:val="00A8441B"/>
    <w:rsid w:val="00A9088C"/>
    <w:rsid w:val="00A9168C"/>
    <w:rsid w:val="00A932E7"/>
    <w:rsid w:val="00A95D89"/>
    <w:rsid w:val="00AA524F"/>
    <w:rsid w:val="00AB29C8"/>
    <w:rsid w:val="00AB3243"/>
    <w:rsid w:val="00AB5232"/>
    <w:rsid w:val="00AB567B"/>
    <w:rsid w:val="00AB71C8"/>
    <w:rsid w:val="00AD00D5"/>
    <w:rsid w:val="00AE754D"/>
    <w:rsid w:val="00AF5B1E"/>
    <w:rsid w:val="00B10C13"/>
    <w:rsid w:val="00B14DDC"/>
    <w:rsid w:val="00B17890"/>
    <w:rsid w:val="00B211D0"/>
    <w:rsid w:val="00B22971"/>
    <w:rsid w:val="00B23CB2"/>
    <w:rsid w:val="00B30A5E"/>
    <w:rsid w:val="00B31505"/>
    <w:rsid w:val="00B329FE"/>
    <w:rsid w:val="00B334B6"/>
    <w:rsid w:val="00B511AF"/>
    <w:rsid w:val="00B617C4"/>
    <w:rsid w:val="00B61BC0"/>
    <w:rsid w:val="00B6223E"/>
    <w:rsid w:val="00B6269C"/>
    <w:rsid w:val="00B65E53"/>
    <w:rsid w:val="00B6651B"/>
    <w:rsid w:val="00B70082"/>
    <w:rsid w:val="00B71A59"/>
    <w:rsid w:val="00B74C73"/>
    <w:rsid w:val="00B75680"/>
    <w:rsid w:val="00B93EB5"/>
    <w:rsid w:val="00B96F5A"/>
    <w:rsid w:val="00B970A1"/>
    <w:rsid w:val="00B97FFA"/>
    <w:rsid w:val="00BA09BE"/>
    <w:rsid w:val="00BA1F63"/>
    <w:rsid w:val="00BA2247"/>
    <w:rsid w:val="00BA27F6"/>
    <w:rsid w:val="00BA5D97"/>
    <w:rsid w:val="00BA6B19"/>
    <w:rsid w:val="00BB1C52"/>
    <w:rsid w:val="00BB2A50"/>
    <w:rsid w:val="00BB4F91"/>
    <w:rsid w:val="00BB54F7"/>
    <w:rsid w:val="00BB591D"/>
    <w:rsid w:val="00BB5AE5"/>
    <w:rsid w:val="00BC007A"/>
    <w:rsid w:val="00BC1E48"/>
    <w:rsid w:val="00BC29F0"/>
    <w:rsid w:val="00BC357E"/>
    <w:rsid w:val="00BC714E"/>
    <w:rsid w:val="00BC7619"/>
    <w:rsid w:val="00BD2718"/>
    <w:rsid w:val="00BD3F03"/>
    <w:rsid w:val="00BD677F"/>
    <w:rsid w:val="00BD7A36"/>
    <w:rsid w:val="00C0704D"/>
    <w:rsid w:val="00C14DCF"/>
    <w:rsid w:val="00C214A6"/>
    <w:rsid w:val="00C24A51"/>
    <w:rsid w:val="00C25722"/>
    <w:rsid w:val="00C27AD0"/>
    <w:rsid w:val="00C340BC"/>
    <w:rsid w:val="00C34B2B"/>
    <w:rsid w:val="00C37E5E"/>
    <w:rsid w:val="00C409FF"/>
    <w:rsid w:val="00C44E40"/>
    <w:rsid w:val="00C50517"/>
    <w:rsid w:val="00C52E32"/>
    <w:rsid w:val="00C57683"/>
    <w:rsid w:val="00C60B02"/>
    <w:rsid w:val="00C618DB"/>
    <w:rsid w:val="00C6456D"/>
    <w:rsid w:val="00C67ABD"/>
    <w:rsid w:val="00C82793"/>
    <w:rsid w:val="00C86A53"/>
    <w:rsid w:val="00C92236"/>
    <w:rsid w:val="00C93384"/>
    <w:rsid w:val="00CA28BA"/>
    <w:rsid w:val="00CB5A7E"/>
    <w:rsid w:val="00CD1729"/>
    <w:rsid w:val="00CD2070"/>
    <w:rsid w:val="00CD2E03"/>
    <w:rsid w:val="00CD38B1"/>
    <w:rsid w:val="00CD6343"/>
    <w:rsid w:val="00CE2ECB"/>
    <w:rsid w:val="00CE5584"/>
    <w:rsid w:val="00CE7F38"/>
    <w:rsid w:val="00CF5485"/>
    <w:rsid w:val="00D102D9"/>
    <w:rsid w:val="00D1063F"/>
    <w:rsid w:val="00D11007"/>
    <w:rsid w:val="00D1383C"/>
    <w:rsid w:val="00D1420C"/>
    <w:rsid w:val="00D23470"/>
    <w:rsid w:val="00D2449B"/>
    <w:rsid w:val="00D2511A"/>
    <w:rsid w:val="00D27395"/>
    <w:rsid w:val="00D32B17"/>
    <w:rsid w:val="00D33CA0"/>
    <w:rsid w:val="00D347AC"/>
    <w:rsid w:val="00D43724"/>
    <w:rsid w:val="00D47550"/>
    <w:rsid w:val="00D54384"/>
    <w:rsid w:val="00D54E67"/>
    <w:rsid w:val="00D54F48"/>
    <w:rsid w:val="00D57E50"/>
    <w:rsid w:val="00D632BB"/>
    <w:rsid w:val="00D80310"/>
    <w:rsid w:val="00D9608A"/>
    <w:rsid w:val="00D96DF7"/>
    <w:rsid w:val="00D96E95"/>
    <w:rsid w:val="00D97107"/>
    <w:rsid w:val="00D97AA3"/>
    <w:rsid w:val="00DA27B6"/>
    <w:rsid w:val="00DA36EF"/>
    <w:rsid w:val="00DB3825"/>
    <w:rsid w:val="00DC3C8A"/>
    <w:rsid w:val="00DC6204"/>
    <w:rsid w:val="00DD62F6"/>
    <w:rsid w:val="00DD74E9"/>
    <w:rsid w:val="00DD7E97"/>
    <w:rsid w:val="00DE5CF5"/>
    <w:rsid w:val="00DE740E"/>
    <w:rsid w:val="00DF0AE0"/>
    <w:rsid w:val="00DF22B5"/>
    <w:rsid w:val="00DF42DA"/>
    <w:rsid w:val="00E0234A"/>
    <w:rsid w:val="00E03AFD"/>
    <w:rsid w:val="00E0485E"/>
    <w:rsid w:val="00E06DFC"/>
    <w:rsid w:val="00E15A37"/>
    <w:rsid w:val="00E23FB0"/>
    <w:rsid w:val="00E270CB"/>
    <w:rsid w:val="00E310EA"/>
    <w:rsid w:val="00E330BE"/>
    <w:rsid w:val="00E3317F"/>
    <w:rsid w:val="00E353E6"/>
    <w:rsid w:val="00E434DD"/>
    <w:rsid w:val="00E46243"/>
    <w:rsid w:val="00E503F3"/>
    <w:rsid w:val="00E57691"/>
    <w:rsid w:val="00E66534"/>
    <w:rsid w:val="00E66819"/>
    <w:rsid w:val="00E668B9"/>
    <w:rsid w:val="00E70EFB"/>
    <w:rsid w:val="00E719D1"/>
    <w:rsid w:val="00E71A35"/>
    <w:rsid w:val="00E72F6C"/>
    <w:rsid w:val="00E80113"/>
    <w:rsid w:val="00E86741"/>
    <w:rsid w:val="00E87097"/>
    <w:rsid w:val="00EA09F9"/>
    <w:rsid w:val="00EA1673"/>
    <w:rsid w:val="00EB1DA1"/>
    <w:rsid w:val="00EB2228"/>
    <w:rsid w:val="00EB3768"/>
    <w:rsid w:val="00EB7D74"/>
    <w:rsid w:val="00EC23C7"/>
    <w:rsid w:val="00ED00B7"/>
    <w:rsid w:val="00ED04E0"/>
    <w:rsid w:val="00ED077E"/>
    <w:rsid w:val="00ED602D"/>
    <w:rsid w:val="00ED72E8"/>
    <w:rsid w:val="00EF1341"/>
    <w:rsid w:val="00EF160A"/>
    <w:rsid w:val="00EF44E6"/>
    <w:rsid w:val="00EF71A4"/>
    <w:rsid w:val="00F012FA"/>
    <w:rsid w:val="00F01C7E"/>
    <w:rsid w:val="00F055D3"/>
    <w:rsid w:val="00F071E1"/>
    <w:rsid w:val="00F11059"/>
    <w:rsid w:val="00F129DD"/>
    <w:rsid w:val="00F16D0F"/>
    <w:rsid w:val="00F17525"/>
    <w:rsid w:val="00F24CEE"/>
    <w:rsid w:val="00F25FBA"/>
    <w:rsid w:val="00F30375"/>
    <w:rsid w:val="00F313D2"/>
    <w:rsid w:val="00F32789"/>
    <w:rsid w:val="00F4282A"/>
    <w:rsid w:val="00F43A9D"/>
    <w:rsid w:val="00F442FB"/>
    <w:rsid w:val="00F44D55"/>
    <w:rsid w:val="00F478A5"/>
    <w:rsid w:val="00F526E0"/>
    <w:rsid w:val="00F54429"/>
    <w:rsid w:val="00F71D53"/>
    <w:rsid w:val="00F731F5"/>
    <w:rsid w:val="00F75F59"/>
    <w:rsid w:val="00F81910"/>
    <w:rsid w:val="00F8201E"/>
    <w:rsid w:val="00F9048C"/>
    <w:rsid w:val="00F96CDF"/>
    <w:rsid w:val="00FA1375"/>
    <w:rsid w:val="00FA2198"/>
    <w:rsid w:val="00FC046F"/>
    <w:rsid w:val="00FC6A11"/>
    <w:rsid w:val="00FC77EC"/>
    <w:rsid w:val="00FC7B00"/>
    <w:rsid w:val="00FD334A"/>
    <w:rsid w:val="00FD4AA0"/>
    <w:rsid w:val="00FD65C6"/>
    <w:rsid w:val="00FD6AE3"/>
    <w:rsid w:val="00FD7F21"/>
    <w:rsid w:val="00FE603E"/>
    <w:rsid w:val="00FF1CBA"/>
    <w:rsid w:val="00FF4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450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971086722">
      <w:bodyDiv w:val="1"/>
      <w:marLeft w:val="0"/>
      <w:marRight w:val="0"/>
      <w:marTop w:val="0"/>
      <w:marBottom w:val="0"/>
      <w:divBdr>
        <w:top w:val="none" w:sz="0" w:space="0" w:color="auto"/>
        <w:left w:val="none" w:sz="0" w:space="0" w:color="auto"/>
        <w:bottom w:val="none" w:sz="0" w:space="0" w:color="auto"/>
        <w:right w:val="none" w:sz="0" w:space="0" w:color="auto"/>
      </w:divBdr>
    </w:div>
    <w:div w:id="19855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26BB-356C-455C-A618-25C9F965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Lesley Lund</cp:lastModifiedBy>
  <cp:revision>2</cp:revision>
  <cp:lastPrinted>2024-08-07T11:15:00Z</cp:lastPrinted>
  <dcterms:created xsi:type="dcterms:W3CDTF">2024-08-07T11:16:00Z</dcterms:created>
  <dcterms:modified xsi:type="dcterms:W3CDTF">2024-08-07T11:16:00Z</dcterms:modified>
</cp:coreProperties>
</file>